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1433FD" w:rsidRPr="00AC1229"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p>
        </w:tc>
        <w:tc>
          <w:tcPr>
            <w:tcW w:w="6095" w:type="dxa"/>
            <w:tcBorders>
              <w:bottom w:val="single" w:sz="4" w:space="0" w:color="auto"/>
            </w:tcBorders>
            <w:vAlign w:val="bottom"/>
          </w:tcPr>
          <w:p w:rsidR="001433FD" w:rsidRPr="00AC1229" w:rsidRDefault="00AC1229" w:rsidP="00AC1229">
            <w:pPr>
              <w:jc w:val="right"/>
              <w:rPr>
                <w:b/>
                <w:bCs/>
                <w:sz w:val="28"/>
                <w:szCs w:val="28"/>
              </w:rPr>
            </w:pPr>
            <w:r w:rsidRPr="00AC1229">
              <w:rPr>
                <w:b/>
                <w:bCs/>
                <w:sz w:val="28"/>
                <w:szCs w:val="28"/>
              </w:rPr>
              <w:t>INF.</w:t>
            </w:r>
            <w:r>
              <w:rPr>
                <w:b/>
                <w:bCs/>
                <w:sz w:val="28"/>
                <w:szCs w:val="28"/>
              </w:rPr>
              <w:t>18 (French version)</w:t>
            </w:r>
            <w:bookmarkStart w:id="0" w:name="_GoBack"/>
            <w:bookmarkEnd w:id="0"/>
            <w:r w:rsidRPr="00AC1229">
              <w:rPr>
                <w:b/>
                <w:bCs/>
                <w:sz w:val="28"/>
                <w:szCs w:val="28"/>
              </w:rPr>
              <w:t xml:space="preserve"> </w:t>
            </w:r>
          </w:p>
        </w:tc>
      </w:tr>
    </w:tbl>
    <w:p w:rsidR="00AC1229" w:rsidRPr="00C85ADC" w:rsidRDefault="00AC1229" w:rsidP="00AC1229">
      <w:pPr>
        <w:spacing w:before="120"/>
        <w:rPr>
          <w:b/>
          <w:sz w:val="28"/>
          <w:szCs w:val="28"/>
          <w:lang w:val="fr-FR"/>
        </w:rPr>
      </w:pPr>
      <w:r w:rsidRPr="00C85ADC">
        <w:rPr>
          <w:b/>
          <w:sz w:val="28"/>
          <w:szCs w:val="28"/>
          <w:lang w:val="fr-FR"/>
        </w:rPr>
        <w:t>Commission économique pour l’Europe</w:t>
      </w:r>
    </w:p>
    <w:p w:rsidR="00AC1229" w:rsidRPr="00C85ADC" w:rsidRDefault="00AC1229" w:rsidP="00AC1229">
      <w:pPr>
        <w:spacing w:before="120"/>
        <w:rPr>
          <w:sz w:val="28"/>
          <w:szCs w:val="28"/>
          <w:lang w:val="fr-FR"/>
        </w:rPr>
      </w:pPr>
      <w:r w:rsidRPr="00C85ADC">
        <w:rPr>
          <w:sz w:val="28"/>
          <w:szCs w:val="28"/>
          <w:lang w:val="fr-FR"/>
        </w:rPr>
        <w:t>Comité des transports intérieurs</w:t>
      </w:r>
    </w:p>
    <w:p w:rsidR="00AC1229" w:rsidRPr="00C85ADC" w:rsidRDefault="00AC1229" w:rsidP="00AC1229">
      <w:pPr>
        <w:spacing w:before="120"/>
        <w:rPr>
          <w:b/>
          <w:sz w:val="24"/>
          <w:szCs w:val="24"/>
          <w:lang w:val="fr-FR"/>
        </w:rPr>
      </w:pPr>
      <w:r w:rsidRPr="00C85ADC">
        <w:rPr>
          <w:b/>
          <w:sz w:val="24"/>
          <w:szCs w:val="24"/>
          <w:lang w:val="fr-FR"/>
        </w:rPr>
        <w:t xml:space="preserve">Groupe de travail des transports </w:t>
      </w:r>
      <w:r w:rsidRPr="00C85ADC">
        <w:rPr>
          <w:b/>
          <w:sz w:val="24"/>
          <w:szCs w:val="24"/>
          <w:lang w:val="fr-FR"/>
        </w:rPr>
        <w:br/>
        <w:t>de marchandises dangereuses</w:t>
      </w:r>
    </w:p>
    <w:p w:rsidR="00AC1229" w:rsidRPr="00C85ADC" w:rsidRDefault="00AC1229" w:rsidP="00AC1229">
      <w:pPr>
        <w:spacing w:before="120"/>
        <w:rPr>
          <w:b/>
          <w:lang w:val="fr-FR"/>
        </w:rPr>
      </w:pPr>
      <w:r w:rsidRPr="00C85ADC">
        <w:rPr>
          <w:b/>
          <w:lang w:val="fr-FR"/>
        </w:rPr>
        <w:t>107</w:t>
      </w:r>
      <w:r w:rsidRPr="00C85ADC">
        <w:rPr>
          <w:b/>
          <w:vertAlign w:val="superscript"/>
          <w:lang w:val="fr-FR"/>
        </w:rPr>
        <w:t>e</w:t>
      </w:r>
      <w:r w:rsidRPr="00C85ADC">
        <w:rPr>
          <w:b/>
          <w:lang w:val="fr-FR"/>
        </w:rPr>
        <w:t xml:space="preserve"> session</w:t>
      </w:r>
    </w:p>
    <w:p w:rsidR="00AC1229" w:rsidRPr="00C85ADC" w:rsidRDefault="00AC1229" w:rsidP="00AC1229">
      <w:pPr>
        <w:rPr>
          <w:lang w:val="fr-FR"/>
        </w:rPr>
      </w:pPr>
      <w:r w:rsidRPr="00C85ADC">
        <w:rPr>
          <w:lang w:val="fr-FR"/>
        </w:rPr>
        <w:t>Genève, 11-15 novembre 2019</w:t>
      </w:r>
      <w:r w:rsidRPr="00C85ADC">
        <w:rPr>
          <w:lang w:val="fr-FR"/>
        </w:rPr>
        <w:tab/>
      </w:r>
      <w:r w:rsidRPr="00C85ADC">
        <w:rPr>
          <w:lang w:val="fr-FR"/>
        </w:rPr>
        <w:tab/>
      </w:r>
      <w:r w:rsidRPr="00C85ADC">
        <w:rPr>
          <w:lang w:val="fr-FR"/>
        </w:rPr>
        <w:tab/>
      </w:r>
      <w:r w:rsidRPr="00C85ADC">
        <w:rPr>
          <w:lang w:val="fr-FR"/>
        </w:rPr>
        <w:tab/>
      </w:r>
      <w:r w:rsidRPr="00C85ADC">
        <w:rPr>
          <w:lang w:val="fr-FR"/>
        </w:rPr>
        <w:tab/>
      </w:r>
      <w:r w:rsidRPr="00C85ADC">
        <w:rPr>
          <w:lang w:val="fr-FR"/>
        </w:rPr>
        <w:tab/>
      </w:r>
      <w:r w:rsidRPr="00C85ADC">
        <w:rPr>
          <w:lang w:val="fr-FR"/>
        </w:rPr>
        <w:tab/>
      </w:r>
      <w:r>
        <w:rPr>
          <w:lang w:val="fr-FR"/>
        </w:rPr>
        <w:t>6</w:t>
      </w:r>
      <w:r w:rsidRPr="00C85ADC">
        <w:rPr>
          <w:lang w:val="fr-FR"/>
        </w:rPr>
        <w:t xml:space="preserve"> novembre 2019</w:t>
      </w:r>
    </w:p>
    <w:p w:rsidR="00AC1229" w:rsidRPr="004539A2" w:rsidRDefault="00AC1229" w:rsidP="00AC1229">
      <w:r w:rsidRPr="004539A2">
        <w:rPr>
          <w:rFonts w:eastAsia="SimSun"/>
        </w:rPr>
        <w:t>Point</w:t>
      </w:r>
      <w:r>
        <w:rPr>
          <w:rFonts w:eastAsia="SimSun"/>
        </w:rPr>
        <w:t xml:space="preserve"> </w:t>
      </w:r>
      <w:r>
        <w:t>5 b)</w:t>
      </w:r>
      <w:r w:rsidRPr="004539A2">
        <w:t xml:space="preserve"> de l</w:t>
      </w:r>
      <w:r>
        <w:t>’</w:t>
      </w:r>
      <w:r w:rsidRPr="004539A2">
        <w:t>ordre du jour provisoire</w:t>
      </w:r>
    </w:p>
    <w:p w:rsidR="00AC1229" w:rsidRPr="00D105AA" w:rsidRDefault="00AC1229" w:rsidP="00AC1229">
      <w:pPr>
        <w:rPr>
          <w:b/>
        </w:rPr>
      </w:pPr>
      <w:r w:rsidRPr="00D105AA">
        <w:rPr>
          <w:b/>
        </w:rPr>
        <w:t>Propositions d'amendement aux annexes A et B de l'ADR:</w:t>
      </w:r>
    </w:p>
    <w:p w:rsidR="00AC1229" w:rsidRPr="00C85ADC" w:rsidRDefault="00AC1229" w:rsidP="00AC1229">
      <w:pPr>
        <w:rPr>
          <w:b/>
          <w:lang w:val="fr-FR"/>
        </w:rPr>
      </w:pPr>
      <w:r>
        <w:rPr>
          <w:b/>
          <w:lang w:val="fr-FR"/>
        </w:rPr>
        <w:t>p</w:t>
      </w:r>
      <w:r w:rsidRPr="00D105AA">
        <w:rPr>
          <w:b/>
          <w:lang w:val="fr-FR"/>
        </w:rPr>
        <w:t>ropositions diverses</w:t>
      </w:r>
    </w:p>
    <w:p w:rsidR="00AC1229" w:rsidRPr="00BC6988" w:rsidRDefault="00AC1229" w:rsidP="00AC1229">
      <w:pPr>
        <w:pStyle w:val="HChG"/>
      </w:pPr>
      <w:r w:rsidRPr="00C85ADC">
        <w:rPr>
          <w:lang w:val="fr-FR"/>
        </w:rPr>
        <w:tab/>
      </w:r>
      <w:r>
        <w:rPr>
          <w:lang w:val="fr-FR"/>
        </w:rPr>
        <w:tab/>
      </w:r>
      <w:r w:rsidRPr="00BC6988">
        <w:t>Commentaires concernant le document ECE/TRANS/WP.15/2019/16</w:t>
      </w:r>
    </w:p>
    <w:p w:rsidR="00AC1229" w:rsidRPr="00BC6988" w:rsidRDefault="00AC1229" w:rsidP="00AC1229">
      <w:pPr>
        <w:pStyle w:val="H1G"/>
        <w:rPr>
          <w:b w:val="0"/>
          <w:sz w:val="20"/>
        </w:rPr>
      </w:pPr>
      <w:r>
        <w:tab/>
      </w:r>
      <w:r>
        <w:tab/>
      </w:r>
      <w:r w:rsidRPr="00BC6988">
        <w:t>Transmis par le Gouvernement de la Suisse</w:t>
      </w:r>
    </w:p>
    <w:p w:rsidR="00AC1229" w:rsidRPr="00BC6988" w:rsidRDefault="00AC1229" w:rsidP="00AC1229">
      <w:pPr>
        <w:pStyle w:val="HChG"/>
      </w:pPr>
      <w:r w:rsidRPr="00BC6988">
        <w:tab/>
      </w:r>
      <w:r w:rsidRPr="00BC6988">
        <w:tab/>
        <w:t>Introduction</w:t>
      </w:r>
    </w:p>
    <w:p w:rsidR="00AC1229" w:rsidRPr="00BC6988" w:rsidRDefault="00AC1229" w:rsidP="00AC1229">
      <w:pPr>
        <w:pStyle w:val="SingleTxtG"/>
      </w:pPr>
      <w:r w:rsidRPr="00BC6988">
        <w:t>1.</w:t>
      </w:r>
      <w:r>
        <w:tab/>
      </w:r>
      <w:r w:rsidRPr="00BC6988">
        <w:t xml:space="preserve">Au cours de la dernière session en mai, la Suisse a été d'avis que les substances de la Division 1.3, autres que </w:t>
      </w:r>
      <w:r>
        <w:t>celle du</w:t>
      </w:r>
      <w:r w:rsidRPr="00BC6988">
        <w:t xml:space="preserve"> groupe de compatibilité C,</w:t>
      </w:r>
      <w:r>
        <w:t xml:space="preserve"> de</w:t>
      </w:r>
      <w:r w:rsidRPr="00BC6988">
        <w:t xml:space="preserve"> la division 1.4, autres que celles figurant dans le tableau 1.10.3.1.2 et </w:t>
      </w:r>
      <w:r>
        <w:t xml:space="preserve">de </w:t>
      </w:r>
      <w:r w:rsidRPr="00BC6988">
        <w:t xml:space="preserve">la division 1.6 devraient rester assujetties aux dispositions de surveillance de chapitre 8.5. Le texte proposé par la Suède pour S1(6) et S16 exclut l'obligation de surveillance de ces substances parce qu'il ne fait référence qu'aux substances figurant </w:t>
      </w:r>
      <w:r>
        <w:t>au</w:t>
      </w:r>
      <w:r w:rsidRPr="00BC6988">
        <w:t xml:space="preserve"> 1.10.3. Afin d'éviter cet inconvénient, nous avons proposé dans </w:t>
      </w:r>
      <w:r>
        <w:t xml:space="preserve">le </w:t>
      </w:r>
      <w:r w:rsidRPr="00BC6988">
        <w:t>INF.19 de la session de mai d'adopter pour S1(6) et S16 le même libellé que pour S21 comme suit:</w:t>
      </w:r>
    </w:p>
    <w:p w:rsidR="00AC1229" w:rsidRPr="001B17DD" w:rsidRDefault="00AC1229" w:rsidP="00AC1229">
      <w:pPr>
        <w:pStyle w:val="HChG"/>
      </w:pPr>
      <w:r w:rsidRPr="00BC6988">
        <w:tab/>
      </w:r>
      <w:r w:rsidRPr="00BC6988">
        <w:tab/>
      </w:r>
      <w:r w:rsidRPr="001B17DD">
        <w:rPr>
          <w:bCs/>
        </w:rPr>
        <w:t>Proposition</w:t>
      </w:r>
    </w:p>
    <w:p w:rsidR="00AC1229" w:rsidRPr="00AA553E" w:rsidRDefault="00AC1229" w:rsidP="00AC1229">
      <w:pPr>
        <w:pStyle w:val="SingleTxtG"/>
      </w:pPr>
      <w:r w:rsidRPr="0090089B">
        <w:t>2.</w:t>
      </w:r>
      <w:r w:rsidRPr="0090089B">
        <w:tab/>
      </w:r>
      <w:r>
        <w:t>Modifier le texte de la prescription supplémentaire S1(6) du chapitre 8.5 comme suit (les parties modifiées sont soulignées) :</w:t>
      </w:r>
    </w:p>
    <w:p w:rsidR="00AC1229" w:rsidRPr="00AA553E" w:rsidRDefault="00AC1229" w:rsidP="00AC1229">
      <w:pPr>
        <w:pStyle w:val="SingleTxtG"/>
        <w:keepNext/>
        <w:keepLines/>
        <w:ind w:left="1701" w:hanging="567"/>
        <w:rPr>
          <w:i/>
        </w:rPr>
      </w:pPr>
      <w:r>
        <w:t>« </w:t>
      </w:r>
      <w:r w:rsidRPr="0014147F">
        <w:rPr>
          <w:b/>
        </w:rPr>
        <w:t>S1(6)</w:t>
      </w:r>
      <w:r w:rsidRPr="0014147F">
        <w:rPr>
          <w:b/>
        </w:rPr>
        <w:tab/>
      </w:r>
      <w:r w:rsidRPr="0014147F">
        <w:rPr>
          <w:b/>
          <w:i/>
          <w:iCs/>
        </w:rPr>
        <w:t>Surveillance des véhicules</w:t>
      </w:r>
    </w:p>
    <w:p w:rsidR="00AC1229" w:rsidRPr="00AA553E" w:rsidRDefault="00AC1229" w:rsidP="00AC1229">
      <w:pPr>
        <w:pStyle w:val="SingleTxtG"/>
        <w:keepNext/>
        <w:keepLines/>
        <w:ind w:left="2268"/>
      </w:pPr>
      <w:r>
        <w:t>Les prescriptions du chapitre 8.4 ne sont applicables que lorsque la masse totale nette de matière explosible des matières et objets de la classe 1 transportés dans un véhicule est supérieure aux limites indiquées ci-après :</w:t>
      </w:r>
    </w:p>
    <w:tbl>
      <w:tblPr>
        <w:tblW w:w="7370" w:type="dxa"/>
        <w:tblInd w:w="1134" w:type="dxa"/>
        <w:tblLayout w:type="fixed"/>
        <w:tblCellMar>
          <w:left w:w="0" w:type="dxa"/>
          <w:right w:w="0" w:type="dxa"/>
        </w:tblCellMar>
        <w:tblLook w:val="0000" w:firstRow="0" w:lastRow="0" w:firstColumn="0" w:lastColumn="0" w:noHBand="0" w:noVBand="0"/>
      </w:tblPr>
      <w:tblGrid>
        <w:gridCol w:w="6901"/>
        <w:gridCol w:w="469"/>
      </w:tblGrid>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Division1.1 :</w:t>
            </w:r>
          </w:p>
        </w:tc>
        <w:tc>
          <w:tcPr>
            <w:tcW w:w="469" w:type="dxa"/>
            <w:shd w:val="clear" w:color="auto" w:fill="auto"/>
            <w:vAlign w:val="bottom"/>
          </w:tcPr>
          <w:p w:rsidR="00AC1229" w:rsidRPr="00FB0A6C" w:rsidRDefault="00AC1229" w:rsidP="00677227">
            <w:pPr>
              <w:suppressAutoHyphens w:val="0"/>
              <w:spacing w:before="40" w:after="40" w:line="220" w:lineRule="exact"/>
              <w:jc w:val="right"/>
              <w:rPr>
                <w:lang w:val="fr-FR"/>
              </w:rPr>
            </w:pPr>
            <w:r w:rsidRPr="00FB0A6C">
              <w:rPr>
                <w:lang w:val="fr-FR"/>
              </w:rPr>
              <w:t>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Division 1.2 :</w:t>
            </w:r>
          </w:p>
        </w:tc>
        <w:tc>
          <w:tcPr>
            <w:tcW w:w="469" w:type="dxa"/>
            <w:shd w:val="clear" w:color="auto" w:fill="auto"/>
            <w:vAlign w:val="bottom"/>
          </w:tcPr>
          <w:p w:rsidR="00AC1229" w:rsidRPr="00FB0A6C" w:rsidRDefault="00AC1229" w:rsidP="00677227">
            <w:pPr>
              <w:suppressAutoHyphens w:val="0"/>
              <w:spacing w:before="40" w:after="40" w:line="220" w:lineRule="exact"/>
              <w:jc w:val="right"/>
              <w:rPr>
                <w:lang w:val="fr-FR"/>
              </w:rPr>
            </w:pPr>
            <w:r w:rsidRPr="00FB0A6C">
              <w:rPr>
                <w:lang w:val="fr-FR"/>
              </w:rPr>
              <w:t>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 xml:space="preserve">Division 1.3, matières et objets explosibles du groupe </w:t>
            </w:r>
            <w:r>
              <w:rPr>
                <w:lang w:val="fr-FR"/>
              </w:rPr>
              <w:br/>
            </w:r>
            <w:r w:rsidRPr="00FB0A6C">
              <w:rPr>
                <w:lang w:val="fr-FR"/>
              </w:rPr>
              <w:t>de compatibilité C :</w:t>
            </w:r>
          </w:p>
        </w:tc>
        <w:tc>
          <w:tcPr>
            <w:tcW w:w="469" w:type="dxa"/>
            <w:shd w:val="clear" w:color="auto" w:fill="auto"/>
            <w:vAlign w:val="bottom"/>
          </w:tcPr>
          <w:p w:rsidR="00AC1229" w:rsidRPr="00FB0A6C" w:rsidRDefault="00AC1229" w:rsidP="00677227">
            <w:pPr>
              <w:suppressAutoHyphens w:val="0"/>
              <w:spacing w:before="40" w:after="40" w:line="220" w:lineRule="exact"/>
              <w:jc w:val="right"/>
            </w:pPr>
            <w:r w:rsidRPr="00FB0A6C">
              <w:rPr>
                <w:lang w:val="fr-FR"/>
              </w:rPr>
              <w:t>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 xml:space="preserve">Division 1.3, matières et objets explosibles n’appartenant pas </w:t>
            </w:r>
            <w:r>
              <w:rPr>
                <w:lang w:val="fr-FR"/>
              </w:rPr>
              <w:br/>
            </w:r>
            <w:r w:rsidRPr="00FB0A6C">
              <w:rPr>
                <w:lang w:val="fr-FR"/>
              </w:rPr>
              <w:t>au groupe de compatibilité C :</w:t>
            </w:r>
          </w:p>
        </w:tc>
        <w:tc>
          <w:tcPr>
            <w:tcW w:w="469" w:type="dxa"/>
            <w:shd w:val="clear" w:color="auto" w:fill="auto"/>
            <w:vAlign w:val="bottom"/>
          </w:tcPr>
          <w:p w:rsidR="00AC1229" w:rsidRPr="00FB0A6C" w:rsidRDefault="00AC1229" w:rsidP="00677227">
            <w:pPr>
              <w:suppressAutoHyphens w:val="0"/>
              <w:spacing w:before="40" w:after="40" w:line="220" w:lineRule="exact"/>
              <w:jc w:val="right"/>
            </w:pPr>
            <w:r w:rsidRPr="00FB0A6C">
              <w:rPr>
                <w:lang w:val="fr-FR"/>
              </w:rPr>
              <w:t>50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 xml:space="preserve">Division 1.4, matières et objets autres que ceux qui sont énumérés </w:t>
            </w:r>
            <w:r>
              <w:rPr>
                <w:lang w:val="fr-FR"/>
              </w:rPr>
              <w:br/>
            </w:r>
            <w:r w:rsidRPr="00FB0A6C">
              <w:rPr>
                <w:lang w:val="fr-FR"/>
              </w:rPr>
              <w:t>ci-dessous :</w:t>
            </w:r>
          </w:p>
        </w:tc>
        <w:tc>
          <w:tcPr>
            <w:tcW w:w="469" w:type="dxa"/>
            <w:shd w:val="clear" w:color="auto" w:fill="auto"/>
            <w:vAlign w:val="bottom"/>
          </w:tcPr>
          <w:p w:rsidR="00AC1229" w:rsidRPr="00FB0A6C" w:rsidRDefault="00AC1229" w:rsidP="00677227">
            <w:pPr>
              <w:suppressAutoHyphens w:val="0"/>
              <w:spacing w:before="40" w:after="40" w:line="220" w:lineRule="exact"/>
              <w:jc w:val="right"/>
            </w:pPr>
            <w:r w:rsidRPr="00FB0A6C">
              <w:rPr>
                <w:lang w:val="fr-FR"/>
              </w:rPr>
              <w:t>50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Division 1.5 :</w:t>
            </w:r>
          </w:p>
        </w:tc>
        <w:tc>
          <w:tcPr>
            <w:tcW w:w="469" w:type="dxa"/>
            <w:shd w:val="clear" w:color="auto" w:fill="auto"/>
            <w:vAlign w:val="bottom"/>
          </w:tcPr>
          <w:p w:rsidR="00AC1229" w:rsidRPr="00FB0A6C" w:rsidRDefault="00AC1229" w:rsidP="00677227">
            <w:pPr>
              <w:suppressAutoHyphens w:val="0"/>
              <w:spacing w:before="40" w:after="40" w:line="220" w:lineRule="exact"/>
              <w:jc w:val="right"/>
            </w:pPr>
            <w:r w:rsidRPr="00FB0A6C">
              <w:rPr>
                <w:lang w:val="fr-FR"/>
              </w:rPr>
              <w:t>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Division 1.6 :</w:t>
            </w:r>
          </w:p>
        </w:tc>
        <w:tc>
          <w:tcPr>
            <w:tcW w:w="469" w:type="dxa"/>
            <w:shd w:val="clear" w:color="auto" w:fill="auto"/>
            <w:vAlign w:val="bottom"/>
          </w:tcPr>
          <w:p w:rsidR="00AC1229" w:rsidRPr="00FB0A6C" w:rsidRDefault="00AC1229" w:rsidP="00677227">
            <w:pPr>
              <w:suppressAutoHyphens w:val="0"/>
              <w:spacing w:before="40" w:after="40" w:line="220" w:lineRule="exact"/>
              <w:jc w:val="right"/>
            </w:pPr>
            <w:r w:rsidRPr="00FB0A6C">
              <w:rPr>
                <w:lang w:val="fr-FR"/>
              </w:rPr>
              <w:t>50 kg</w:t>
            </w:r>
          </w:p>
        </w:tc>
      </w:tr>
      <w:tr w:rsidR="00AC1229" w:rsidRPr="00FB0A6C" w:rsidTr="00677227">
        <w:trPr>
          <w:cantSplit/>
        </w:trPr>
        <w:tc>
          <w:tcPr>
            <w:tcW w:w="6901" w:type="dxa"/>
            <w:shd w:val="clear" w:color="auto" w:fill="auto"/>
          </w:tcPr>
          <w:p w:rsidR="00AC1229" w:rsidRPr="00FB0A6C" w:rsidRDefault="00AC1229" w:rsidP="00677227">
            <w:pPr>
              <w:suppressAutoHyphens w:val="0"/>
              <w:spacing w:before="40" w:after="40" w:line="220" w:lineRule="exact"/>
              <w:ind w:left="1139"/>
              <w:rPr>
                <w:lang w:val="fr-FR"/>
              </w:rPr>
            </w:pPr>
            <w:r w:rsidRPr="00FB0A6C">
              <w:rPr>
                <w:lang w:val="fr-FR"/>
              </w:rPr>
              <w:t xml:space="preserve">Matières et objets de la Division 1.4 affectés aux numéros </w:t>
            </w:r>
            <w:r>
              <w:rPr>
                <w:lang w:val="fr-FR"/>
              </w:rPr>
              <w:br/>
            </w:r>
            <w:r w:rsidRPr="00FB0A6C">
              <w:rPr>
                <w:lang w:val="fr-FR"/>
              </w:rPr>
              <w:t xml:space="preserve">ONU 0104, 0237, 0255, 0267, 0289, 0361, 0365, 0366, </w:t>
            </w:r>
            <w:r>
              <w:rPr>
                <w:lang w:val="fr-FR"/>
              </w:rPr>
              <w:br/>
            </w:r>
            <w:r w:rsidRPr="00FB0A6C">
              <w:rPr>
                <w:lang w:val="fr-FR"/>
              </w:rPr>
              <w:t>0440, 0441, 0455, 0456 et</w:t>
            </w:r>
            <w:r>
              <w:rPr>
                <w:lang w:val="fr-FR"/>
              </w:rPr>
              <w:t xml:space="preserve"> </w:t>
            </w:r>
            <w:r w:rsidRPr="00FB0A6C">
              <w:rPr>
                <w:lang w:val="fr-FR"/>
              </w:rPr>
              <w:t>0500 :</w:t>
            </w:r>
          </w:p>
        </w:tc>
        <w:tc>
          <w:tcPr>
            <w:tcW w:w="469" w:type="dxa"/>
            <w:shd w:val="clear" w:color="auto" w:fill="auto"/>
            <w:vAlign w:val="bottom"/>
          </w:tcPr>
          <w:p w:rsidR="00AC1229" w:rsidRPr="00FB0A6C" w:rsidRDefault="00AC1229" w:rsidP="00677227">
            <w:pPr>
              <w:suppressAutoHyphens w:val="0"/>
              <w:spacing w:before="40" w:after="40" w:line="220" w:lineRule="exact"/>
              <w:jc w:val="right"/>
            </w:pPr>
            <w:r w:rsidRPr="00FB0A6C">
              <w:rPr>
                <w:lang w:val="fr-FR"/>
              </w:rPr>
              <w:t>0 kg</w:t>
            </w:r>
          </w:p>
        </w:tc>
      </w:tr>
    </w:tbl>
    <w:p w:rsidR="00AC1229" w:rsidRPr="00AC60B4" w:rsidRDefault="00AC1229" w:rsidP="00AC1229">
      <w:pPr>
        <w:pStyle w:val="SingleTxtG"/>
      </w:pPr>
      <w:r>
        <w:tab/>
      </w:r>
      <w:r w:rsidRPr="00AC60B4">
        <w:t>Pour les chargements en commun, la limite la plus basse applicable à l’une quelconque des matières ou à l’un quelconque des objets transportés sera utilisée pour l’ensemble du chargement.</w:t>
      </w:r>
    </w:p>
    <w:p w:rsidR="00AC1229" w:rsidRPr="00AC60B4" w:rsidRDefault="00AC1229" w:rsidP="00AC1229">
      <w:pPr>
        <w:pStyle w:val="SingleTxtG"/>
      </w:pPr>
      <w:r w:rsidRPr="00AC60B4">
        <w:lastRenderedPageBreak/>
        <w:tab/>
        <w:t xml:space="preserve">En outre, ces matières et objets doivent faire 1'objet d'une surveillance constante destinée à prévenir tout acte de malveillance et à alerter le conducteur et les autorités compétentes en cas de perte ou d'incendie. </w:t>
      </w:r>
      <w:r>
        <w:rPr>
          <w:u w:val="single"/>
        </w:rPr>
        <w:t>Ces dispositions s’appliquent conformément au plan de sûreté visé au 1.10.3.2, lorsque ces matières et objets sont soumis en plus aux dispositions du 1.10.3.</w:t>
      </w:r>
    </w:p>
    <w:p w:rsidR="00AC1229" w:rsidRPr="00AC60B4" w:rsidRDefault="00AC1229" w:rsidP="00AC1229">
      <w:pPr>
        <w:pStyle w:val="SingleTxtG"/>
      </w:pPr>
      <w:r w:rsidRPr="00AC60B4">
        <w:tab/>
        <w:t>Les emballages vides non nettoyés en sont exemptés.</w:t>
      </w:r>
    </w:p>
    <w:p w:rsidR="00AC1229" w:rsidRPr="008E4A96" w:rsidRDefault="00AC1229" w:rsidP="00AC1229">
      <w:pPr>
        <w:pStyle w:val="SingleTxtG"/>
      </w:pPr>
      <w:r w:rsidRPr="008E4A96">
        <w:t> ».</w:t>
      </w:r>
    </w:p>
    <w:p w:rsidR="00AC1229" w:rsidRPr="00AA553E" w:rsidRDefault="00AC1229" w:rsidP="00AC1229">
      <w:pPr>
        <w:pStyle w:val="SingleTxtG"/>
      </w:pPr>
      <w:r>
        <w:t>3.</w:t>
      </w:r>
      <w:r>
        <w:tab/>
        <w:t>Modifier le texte de la prescription supplémentaire S16 du chapitre 8.5 comme suit (les parties modifiées sont biffées ou soulignées) :</w:t>
      </w:r>
    </w:p>
    <w:p w:rsidR="00AC1229" w:rsidRPr="00AA553E" w:rsidRDefault="00AC1229" w:rsidP="00AC1229">
      <w:pPr>
        <w:pStyle w:val="SingleTxtG"/>
        <w:ind w:left="1985" w:hanging="851"/>
      </w:pPr>
      <w:r>
        <w:t>« </w:t>
      </w:r>
      <w:r w:rsidRPr="00880CCC">
        <w:rPr>
          <w:b/>
        </w:rPr>
        <w:t>S16</w:t>
      </w:r>
      <w:r>
        <w:t> :</w:t>
      </w:r>
      <w:r>
        <w:tab/>
        <w:t>Les dispositions du chapitre 8.4 relatives à la surveillance des véhicules s’appliquent lorsque la masse totale de cette marchandise dans le véhicule dépasse 500 kg.</w:t>
      </w:r>
    </w:p>
    <w:p w:rsidR="00AC1229" w:rsidRPr="00AC60B4" w:rsidRDefault="00AC1229" w:rsidP="00AC1229">
      <w:pPr>
        <w:pStyle w:val="SingleTxtG"/>
        <w:rPr>
          <w:b/>
        </w:rPr>
      </w:pPr>
      <w:r w:rsidRPr="00AC60B4">
        <w:tab/>
        <w:t xml:space="preserve">En outre, les véhicules transportant plus de 500 kg de cette marchandise feront toujours 1'objet d'une surveillance propre à empêcher toute action de malveillance et à alerter le conducteur et les autorités compétentes en cas de perte ou d'incendie. </w:t>
      </w:r>
      <w:r>
        <w:rPr>
          <w:u w:val="single"/>
        </w:rPr>
        <w:t>Ces dispositions s’appliquent conformément au plan de sûreté visé au 1.10.3.2, lorsque ces matières et objets sont soumis en plus aux dispositions du 1.10.3.</w:t>
      </w:r>
    </w:p>
    <w:p w:rsidR="00AC1229" w:rsidRPr="00AA553E" w:rsidRDefault="00AC1229" w:rsidP="00AC1229">
      <w:pPr>
        <w:pStyle w:val="SingleTxtG"/>
      </w:pPr>
      <w:r>
        <w:t>. ».</w:t>
      </w:r>
    </w:p>
    <w:p w:rsidR="00AC1229" w:rsidRPr="00316575" w:rsidRDefault="00AC1229" w:rsidP="00AC1229">
      <w:pPr>
        <w:pStyle w:val="SingleTxtG"/>
        <w:spacing w:before="240" w:after="0"/>
        <w:jc w:val="center"/>
        <w:rPr>
          <w:u w:val="single"/>
          <w:lang w:val="en-US"/>
        </w:rPr>
      </w:pPr>
      <w:r w:rsidRPr="00316575">
        <w:rPr>
          <w:u w:val="single"/>
          <w:lang w:val="en-US"/>
        </w:rPr>
        <w:tab/>
      </w:r>
      <w:r w:rsidRPr="00316575">
        <w:rPr>
          <w:u w:val="single"/>
          <w:lang w:val="en-US"/>
        </w:rPr>
        <w:tab/>
      </w:r>
      <w:r w:rsidRPr="00316575">
        <w:rPr>
          <w:u w:val="single"/>
          <w:lang w:val="en-US"/>
        </w:rPr>
        <w:tab/>
      </w:r>
    </w:p>
    <w:p w:rsidR="00C1626B" w:rsidRPr="00AC1229" w:rsidRDefault="00C1626B" w:rsidP="00F06ED4"/>
    <w:sectPr w:rsidR="00C1626B" w:rsidRPr="00AC1229" w:rsidSect="00AC1229">
      <w:headerReference w:type="even" r:id="rId7"/>
      <w:headerReference w:type="default" r:id="rId8"/>
      <w:footerReference w:type="even" r:id="rId9"/>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29" w:rsidRDefault="00AC1229" w:rsidP="00F95C08">
      <w:pPr>
        <w:spacing w:line="240" w:lineRule="auto"/>
      </w:pPr>
    </w:p>
  </w:endnote>
  <w:endnote w:type="continuationSeparator" w:id="0">
    <w:p w:rsidR="00AC1229" w:rsidRPr="00AC3823" w:rsidRDefault="00AC1229" w:rsidP="00AC3823">
      <w:pPr>
        <w:pStyle w:val="Footer"/>
      </w:pPr>
    </w:p>
  </w:endnote>
  <w:endnote w:type="continuationNotice" w:id="1">
    <w:p w:rsidR="00AC1229" w:rsidRDefault="00AC12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29" w:rsidRPr="00AC1229" w:rsidRDefault="00AC1229" w:rsidP="00AC1229">
    <w:pPr>
      <w:pStyle w:val="Footer"/>
      <w:tabs>
        <w:tab w:val="right" w:pos="9638"/>
      </w:tabs>
      <w:rPr>
        <w:sz w:val="18"/>
      </w:rPr>
    </w:pPr>
    <w:r w:rsidRPr="00AC1229">
      <w:rPr>
        <w:b/>
        <w:sz w:val="18"/>
      </w:rPr>
      <w:fldChar w:fldCharType="begin"/>
    </w:r>
    <w:r w:rsidRPr="00AC1229">
      <w:rPr>
        <w:b/>
        <w:sz w:val="18"/>
      </w:rPr>
      <w:instrText xml:space="preserve"> PAGE  \* MERGEFORMAT </w:instrText>
    </w:r>
    <w:r w:rsidRPr="00AC1229">
      <w:rPr>
        <w:b/>
        <w:sz w:val="18"/>
      </w:rPr>
      <w:fldChar w:fldCharType="separate"/>
    </w:r>
    <w:r w:rsidRPr="00AC1229">
      <w:rPr>
        <w:b/>
        <w:noProof/>
        <w:sz w:val="18"/>
      </w:rPr>
      <w:t>2</w:t>
    </w:r>
    <w:r w:rsidRPr="00AC122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29" w:rsidRPr="00AC1229" w:rsidRDefault="00AC1229" w:rsidP="00AC1229">
    <w:pPr>
      <w:pStyle w:val="Footer"/>
      <w:tabs>
        <w:tab w:val="right" w:pos="9638"/>
      </w:tabs>
      <w:rPr>
        <w:b/>
        <w:sz w:val="18"/>
      </w:rPr>
    </w:pPr>
    <w:r>
      <w:tab/>
    </w:r>
    <w:r w:rsidRPr="00AC1229">
      <w:rPr>
        <w:b/>
        <w:sz w:val="18"/>
      </w:rPr>
      <w:fldChar w:fldCharType="begin"/>
    </w:r>
    <w:r w:rsidRPr="00AC1229">
      <w:rPr>
        <w:b/>
        <w:sz w:val="18"/>
      </w:rPr>
      <w:instrText xml:space="preserve"> PAGE  \* MERGEFORMAT </w:instrText>
    </w:r>
    <w:r w:rsidRPr="00AC1229">
      <w:rPr>
        <w:b/>
        <w:sz w:val="18"/>
      </w:rPr>
      <w:fldChar w:fldCharType="separate"/>
    </w:r>
    <w:r w:rsidRPr="00AC1229">
      <w:rPr>
        <w:b/>
        <w:noProof/>
        <w:sz w:val="18"/>
      </w:rPr>
      <w:t>3</w:t>
    </w:r>
    <w:r w:rsidRPr="00AC12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AC1229"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21AE0A80" wp14:editId="2CD59822">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29" w:rsidRPr="00AC3823" w:rsidRDefault="00AC1229" w:rsidP="00AC3823">
      <w:pPr>
        <w:pStyle w:val="Footer"/>
        <w:tabs>
          <w:tab w:val="right" w:pos="2155"/>
        </w:tabs>
        <w:spacing w:after="80" w:line="240" w:lineRule="atLeast"/>
        <w:ind w:left="680"/>
        <w:rPr>
          <w:u w:val="single"/>
        </w:rPr>
      </w:pPr>
      <w:r>
        <w:rPr>
          <w:u w:val="single"/>
        </w:rPr>
        <w:tab/>
      </w:r>
    </w:p>
  </w:footnote>
  <w:footnote w:type="continuationSeparator" w:id="0">
    <w:p w:rsidR="00AC1229" w:rsidRPr="00AC3823" w:rsidRDefault="00AC1229" w:rsidP="00AC3823">
      <w:pPr>
        <w:pStyle w:val="Footer"/>
        <w:tabs>
          <w:tab w:val="right" w:pos="2155"/>
        </w:tabs>
        <w:spacing w:after="80" w:line="240" w:lineRule="atLeast"/>
        <w:ind w:left="680"/>
        <w:rPr>
          <w:u w:val="single"/>
        </w:rPr>
      </w:pPr>
      <w:r>
        <w:rPr>
          <w:u w:val="single"/>
        </w:rPr>
        <w:tab/>
      </w:r>
    </w:p>
  </w:footnote>
  <w:footnote w:type="continuationNotice" w:id="1">
    <w:p w:rsidR="00AC1229" w:rsidRPr="00AC3823" w:rsidRDefault="00AC122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29" w:rsidRPr="00AC1229" w:rsidRDefault="00AC1229">
    <w:pPr>
      <w:pStyle w:val="Header"/>
    </w:pPr>
    <w:fldSimple w:instr=" TITLE  \* MERGEFORMAT ">
      <w:r>
        <w:t xml:space="preserve">INF.18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29" w:rsidRPr="00AC1229" w:rsidRDefault="00AC1229" w:rsidP="00AC1229">
    <w:pPr>
      <w:pStyle w:val="Header"/>
      <w:jc w:val="right"/>
    </w:pPr>
    <w:fldSimple w:instr=" TITLE  \* MERGEFORMAT ">
      <w:r>
        <w:t xml:space="preserve">INF.18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C1229"/>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1229"/>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3794D"/>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52F9"/>
  <w15:docId w15:val="{11F4132F-8D5A-4085-86AE-00D895D7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har">
    <w:name w:val="_ H_1_G Char"/>
    <w:link w:val="H1G"/>
    <w:uiPriority w:val="99"/>
    <w:locked/>
    <w:rsid w:val="00AC122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4</TotalTime>
  <Pages>2</Pages>
  <Words>472</Words>
  <Characters>2909</Characters>
  <Application>Microsoft Office Word</Application>
  <DocSecurity>0</DocSecurity>
  <Lines>484</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INF.18 </vt:lpstr>
      <vt:lpstr>ECE/EX/22</vt:lpstr>
    </vt:vector>
  </TitlesOfParts>
  <Company>DCM</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INF.18 </dc:title>
  <dc:subject>FINAL</dc:subject>
  <dc:creator>Christine Barrio-Champeau</dc:creator>
  <cp:keywords/>
  <dc:description/>
  <cp:lastModifiedBy>Christine Barrio-Champeau</cp:lastModifiedBy>
  <cp:revision>2</cp:revision>
  <cp:lastPrinted>2014-05-14T10:59:00Z</cp:lastPrinted>
  <dcterms:created xsi:type="dcterms:W3CDTF">2019-11-06T09:51:00Z</dcterms:created>
  <dcterms:modified xsi:type="dcterms:W3CDTF">2019-11-06T09:55:00Z</dcterms:modified>
</cp:coreProperties>
</file>