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D008F6" w:rsidTr="00691F20">
        <w:trPr>
          <w:cantSplit/>
          <w:trHeight w:hRule="exact" w:val="851"/>
        </w:trPr>
        <w:tc>
          <w:tcPr>
            <w:tcW w:w="9639" w:type="dxa"/>
            <w:tcBorders>
              <w:bottom w:val="single" w:sz="4" w:space="0" w:color="auto"/>
            </w:tcBorders>
            <w:vAlign w:val="bottom"/>
          </w:tcPr>
          <w:p w:rsidR="0099001C" w:rsidRPr="00D008F6" w:rsidRDefault="0099001C" w:rsidP="00ED4C3C">
            <w:pPr>
              <w:jc w:val="right"/>
              <w:rPr>
                <w:b/>
                <w:sz w:val="40"/>
                <w:szCs w:val="40"/>
              </w:rPr>
            </w:pPr>
            <w:r w:rsidRPr="00D008F6">
              <w:rPr>
                <w:b/>
                <w:sz w:val="40"/>
                <w:szCs w:val="40"/>
              </w:rPr>
              <w:t>UN/SCEGHS/</w:t>
            </w:r>
            <w:r w:rsidR="003A449B" w:rsidRPr="00D008F6">
              <w:rPr>
                <w:b/>
                <w:sz w:val="40"/>
                <w:szCs w:val="40"/>
              </w:rPr>
              <w:t>3</w:t>
            </w:r>
            <w:r w:rsidR="00D77763" w:rsidRPr="00D008F6">
              <w:rPr>
                <w:b/>
                <w:sz w:val="40"/>
                <w:szCs w:val="40"/>
              </w:rPr>
              <w:t>7</w:t>
            </w:r>
            <w:r w:rsidRPr="00D008F6">
              <w:rPr>
                <w:b/>
                <w:sz w:val="40"/>
                <w:szCs w:val="40"/>
              </w:rPr>
              <w:t>/INF.</w:t>
            </w:r>
            <w:r w:rsidR="005F5D9D" w:rsidRPr="00D008F6">
              <w:rPr>
                <w:b/>
                <w:sz w:val="40"/>
                <w:szCs w:val="40"/>
              </w:rPr>
              <w:t>2</w:t>
            </w:r>
          </w:p>
        </w:tc>
      </w:tr>
      <w:tr w:rsidR="0099001C" w:rsidRPr="00D008F6" w:rsidTr="008B6E26">
        <w:trPr>
          <w:cantSplit/>
          <w:trHeight w:hRule="exact" w:val="3114"/>
        </w:trPr>
        <w:tc>
          <w:tcPr>
            <w:tcW w:w="9639" w:type="dxa"/>
            <w:tcBorders>
              <w:top w:val="single" w:sz="4" w:space="0" w:color="auto"/>
            </w:tcBorders>
          </w:tcPr>
          <w:p w:rsidR="00E72DED" w:rsidRPr="00D008F6" w:rsidRDefault="00E72DED" w:rsidP="00E72DED">
            <w:pPr>
              <w:spacing w:before="120"/>
              <w:rPr>
                <w:b/>
                <w:sz w:val="24"/>
                <w:szCs w:val="24"/>
              </w:rPr>
            </w:pPr>
            <w:r w:rsidRPr="00D008F6">
              <w:rPr>
                <w:b/>
                <w:sz w:val="24"/>
                <w:szCs w:val="24"/>
              </w:rPr>
              <w:t>Committee of Experts on the Transport of Dangerous Goods</w:t>
            </w:r>
            <w:r w:rsidRPr="00D008F6">
              <w:rPr>
                <w:b/>
                <w:sz w:val="24"/>
                <w:szCs w:val="24"/>
              </w:rPr>
              <w:br/>
              <w:t>and on the Globally Harmonized System of Classification</w:t>
            </w:r>
            <w:r w:rsidRPr="00D008F6">
              <w:rPr>
                <w:b/>
                <w:sz w:val="24"/>
                <w:szCs w:val="24"/>
              </w:rPr>
              <w:br/>
              <w:t>and Labelling of Chemicals</w:t>
            </w:r>
          </w:p>
          <w:p w:rsidR="00E72DED" w:rsidRPr="00D008F6" w:rsidRDefault="00E72DED" w:rsidP="00E72DED">
            <w:pPr>
              <w:tabs>
                <w:tab w:val="right" w:pos="9300"/>
              </w:tabs>
              <w:spacing w:before="120"/>
              <w:rPr>
                <w:rFonts w:ascii="Helv" w:hAnsi="Helv" w:cs="Helv"/>
                <w:b/>
                <w:color w:val="000000"/>
              </w:rPr>
            </w:pPr>
            <w:r w:rsidRPr="00D008F6">
              <w:rPr>
                <w:b/>
              </w:rPr>
              <w:t>Sub-Committee of Experts on the Globally Harmonized</w:t>
            </w:r>
            <w:r w:rsidRPr="00D008F6">
              <w:rPr>
                <w:b/>
              </w:rPr>
              <w:br/>
              <w:t>System of Classification and Labelling of Chemicals</w:t>
            </w:r>
            <w:r w:rsidRPr="00D008F6">
              <w:rPr>
                <w:b/>
              </w:rPr>
              <w:tab/>
            </w:r>
            <w:r w:rsidR="00D008F6" w:rsidRPr="00D008F6">
              <w:rPr>
                <w:b/>
              </w:rPr>
              <w:t>5 July</w:t>
            </w:r>
            <w:r w:rsidR="00D77763" w:rsidRPr="00D008F6">
              <w:rPr>
                <w:b/>
              </w:rPr>
              <w:t xml:space="preserve"> </w:t>
            </w:r>
            <w:r w:rsidR="00266461" w:rsidRPr="00D008F6">
              <w:rPr>
                <w:b/>
              </w:rPr>
              <w:t>2019</w:t>
            </w:r>
          </w:p>
          <w:p w:rsidR="00ED4C3C" w:rsidRPr="00D008F6" w:rsidRDefault="00ED4C3C" w:rsidP="00ED4C3C">
            <w:pPr>
              <w:spacing w:before="120"/>
              <w:rPr>
                <w:b/>
              </w:rPr>
            </w:pPr>
            <w:r w:rsidRPr="00D008F6">
              <w:rPr>
                <w:b/>
                <w:bCs/>
              </w:rPr>
              <w:t>Thirty-</w:t>
            </w:r>
            <w:r w:rsidR="00266461" w:rsidRPr="00D008F6">
              <w:rPr>
                <w:b/>
                <w:bCs/>
              </w:rPr>
              <w:t>s</w:t>
            </w:r>
            <w:r w:rsidR="00D77763" w:rsidRPr="00D008F6">
              <w:rPr>
                <w:b/>
                <w:bCs/>
              </w:rPr>
              <w:t>eventh</w:t>
            </w:r>
            <w:r w:rsidRPr="00D008F6">
              <w:rPr>
                <w:b/>
                <w:bCs/>
              </w:rPr>
              <w:t xml:space="preserve"> session</w:t>
            </w:r>
          </w:p>
          <w:p w:rsidR="00ED4C3C" w:rsidRPr="00D008F6" w:rsidRDefault="00ED4C3C" w:rsidP="00ED4C3C">
            <w:pPr>
              <w:jc w:val="both"/>
            </w:pPr>
            <w:r w:rsidRPr="00D008F6">
              <w:t xml:space="preserve">Geneva, </w:t>
            </w:r>
            <w:r w:rsidR="00D77763" w:rsidRPr="00D008F6">
              <w:t>10-12 July 2019</w:t>
            </w:r>
          </w:p>
          <w:p w:rsidR="00ED4C3C" w:rsidRPr="00D008F6" w:rsidRDefault="00ED4C3C" w:rsidP="00ED4C3C">
            <w:pPr>
              <w:jc w:val="both"/>
            </w:pPr>
            <w:r w:rsidRPr="00D008F6">
              <w:t>Item 1 of the provisional agenda</w:t>
            </w:r>
          </w:p>
          <w:p w:rsidR="0099001C" w:rsidRPr="00D008F6" w:rsidRDefault="00ED4C3C" w:rsidP="00ED4C3C">
            <w:pPr>
              <w:jc w:val="both"/>
            </w:pPr>
            <w:r w:rsidRPr="00D008F6">
              <w:rPr>
                <w:b/>
              </w:rPr>
              <w:t>Adoption of the agenda</w:t>
            </w:r>
          </w:p>
        </w:tc>
      </w:tr>
    </w:tbl>
    <w:p w:rsidR="00D77763" w:rsidRPr="00D008F6" w:rsidRDefault="00D77763" w:rsidP="00D77763">
      <w:pPr>
        <w:pStyle w:val="HChG"/>
        <w:keepNext w:val="0"/>
        <w:keepLines w:val="0"/>
        <w:rPr>
          <w:b w:val="0"/>
        </w:rPr>
      </w:pPr>
      <w:r w:rsidRPr="00D008F6">
        <w:tab/>
      </w:r>
      <w:r w:rsidRPr="00D008F6">
        <w:tab/>
        <w:t>Agenda for the t</w:t>
      </w:r>
      <w:r w:rsidRPr="00D008F6">
        <w:rPr>
          <w:bCs/>
        </w:rPr>
        <w:t>hirty-seventh</w:t>
      </w:r>
      <w:r w:rsidRPr="00D008F6">
        <w:rPr>
          <w:b w:val="0"/>
          <w:bCs/>
        </w:rPr>
        <w:t xml:space="preserve"> </w:t>
      </w:r>
      <w:r w:rsidRPr="00D008F6">
        <w:t>session</w:t>
      </w:r>
    </w:p>
    <w:p w:rsidR="00D77763" w:rsidRPr="00D008F6" w:rsidRDefault="00D77763" w:rsidP="00D77763">
      <w:pPr>
        <w:pStyle w:val="H23G"/>
      </w:pPr>
      <w:r w:rsidRPr="00D008F6">
        <w:tab/>
      </w:r>
      <w:r w:rsidRPr="00D008F6">
        <w:tab/>
        <w:t>Addendum</w:t>
      </w:r>
    </w:p>
    <w:p w:rsidR="00D77763" w:rsidRPr="00D008F6" w:rsidRDefault="00D77763" w:rsidP="00D77763">
      <w:pPr>
        <w:pStyle w:val="H1G"/>
        <w:spacing w:before="240" w:line="240" w:lineRule="auto"/>
      </w:pPr>
      <w:r w:rsidRPr="00D008F6">
        <w:tab/>
      </w:r>
      <w:r w:rsidRPr="00D008F6">
        <w:tab/>
        <w:t>List of documents and annotations</w:t>
      </w:r>
    </w:p>
    <w:p w:rsidR="00D77763" w:rsidRPr="00D008F6" w:rsidRDefault="00D77763" w:rsidP="00D77763">
      <w:pPr>
        <w:pStyle w:val="H1G"/>
      </w:pPr>
      <w:r w:rsidRPr="00D008F6">
        <w:t xml:space="preserve"> </w:t>
      </w:r>
      <w:r w:rsidRPr="00D008F6">
        <w:tab/>
        <w:t>1.</w:t>
      </w:r>
      <w:r w:rsidRPr="00D008F6">
        <w:tab/>
        <w:t>Adoption of the agenda</w:t>
      </w:r>
    </w:p>
    <w:tbl>
      <w:tblPr>
        <w:tblW w:w="0" w:type="auto"/>
        <w:tblInd w:w="1100" w:type="dxa"/>
        <w:tblCellMar>
          <w:left w:w="0" w:type="dxa"/>
          <w:right w:w="0" w:type="dxa"/>
        </w:tblCellMar>
        <w:tblLook w:val="01E0" w:firstRow="1" w:lastRow="1" w:firstColumn="1" w:lastColumn="1" w:noHBand="0" w:noVBand="0"/>
      </w:tblPr>
      <w:tblGrid>
        <w:gridCol w:w="3011"/>
        <w:gridCol w:w="4536"/>
      </w:tblGrid>
      <w:tr w:rsidR="004D2099" w:rsidRPr="00D008F6" w:rsidTr="00273941">
        <w:tc>
          <w:tcPr>
            <w:tcW w:w="3011" w:type="dxa"/>
            <w:shd w:val="clear" w:color="auto" w:fill="auto"/>
          </w:tcPr>
          <w:p w:rsidR="004D2099" w:rsidRPr="00D008F6" w:rsidRDefault="004D2099" w:rsidP="00273941">
            <w:pPr>
              <w:spacing w:before="30" w:after="30"/>
            </w:pPr>
            <w:r w:rsidRPr="00D008F6">
              <w:t>ST/SG/AC.10/C.4/73</w:t>
            </w:r>
          </w:p>
        </w:tc>
        <w:tc>
          <w:tcPr>
            <w:tcW w:w="4536" w:type="dxa"/>
            <w:shd w:val="clear" w:color="auto" w:fill="auto"/>
          </w:tcPr>
          <w:p w:rsidR="004D2099" w:rsidRPr="00D008F6" w:rsidRDefault="004D2099" w:rsidP="00273941">
            <w:pPr>
              <w:spacing w:before="30" w:after="30"/>
            </w:pPr>
            <w:r w:rsidRPr="00D008F6">
              <w:t xml:space="preserve">Provisional agenda for the </w:t>
            </w:r>
            <w:r w:rsidRPr="00D008F6">
              <w:rPr>
                <w:bCs/>
              </w:rPr>
              <w:t>thirty-seventh</w:t>
            </w:r>
            <w:r w:rsidRPr="00D008F6">
              <w:rPr>
                <w:b/>
                <w:bCs/>
              </w:rPr>
              <w:t xml:space="preserve"> </w:t>
            </w:r>
            <w:r w:rsidRPr="00D008F6">
              <w:t>session</w:t>
            </w:r>
          </w:p>
        </w:tc>
      </w:tr>
      <w:tr w:rsidR="004D2099" w:rsidRPr="00D008F6" w:rsidTr="00273941">
        <w:tc>
          <w:tcPr>
            <w:tcW w:w="3011" w:type="dxa"/>
            <w:shd w:val="clear" w:color="auto" w:fill="auto"/>
          </w:tcPr>
          <w:p w:rsidR="004D2099" w:rsidRPr="00D008F6" w:rsidRDefault="004D2099" w:rsidP="00273941">
            <w:pPr>
              <w:spacing w:before="30" w:after="30"/>
            </w:pPr>
            <w:r w:rsidRPr="00D008F6">
              <w:t>ST/SG/AC.10/C.4/73/Add.1</w:t>
            </w:r>
          </w:p>
        </w:tc>
        <w:tc>
          <w:tcPr>
            <w:tcW w:w="4536" w:type="dxa"/>
            <w:shd w:val="clear" w:color="auto" w:fill="auto"/>
          </w:tcPr>
          <w:p w:rsidR="004D2099" w:rsidRPr="00D008F6" w:rsidRDefault="004D2099" w:rsidP="00273941">
            <w:pPr>
              <w:spacing w:before="30" w:after="30"/>
            </w:pPr>
            <w:r w:rsidRPr="00D008F6">
              <w:t>List of documents and annotations</w:t>
            </w:r>
          </w:p>
        </w:tc>
      </w:tr>
      <w:tr w:rsidR="004D2099" w:rsidRPr="00D008F6" w:rsidTr="00273941">
        <w:tc>
          <w:tcPr>
            <w:tcW w:w="3011" w:type="dxa"/>
            <w:shd w:val="clear" w:color="auto" w:fill="auto"/>
          </w:tcPr>
          <w:p w:rsidR="004D2099" w:rsidRPr="00D008F6" w:rsidRDefault="004D2099" w:rsidP="00273941">
            <w:pPr>
              <w:spacing w:before="30" w:after="30"/>
            </w:pPr>
            <w:r>
              <w:t xml:space="preserve">Informal document INF.1 </w:t>
            </w:r>
          </w:p>
        </w:tc>
        <w:tc>
          <w:tcPr>
            <w:tcW w:w="4536" w:type="dxa"/>
            <w:shd w:val="clear" w:color="auto" w:fill="auto"/>
          </w:tcPr>
          <w:p w:rsidR="004D2099" w:rsidRPr="00D008F6" w:rsidRDefault="004D2099" w:rsidP="00273941">
            <w:pPr>
              <w:spacing w:before="30" w:after="30"/>
            </w:pPr>
            <w:r>
              <w:t>List of documents</w:t>
            </w:r>
          </w:p>
        </w:tc>
      </w:tr>
      <w:tr w:rsidR="004D2099" w:rsidRPr="00D008F6" w:rsidTr="00273941">
        <w:tc>
          <w:tcPr>
            <w:tcW w:w="3011" w:type="dxa"/>
            <w:shd w:val="clear" w:color="auto" w:fill="auto"/>
          </w:tcPr>
          <w:p w:rsidR="004D2099" w:rsidRPr="00D008F6" w:rsidRDefault="004D2099" w:rsidP="00273941">
            <w:pPr>
              <w:spacing w:before="30" w:after="30"/>
            </w:pPr>
            <w:r>
              <w:t>Informal document INF.2</w:t>
            </w:r>
          </w:p>
        </w:tc>
        <w:tc>
          <w:tcPr>
            <w:tcW w:w="4536" w:type="dxa"/>
            <w:shd w:val="clear" w:color="auto" w:fill="auto"/>
          </w:tcPr>
          <w:p w:rsidR="004D2099" w:rsidRPr="00D008F6" w:rsidRDefault="004D2099" w:rsidP="00273941">
            <w:pPr>
              <w:spacing w:before="30" w:after="30"/>
            </w:pPr>
            <w:r>
              <w:t>List of documents under agenda item</w:t>
            </w:r>
          </w:p>
        </w:tc>
      </w:tr>
      <w:tr w:rsidR="004D2099" w:rsidRPr="00D008F6" w:rsidTr="00273941">
        <w:tc>
          <w:tcPr>
            <w:tcW w:w="3011" w:type="dxa"/>
            <w:shd w:val="clear" w:color="auto" w:fill="auto"/>
          </w:tcPr>
          <w:p w:rsidR="004D2099" w:rsidRDefault="004D2099" w:rsidP="00273941">
            <w:pPr>
              <w:spacing w:before="30" w:after="30"/>
            </w:pPr>
            <w:r>
              <w:t>Informal document INF.5 (Secretariat)</w:t>
            </w:r>
          </w:p>
        </w:tc>
        <w:tc>
          <w:tcPr>
            <w:tcW w:w="4536" w:type="dxa"/>
            <w:shd w:val="clear" w:color="auto" w:fill="auto"/>
          </w:tcPr>
          <w:p w:rsidR="004D2099" w:rsidRDefault="004D2099" w:rsidP="00273941">
            <w:pPr>
              <w:spacing w:before="30" w:after="30"/>
            </w:pPr>
            <w:r w:rsidRPr="00D008F6">
              <w:t>Provisional timetable for the thirty-seventh session and calendar of meetings of GHS informal working groups</w:t>
            </w:r>
          </w:p>
        </w:tc>
      </w:tr>
    </w:tbl>
    <w:p w:rsidR="00D77763" w:rsidRPr="00D008F6" w:rsidRDefault="00D77763" w:rsidP="00D77763">
      <w:pPr>
        <w:pStyle w:val="H1G"/>
      </w:pPr>
      <w:r w:rsidRPr="00D008F6">
        <w:tab/>
      </w:r>
      <w:r w:rsidRPr="00D008F6">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3011"/>
        <w:gridCol w:w="4536"/>
      </w:tblGrid>
      <w:tr w:rsidR="00D77763" w:rsidRPr="00D008F6" w:rsidTr="00BB2FF3">
        <w:tc>
          <w:tcPr>
            <w:tcW w:w="3011" w:type="dxa"/>
            <w:shd w:val="clear" w:color="auto" w:fill="auto"/>
          </w:tcPr>
          <w:p w:rsidR="00D77763" w:rsidRPr="00D008F6" w:rsidRDefault="00D77763" w:rsidP="00CB5795">
            <w:pPr>
              <w:spacing w:before="30" w:after="30"/>
            </w:pPr>
            <w:r w:rsidRPr="00D008F6">
              <w:t>ST/SG/AC.10/30/Rev.</w:t>
            </w:r>
            <w:r w:rsidR="002B0002" w:rsidRPr="00D008F6">
              <w:t>8</w:t>
            </w:r>
          </w:p>
        </w:tc>
        <w:tc>
          <w:tcPr>
            <w:tcW w:w="4536" w:type="dxa"/>
            <w:shd w:val="clear" w:color="auto" w:fill="auto"/>
          </w:tcPr>
          <w:p w:rsidR="00D77763" w:rsidRPr="00D008F6" w:rsidRDefault="00D77763" w:rsidP="00CB5795">
            <w:pPr>
              <w:spacing w:before="30" w:after="30"/>
            </w:pPr>
            <w:r w:rsidRPr="00D008F6">
              <w:t xml:space="preserve">Globally Harmonized System of Classification and Labelling of Chemicals (GHS), </w:t>
            </w:r>
            <w:r w:rsidR="002B0002" w:rsidRPr="00D008F6">
              <w:t>eighth</w:t>
            </w:r>
            <w:r w:rsidRPr="00D008F6">
              <w:t xml:space="preserve"> revised edition</w:t>
            </w:r>
          </w:p>
        </w:tc>
      </w:tr>
      <w:tr w:rsidR="00D77763" w:rsidRPr="00D008F6" w:rsidTr="00BB2FF3">
        <w:tc>
          <w:tcPr>
            <w:tcW w:w="3011" w:type="dxa"/>
            <w:shd w:val="clear" w:color="auto" w:fill="auto"/>
          </w:tcPr>
          <w:p w:rsidR="00D77763" w:rsidRPr="00D008F6" w:rsidRDefault="00D77763" w:rsidP="00CB5795">
            <w:pPr>
              <w:spacing w:before="30" w:after="30"/>
            </w:pPr>
            <w:r w:rsidRPr="00D008F6">
              <w:t>ST/SG/AC.10/1/Rev.2</w:t>
            </w:r>
            <w:r w:rsidR="002B0002" w:rsidRPr="00D008F6">
              <w:t>1</w:t>
            </w:r>
          </w:p>
        </w:tc>
        <w:tc>
          <w:tcPr>
            <w:tcW w:w="4536" w:type="dxa"/>
            <w:shd w:val="clear" w:color="auto" w:fill="auto"/>
          </w:tcPr>
          <w:p w:rsidR="00D77763" w:rsidRPr="00D008F6" w:rsidRDefault="00D77763" w:rsidP="00CB5795">
            <w:pPr>
              <w:spacing w:before="30" w:after="30"/>
            </w:pPr>
            <w:r w:rsidRPr="00D008F6">
              <w:t>Recommendations on the Transport of Dangerous Goods, Model Regulations, twent</w:t>
            </w:r>
            <w:r w:rsidR="002B0002" w:rsidRPr="00D008F6">
              <w:t>y-first</w:t>
            </w:r>
            <w:r w:rsidRPr="00D008F6">
              <w:t xml:space="preserve"> revised edition </w:t>
            </w:r>
          </w:p>
        </w:tc>
      </w:tr>
      <w:tr w:rsidR="00D77763" w:rsidRPr="00D008F6" w:rsidTr="00BB2FF3">
        <w:tc>
          <w:tcPr>
            <w:tcW w:w="3011" w:type="dxa"/>
            <w:shd w:val="clear" w:color="auto" w:fill="auto"/>
          </w:tcPr>
          <w:p w:rsidR="00D77763" w:rsidRPr="00D008F6" w:rsidRDefault="00D77763" w:rsidP="00CB5795">
            <w:pPr>
              <w:spacing w:before="30" w:after="30"/>
            </w:pPr>
            <w:r w:rsidRPr="00D008F6">
              <w:t>ST/SG/AC.10/11/Rev.6 and Amend.1</w:t>
            </w:r>
          </w:p>
        </w:tc>
        <w:tc>
          <w:tcPr>
            <w:tcW w:w="4536" w:type="dxa"/>
            <w:shd w:val="clear" w:color="auto" w:fill="auto"/>
          </w:tcPr>
          <w:p w:rsidR="00D77763" w:rsidRPr="00D008F6" w:rsidRDefault="00D77763" w:rsidP="00CB5795">
            <w:pPr>
              <w:spacing w:before="30" w:after="30"/>
            </w:pPr>
            <w:r w:rsidRPr="00D008F6">
              <w:t>Recommendations on the Transport of Dangerous Goods, Manual of Tests and Criteria, sixth revised edition</w:t>
            </w:r>
            <w:r w:rsidR="00307659" w:rsidRPr="00D008F6">
              <w:t xml:space="preserve"> and amendment 1</w:t>
            </w:r>
          </w:p>
        </w:tc>
      </w:tr>
      <w:tr w:rsidR="00D77763" w:rsidRPr="00D008F6" w:rsidTr="00BB2FF3">
        <w:tc>
          <w:tcPr>
            <w:tcW w:w="3011" w:type="dxa"/>
            <w:shd w:val="clear" w:color="auto" w:fill="auto"/>
          </w:tcPr>
          <w:p w:rsidR="00D77763" w:rsidRPr="00D008F6" w:rsidDel="00C60225" w:rsidRDefault="00D77763" w:rsidP="00CB5795">
            <w:pPr>
              <w:spacing w:before="30" w:after="30"/>
            </w:pPr>
            <w:r w:rsidRPr="00D008F6">
              <w:t>ST/SG/AC.10/C.4/72</w:t>
            </w:r>
          </w:p>
        </w:tc>
        <w:tc>
          <w:tcPr>
            <w:tcW w:w="4536" w:type="dxa"/>
            <w:shd w:val="clear" w:color="auto" w:fill="auto"/>
          </w:tcPr>
          <w:p w:rsidR="00D77763" w:rsidRPr="00D008F6" w:rsidDel="00C60225" w:rsidRDefault="00D77763" w:rsidP="00CB5795">
            <w:pPr>
              <w:spacing w:before="30" w:after="30"/>
            </w:pPr>
            <w:r w:rsidRPr="00D008F6">
              <w:t>Report of the Sub-Committee on its thirty-sixth session</w:t>
            </w:r>
          </w:p>
        </w:tc>
      </w:tr>
      <w:tr w:rsidR="00307659" w:rsidRPr="00D008F6" w:rsidTr="00BB2FF3">
        <w:tc>
          <w:tcPr>
            <w:tcW w:w="3011" w:type="dxa"/>
            <w:shd w:val="clear" w:color="auto" w:fill="auto"/>
          </w:tcPr>
          <w:p w:rsidR="00307659" w:rsidRPr="00D008F6" w:rsidDel="00C60225" w:rsidRDefault="00307659" w:rsidP="00307659">
            <w:pPr>
              <w:spacing w:before="30" w:after="30"/>
            </w:pPr>
            <w:r w:rsidRPr="00D008F6">
              <w:t>ST/SG/AC.10/C.3/108 and Add.1</w:t>
            </w:r>
          </w:p>
        </w:tc>
        <w:tc>
          <w:tcPr>
            <w:tcW w:w="4536" w:type="dxa"/>
            <w:shd w:val="clear" w:color="auto" w:fill="auto"/>
          </w:tcPr>
          <w:p w:rsidR="00307659" w:rsidRPr="00D008F6" w:rsidDel="00C60225" w:rsidRDefault="00307659" w:rsidP="00307659">
            <w:pPr>
              <w:spacing w:before="30" w:after="30"/>
            </w:pPr>
            <w:r w:rsidRPr="00D008F6">
              <w:t>Report of the Sub-Committee of Experts on the transport of Dangerous Goods on its fifty-fourth session</w:t>
            </w:r>
          </w:p>
        </w:tc>
      </w:tr>
      <w:tr w:rsidR="00307659" w:rsidRPr="00D008F6" w:rsidTr="00BB2FF3">
        <w:trPr>
          <w:cantSplit/>
        </w:trPr>
        <w:tc>
          <w:tcPr>
            <w:tcW w:w="3011" w:type="dxa"/>
            <w:shd w:val="clear" w:color="auto" w:fill="auto"/>
          </w:tcPr>
          <w:p w:rsidR="00307659" w:rsidRPr="00D008F6" w:rsidDel="00C60225" w:rsidRDefault="00307659" w:rsidP="00307659">
            <w:pPr>
              <w:spacing w:before="30" w:after="30"/>
            </w:pPr>
            <w:r w:rsidRPr="00D008F6">
              <w:t>ST/SG/AC.10/46 and adds.1 to 3</w:t>
            </w:r>
          </w:p>
        </w:tc>
        <w:tc>
          <w:tcPr>
            <w:tcW w:w="4536" w:type="dxa"/>
            <w:shd w:val="clear" w:color="auto" w:fill="auto"/>
          </w:tcPr>
          <w:p w:rsidR="00307659" w:rsidRPr="00D008F6" w:rsidDel="00C60225" w:rsidRDefault="00307659" w:rsidP="00307659">
            <w:pPr>
              <w:spacing w:before="30" w:after="30"/>
            </w:pPr>
            <w:r w:rsidRPr="00D008F6">
              <w:t>Report of the Committee of Experts on the Transport of Dangerous Goods and on the Globally Harmonized System of Classification and Labelling of Chemicals on its ninth session</w:t>
            </w:r>
          </w:p>
        </w:tc>
      </w:tr>
    </w:tbl>
    <w:p w:rsidR="00D77763" w:rsidRPr="00D008F6" w:rsidRDefault="00D77763" w:rsidP="00D77763">
      <w:pPr>
        <w:pStyle w:val="H1G"/>
      </w:pPr>
      <w:r w:rsidRPr="00D008F6">
        <w:lastRenderedPageBreak/>
        <w:tab/>
        <w:t>2.</w:t>
      </w:r>
      <w:r w:rsidRPr="00D008F6">
        <w:tab/>
        <w:t>Classification criteria and related hazard communication</w:t>
      </w:r>
    </w:p>
    <w:p w:rsidR="00D77763" w:rsidRPr="00D008F6" w:rsidRDefault="00D77763" w:rsidP="00D77763">
      <w:pPr>
        <w:pStyle w:val="H23G"/>
      </w:pPr>
      <w:r w:rsidRPr="00D008F6">
        <w:tab/>
        <w:t>(a)</w:t>
      </w:r>
      <w:r w:rsidRPr="00D008F6">
        <w:tab/>
        <w:t>Work of the Sub-Committee of Experts on the Transport of Dangerous Goods (TDG) on matters of interest to the GHS Sub-Committee</w:t>
      </w:r>
    </w:p>
    <w:tbl>
      <w:tblPr>
        <w:tblW w:w="0" w:type="auto"/>
        <w:tblInd w:w="1100" w:type="dxa"/>
        <w:tblCellMar>
          <w:left w:w="0" w:type="dxa"/>
          <w:right w:w="0" w:type="dxa"/>
        </w:tblCellMar>
        <w:tblLook w:val="01E0" w:firstRow="1" w:lastRow="1" w:firstColumn="1" w:lastColumn="1" w:noHBand="0" w:noVBand="0"/>
      </w:tblPr>
      <w:tblGrid>
        <w:gridCol w:w="3295"/>
        <w:gridCol w:w="4252"/>
      </w:tblGrid>
      <w:tr w:rsidR="00D77763" w:rsidRPr="00D008F6" w:rsidTr="00BB2FF3">
        <w:trPr>
          <w:cantSplit/>
        </w:trPr>
        <w:tc>
          <w:tcPr>
            <w:tcW w:w="3295" w:type="dxa"/>
            <w:shd w:val="clear" w:color="auto" w:fill="auto"/>
          </w:tcPr>
          <w:p w:rsidR="00D77763" w:rsidRPr="00D008F6" w:rsidDel="00C60225" w:rsidRDefault="00D77763" w:rsidP="00CB5795">
            <w:pPr>
              <w:spacing w:before="30" w:after="30"/>
            </w:pPr>
            <w:r w:rsidRPr="00D008F6">
              <w:t>ST/SG/AC.10/C.4/2019/1 (CEFIC)</w:t>
            </w:r>
          </w:p>
        </w:tc>
        <w:tc>
          <w:tcPr>
            <w:tcW w:w="4252" w:type="dxa"/>
            <w:shd w:val="clear" w:color="auto" w:fill="auto"/>
          </w:tcPr>
          <w:p w:rsidR="00D77763" w:rsidRPr="00D008F6" w:rsidDel="00C60225" w:rsidRDefault="00D77763" w:rsidP="005E7318">
            <w:pPr>
              <w:spacing w:before="30" w:after="30"/>
              <w:ind w:left="283"/>
            </w:pPr>
            <w:r w:rsidRPr="00D008F6">
              <w:t>Explanatory text about applicable temperature limits in Appendix 6 of the Manual of Tests and Criteria</w:t>
            </w:r>
          </w:p>
        </w:tc>
      </w:tr>
      <w:tr w:rsidR="00203CB8" w:rsidRPr="00D008F6" w:rsidTr="00BB2FF3">
        <w:trPr>
          <w:cantSplit/>
        </w:trPr>
        <w:tc>
          <w:tcPr>
            <w:tcW w:w="3295" w:type="dxa"/>
            <w:shd w:val="clear" w:color="auto" w:fill="auto"/>
          </w:tcPr>
          <w:p w:rsidR="00203CB8" w:rsidRPr="00D008F6" w:rsidRDefault="00203CB8" w:rsidP="00CB5795">
            <w:pPr>
              <w:spacing w:before="30" w:after="30"/>
            </w:pPr>
            <w:r w:rsidRPr="00D008F6">
              <w:t>ST/SG/AC.10/C.4/2019/4 (France)</w:t>
            </w:r>
            <w:r w:rsidR="007058ED" w:rsidRPr="00D008F6">
              <w:t xml:space="preserve"> + INF.16 (France)</w:t>
            </w:r>
          </w:p>
        </w:tc>
        <w:tc>
          <w:tcPr>
            <w:tcW w:w="4252" w:type="dxa"/>
            <w:shd w:val="clear" w:color="auto" w:fill="auto"/>
          </w:tcPr>
          <w:p w:rsidR="00203CB8" w:rsidRPr="00D008F6" w:rsidRDefault="00203CB8" w:rsidP="005E7318">
            <w:pPr>
              <w:spacing w:before="30" w:after="30"/>
              <w:ind w:left="283"/>
            </w:pPr>
            <w:r w:rsidRPr="00D008F6">
              <w:t>Tests for oxidizing liquids and oxidizing solids improvement regarding consideration for particle size, friable or coated materials</w:t>
            </w:r>
          </w:p>
        </w:tc>
      </w:tr>
      <w:tr w:rsidR="00FB1390" w:rsidRPr="00D008F6" w:rsidTr="00BB2FF3">
        <w:trPr>
          <w:cantSplit/>
        </w:trPr>
        <w:tc>
          <w:tcPr>
            <w:tcW w:w="3295" w:type="dxa"/>
            <w:shd w:val="clear" w:color="auto" w:fill="auto"/>
          </w:tcPr>
          <w:p w:rsidR="00FB1390" w:rsidRPr="00D008F6" w:rsidRDefault="00FB1390" w:rsidP="00CB5795">
            <w:pPr>
              <w:spacing w:before="30" w:after="30"/>
            </w:pPr>
            <w:r w:rsidRPr="00D008F6">
              <w:t>Informal document INF.</w:t>
            </w:r>
            <w:r>
              <w:t>24</w:t>
            </w:r>
            <w:r w:rsidRPr="00D008F6">
              <w:t xml:space="preserve"> (S</w:t>
            </w:r>
            <w:r>
              <w:t>ecretar</w:t>
            </w:r>
            <w:r w:rsidR="00DE787C">
              <w:t>iat</w:t>
            </w:r>
            <w:r w:rsidRPr="00D008F6">
              <w:t>)</w:t>
            </w:r>
          </w:p>
        </w:tc>
        <w:tc>
          <w:tcPr>
            <w:tcW w:w="4252" w:type="dxa"/>
            <w:shd w:val="clear" w:color="auto" w:fill="auto"/>
          </w:tcPr>
          <w:p w:rsidR="00FB1390" w:rsidRPr="00D008F6" w:rsidRDefault="00DE787C" w:rsidP="005E7318">
            <w:pPr>
              <w:spacing w:before="30" w:after="30"/>
              <w:ind w:left="283"/>
            </w:pPr>
            <w:r>
              <w:t>Outcome of the Working Group on Explosives of the TDG Sub-Committee</w:t>
            </w:r>
          </w:p>
        </w:tc>
      </w:tr>
      <w:tr w:rsidR="00FB1390" w:rsidRPr="00D008F6" w:rsidTr="00BB2FF3">
        <w:trPr>
          <w:cantSplit/>
        </w:trPr>
        <w:tc>
          <w:tcPr>
            <w:tcW w:w="3295" w:type="dxa"/>
            <w:shd w:val="clear" w:color="auto" w:fill="auto"/>
          </w:tcPr>
          <w:p w:rsidR="00FB1390" w:rsidRPr="00D008F6" w:rsidRDefault="00AB0E2C" w:rsidP="00CB5795">
            <w:pPr>
              <w:spacing w:before="30" w:after="30"/>
            </w:pPr>
            <w:r w:rsidRPr="00D008F6">
              <w:t>Informal document INF.</w:t>
            </w:r>
            <w:r>
              <w:t>2</w:t>
            </w:r>
            <w:r>
              <w:t>5</w:t>
            </w:r>
            <w:r w:rsidRPr="00D008F6">
              <w:t xml:space="preserve"> (S</w:t>
            </w:r>
            <w:r>
              <w:t>ecretariat</w:t>
            </w:r>
            <w:r w:rsidRPr="00D008F6">
              <w:t>)</w:t>
            </w:r>
          </w:p>
        </w:tc>
        <w:tc>
          <w:tcPr>
            <w:tcW w:w="4252" w:type="dxa"/>
            <w:shd w:val="clear" w:color="auto" w:fill="auto"/>
          </w:tcPr>
          <w:p w:rsidR="00FB1390" w:rsidRPr="00D008F6" w:rsidRDefault="00AB0E2C" w:rsidP="005E7318">
            <w:pPr>
              <w:spacing w:before="30" w:after="30"/>
              <w:ind w:left="283"/>
            </w:pPr>
            <w:r>
              <w:t>Work of the Sub-Committee of Experts on the Transport of Dangerous Goods on its fifty-</w:t>
            </w:r>
            <w:r>
              <w:t>fift</w:t>
            </w:r>
            <w:r>
              <w:t>h session on matters of interest to the GHS Sub-Committee</w:t>
            </w:r>
          </w:p>
        </w:tc>
      </w:tr>
    </w:tbl>
    <w:p w:rsidR="00D77763" w:rsidRPr="00D008F6" w:rsidRDefault="00D77763" w:rsidP="00D77763">
      <w:pPr>
        <w:pStyle w:val="H23G"/>
        <w:keepNext w:val="0"/>
        <w:keepLines w:val="0"/>
      </w:pPr>
      <w:r w:rsidRPr="00D008F6">
        <w:tab/>
        <w:t>(b)</w:t>
      </w:r>
      <w:r w:rsidRPr="00D008F6">
        <w:tab/>
        <w:t>Review of Chapter 2.1</w:t>
      </w:r>
      <w:bookmarkStart w:id="0" w:name="_GoBack"/>
      <w:bookmarkEnd w:id="0"/>
    </w:p>
    <w:tbl>
      <w:tblPr>
        <w:tblW w:w="0" w:type="auto"/>
        <w:tblInd w:w="1100" w:type="dxa"/>
        <w:tblCellMar>
          <w:left w:w="0" w:type="dxa"/>
          <w:right w:w="0" w:type="dxa"/>
        </w:tblCellMar>
        <w:tblLook w:val="01E0" w:firstRow="1" w:lastRow="1" w:firstColumn="1" w:lastColumn="1" w:noHBand="0" w:noVBand="0"/>
      </w:tblPr>
      <w:tblGrid>
        <w:gridCol w:w="3578"/>
        <w:gridCol w:w="3969"/>
      </w:tblGrid>
      <w:tr w:rsidR="00D77763" w:rsidRPr="00D008F6" w:rsidTr="00BB2FF3">
        <w:trPr>
          <w:cantSplit/>
        </w:trPr>
        <w:tc>
          <w:tcPr>
            <w:tcW w:w="3578" w:type="dxa"/>
            <w:shd w:val="clear" w:color="auto" w:fill="auto"/>
          </w:tcPr>
          <w:p w:rsidR="00BB2FF3" w:rsidRPr="00D008F6" w:rsidRDefault="00203CB8" w:rsidP="00CB5795">
            <w:pPr>
              <w:spacing w:before="30" w:after="30"/>
            </w:pPr>
            <w:r w:rsidRPr="00D008F6">
              <w:t>ST/SG/AC.10/C.4/2019/5 (Sweden)</w:t>
            </w:r>
            <w:r w:rsidR="00012FC9" w:rsidRPr="00D008F6">
              <w:t xml:space="preserve"> + </w:t>
            </w:r>
          </w:p>
          <w:p w:rsidR="00BB2FF3" w:rsidRPr="00D008F6" w:rsidRDefault="00BB2FF3" w:rsidP="007058ED">
            <w:pPr>
              <w:spacing w:before="30" w:after="30"/>
            </w:pPr>
            <w:r w:rsidRPr="00D008F6">
              <w:t xml:space="preserve">Informal documents </w:t>
            </w:r>
            <w:r w:rsidR="00012FC9" w:rsidRPr="00D008F6">
              <w:t>INF.6 (Sweden)</w:t>
            </w:r>
            <w:r w:rsidRPr="00D008F6">
              <w:t>,</w:t>
            </w:r>
          </w:p>
          <w:p w:rsidR="00BB2FF3" w:rsidRPr="00D008F6" w:rsidRDefault="00012FC9" w:rsidP="007058ED">
            <w:pPr>
              <w:spacing w:before="30" w:after="30"/>
              <w:ind w:left="38" w:hanging="38"/>
            </w:pPr>
            <w:r w:rsidRPr="00D008F6">
              <w:t xml:space="preserve">INF.8 (USA, IME, SAAMI) </w:t>
            </w:r>
            <w:r w:rsidR="00BB2FF3" w:rsidRPr="00D008F6">
              <w:t>and</w:t>
            </w:r>
            <w:r w:rsidRPr="00D008F6">
              <w:t xml:space="preserve"> </w:t>
            </w:r>
          </w:p>
          <w:p w:rsidR="00D77763" w:rsidRPr="00D008F6" w:rsidDel="00C60225" w:rsidRDefault="00012FC9" w:rsidP="007058ED">
            <w:pPr>
              <w:spacing w:before="30" w:after="30"/>
              <w:ind w:left="175" w:hanging="175"/>
            </w:pPr>
            <w:r w:rsidRPr="00D008F6">
              <w:t>INF.9 (Sweden)</w:t>
            </w:r>
          </w:p>
        </w:tc>
        <w:tc>
          <w:tcPr>
            <w:tcW w:w="3969" w:type="dxa"/>
            <w:shd w:val="clear" w:color="auto" w:fill="auto"/>
          </w:tcPr>
          <w:p w:rsidR="00D77763" w:rsidRPr="00D008F6" w:rsidDel="00C60225" w:rsidRDefault="00203CB8" w:rsidP="00CB5795">
            <w:pPr>
              <w:spacing w:before="30" w:after="30"/>
            </w:pPr>
            <w:r w:rsidRPr="00D008F6">
              <w:t>Development of a new Chapter 2.1 for the GHS (explosives)</w:t>
            </w:r>
          </w:p>
        </w:tc>
      </w:tr>
      <w:tr w:rsidR="00F81EDC" w:rsidRPr="00D008F6" w:rsidTr="00BB2FF3">
        <w:trPr>
          <w:cantSplit/>
        </w:trPr>
        <w:tc>
          <w:tcPr>
            <w:tcW w:w="3578" w:type="dxa"/>
            <w:shd w:val="clear" w:color="auto" w:fill="auto"/>
          </w:tcPr>
          <w:p w:rsidR="00BB2FF3" w:rsidRPr="00D008F6" w:rsidRDefault="00F81EDC" w:rsidP="00CB5795">
            <w:pPr>
              <w:spacing w:before="30" w:after="30"/>
            </w:pPr>
            <w:r w:rsidRPr="00D008F6">
              <w:t>ST/SG/AC.10/C.4/2019/7 (SAAMI)</w:t>
            </w:r>
            <w:r w:rsidR="00DA760A" w:rsidRPr="00D008F6">
              <w:t xml:space="preserve"> + </w:t>
            </w:r>
          </w:p>
          <w:p w:rsidR="00F81EDC" w:rsidRPr="00D008F6" w:rsidRDefault="00BB2FF3" w:rsidP="007058ED">
            <w:pPr>
              <w:spacing w:before="30" w:after="30"/>
              <w:ind w:firstLine="38"/>
            </w:pPr>
            <w:r w:rsidRPr="00D008F6">
              <w:t xml:space="preserve">Informal document </w:t>
            </w:r>
            <w:r w:rsidR="00DA760A" w:rsidRPr="00D008F6">
              <w:t>INF.1</w:t>
            </w:r>
            <w:r w:rsidR="00CD663B" w:rsidRPr="00D008F6">
              <w:t>4</w:t>
            </w:r>
            <w:r w:rsidR="00DA760A" w:rsidRPr="00D008F6">
              <w:t xml:space="preserve"> (SAAMI)</w:t>
            </w:r>
          </w:p>
        </w:tc>
        <w:tc>
          <w:tcPr>
            <w:tcW w:w="3969" w:type="dxa"/>
            <w:shd w:val="clear" w:color="auto" w:fill="auto"/>
          </w:tcPr>
          <w:p w:rsidR="00F81EDC" w:rsidRPr="00D008F6" w:rsidRDefault="00F81EDC" w:rsidP="00CB5795">
            <w:pPr>
              <w:spacing w:before="30" w:after="30"/>
            </w:pPr>
            <w:r w:rsidRPr="00D008F6">
              <w:t>Clarifications to the scope of the class of explosives</w:t>
            </w:r>
          </w:p>
        </w:tc>
      </w:tr>
      <w:tr w:rsidR="00B30393" w:rsidRPr="00D008F6" w:rsidTr="00BB2FF3">
        <w:trPr>
          <w:cantSplit/>
        </w:trPr>
        <w:tc>
          <w:tcPr>
            <w:tcW w:w="3578" w:type="dxa"/>
            <w:shd w:val="clear" w:color="auto" w:fill="auto"/>
          </w:tcPr>
          <w:p w:rsidR="00B30393" w:rsidRPr="005F323C" w:rsidRDefault="00B30393" w:rsidP="00CB5795">
            <w:pPr>
              <w:spacing w:before="30" w:after="30"/>
              <w:rPr>
                <w:lang w:val="es-ES"/>
              </w:rPr>
            </w:pPr>
            <w:r w:rsidRPr="005F323C">
              <w:rPr>
                <w:lang w:val="es-ES"/>
              </w:rPr>
              <w:t xml:space="preserve">Informal </w:t>
            </w:r>
            <w:proofErr w:type="spellStart"/>
            <w:r w:rsidR="00D008F6" w:rsidRPr="005F323C">
              <w:rPr>
                <w:lang w:val="es-ES"/>
              </w:rPr>
              <w:t>document</w:t>
            </w:r>
            <w:proofErr w:type="spellEnd"/>
            <w:r w:rsidRPr="005F323C">
              <w:rPr>
                <w:lang w:val="es-ES"/>
              </w:rPr>
              <w:t xml:space="preserve"> INF.18 (USA; IME; SAAMI)</w:t>
            </w:r>
          </w:p>
        </w:tc>
        <w:tc>
          <w:tcPr>
            <w:tcW w:w="3969" w:type="dxa"/>
            <w:shd w:val="clear" w:color="auto" w:fill="auto"/>
          </w:tcPr>
          <w:p w:rsidR="00B30393" w:rsidRPr="00D008F6" w:rsidRDefault="00B30393" w:rsidP="00CB5795">
            <w:pPr>
              <w:spacing w:before="30" w:after="30"/>
            </w:pPr>
            <w:r w:rsidRPr="00D008F6">
              <w:t>Hazard communication in GHS Chapter 2.1</w:t>
            </w:r>
          </w:p>
        </w:tc>
      </w:tr>
      <w:tr w:rsidR="00F310DE" w:rsidRPr="00D008F6" w:rsidTr="00BB2FF3">
        <w:trPr>
          <w:cantSplit/>
        </w:trPr>
        <w:tc>
          <w:tcPr>
            <w:tcW w:w="3578" w:type="dxa"/>
            <w:shd w:val="clear" w:color="auto" w:fill="auto"/>
          </w:tcPr>
          <w:p w:rsidR="00F310DE" w:rsidRPr="00D008F6" w:rsidRDefault="00F310DE" w:rsidP="00CB5795">
            <w:pPr>
              <w:spacing w:before="30" w:after="30"/>
            </w:pPr>
            <w:r w:rsidRPr="00D008F6">
              <w:t>Informal document INF</w:t>
            </w:r>
            <w:r w:rsidR="00A6758D" w:rsidRPr="00D008F6">
              <w:t>.</w:t>
            </w:r>
            <w:r w:rsidRPr="00D008F6">
              <w:t>2</w:t>
            </w:r>
            <w:r w:rsidR="007D6509">
              <w:t>1</w:t>
            </w:r>
            <w:r w:rsidRPr="00D008F6">
              <w:t xml:space="preserve"> (Sweden)</w:t>
            </w:r>
          </w:p>
        </w:tc>
        <w:tc>
          <w:tcPr>
            <w:tcW w:w="3969" w:type="dxa"/>
            <w:shd w:val="clear" w:color="auto" w:fill="auto"/>
          </w:tcPr>
          <w:p w:rsidR="00F310DE" w:rsidRPr="00D008F6" w:rsidRDefault="00F310DE" w:rsidP="00CB5795">
            <w:pPr>
              <w:spacing w:before="30" w:after="30"/>
            </w:pPr>
            <w:r w:rsidRPr="00D008F6">
              <w:rPr>
                <w:rFonts w:eastAsia="MS Mincho"/>
                <w:lang w:eastAsia="ja-JP"/>
              </w:rPr>
              <w:t>Working Group on Explosives and the Informal Correspondence Group on the review of GHS Chapter 2.1</w:t>
            </w:r>
          </w:p>
        </w:tc>
      </w:tr>
    </w:tbl>
    <w:p w:rsidR="00D77763" w:rsidRPr="00D008F6" w:rsidRDefault="00D77763" w:rsidP="00D77763">
      <w:pPr>
        <w:pStyle w:val="H23G"/>
        <w:keepNext w:val="0"/>
        <w:keepLines w:val="0"/>
      </w:pPr>
      <w:r w:rsidRPr="00D008F6">
        <w:tab/>
        <w:t>(c)</w:t>
      </w:r>
      <w:r w:rsidRPr="00D008F6">
        <w:tab/>
        <w:t>Use of non-animal testing methods for classification of health hazards</w:t>
      </w:r>
    </w:p>
    <w:tbl>
      <w:tblPr>
        <w:tblW w:w="0" w:type="auto"/>
        <w:tblInd w:w="1100" w:type="dxa"/>
        <w:tblCellMar>
          <w:left w:w="0" w:type="dxa"/>
          <w:right w:w="0" w:type="dxa"/>
        </w:tblCellMar>
        <w:tblLook w:val="01E0" w:firstRow="1" w:lastRow="1" w:firstColumn="1" w:lastColumn="1" w:noHBand="0" w:noVBand="0"/>
      </w:tblPr>
      <w:tblGrid>
        <w:gridCol w:w="3295"/>
        <w:gridCol w:w="4252"/>
      </w:tblGrid>
      <w:tr w:rsidR="00BA0C44" w:rsidRPr="00D008F6" w:rsidTr="00FC45FB">
        <w:trPr>
          <w:cantSplit/>
        </w:trPr>
        <w:tc>
          <w:tcPr>
            <w:tcW w:w="3295" w:type="dxa"/>
            <w:shd w:val="clear" w:color="auto" w:fill="auto"/>
          </w:tcPr>
          <w:p w:rsidR="00BA0C44" w:rsidRPr="00D008F6" w:rsidRDefault="00BA0C44" w:rsidP="00FC45FB">
            <w:pPr>
              <w:spacing w:before="30" w:after="30"/>
            </w:pPr>
            <w:r w:rsidRPr="00D008F6">
              <w:t>Informal document INF.17 (United Kingdom, Netherlands)</w:t>
            </w:r>
          </w:p>
        </w:tc>
        <w:tc>
          <w:tcPr>
            <w:tcW w:w="4252" w:type="dxa"/>
            <w:shd w:val="clear" w:color="auto" w:fill="auto"/>
          </w:tcPr>
          <w:p w:rsidR="00BA0C44" w:rsidRPr="00D008F6" w:rsidRDefault="00BA0C44" w:rsidP="005E7318">
            <w:pPr>
              <w:spacing w:before="30" w:after="30"/>
              <w:ind w:left="283"/>
            </w:pPr>
            <w:r w:rsidRPr="00D008F6">
              <w:t>Use of non-animal testing methods for classification of health hazards: status report</w:t>
            </w:r>
          </w:p>
        </w:tc>
      </w:tr>
    </w:tbl>
    <w:p w:rsidR="00D77763" w:rsidRPr="00D008F6" w:rsidRDefault="00D77763" w:rsidP="00D77763">
      <w:pPr>
        <w:pStyle w:val="H23G"/>
        <w:keepNext w:val="0"/>
        <w:keepLines w:val="0"/>
      </w:pPr>
      <w:r w:rsidRPr="00D008F6">
        <w:tab/>
        <w:t>(d)</w:t>
      </w:r>
      <w:r w:rsidRPr="00D008F6">
        <w:tab/>
        <w:t>Practical classification issues</w:t>
      </w:r>
    </w:p>
    <w:tbl>
      <w:tblPr>
        <w:tblW w:w="0" w:type="auto"/>
        <w:tblInd w:w="1100" w:type="dxa"/>
        <w:tblCellMar>
          <w:left w:w="0" w:type="dxa"/>
          <w:right w:w="0" w:type="dxa"/>
        </w:tblCellMar>
        <w:tblLook w:val="01E0" w:firstRow="1" w:lastRow="1" w:firstColumn="1" w:lastColumn="1" w:noHBand="0" w:noVBand="0"/>
      </w:tblPr>
      <w:tblGrid>
        <w:gridCol w:w="3295"/>
        <w:gridCol w:w="4252"/>
      </w:tblGrid>
      <w:tr w:rsidR="00027025" w:rsidRPr="00D008F6" w:rsidTr="00BB2FF3">
        <w:trPr>
          <w:cantSplit/>
        </w:trPr>
        <w:tc>
          <w:tcPr>
            <w:tcW w:w="3295" w:type="dxa"/>
            <w:shd w:val="clear" w:color="auto" w:fill="auto"/>
          </w:tcPr>
          <w:p w:rsidR="00027025" w:rsidRPr="00D008F6" w:rsidRDefault="00027025" w:rsidP="00705DFE">
            <w:pPr>
              <w:spacing w:before="30" w:after="30"/>
            </w:pPr>
            <w:r w:rsidRPr="00D008F6">
              <w:t>Informal document INF.13 (USA)</w:t>
            </w:r>
          </w:p>
        </w:tc>
        <w:tc>
          <w:tcPr>
            <w:tcW w:w="4252" w:type="dxa"/>
            <w:shd w:val="clear" w:color="auto" w:fill="auto"/>
          </w:tcPr>
          <w:p w:rsidR="00027025" w:rsidRPr="00D008F6" w:rsidRDefault="00027025" w:rsidP="005E7318">
            <w:pPr>
              <w:spacing w:before="30" w:after="30"/>
              <w:ind w:left="283"/>
            </w:pPr>
            <w:r w:rsidRPr="00D008F6">
              <w:t>Thought starter on GHS cut off value/concentration limit for mixtures classification as serious eye damage: review of science</w:t>
            </w:r>
          </w:p>
        </w:tc>
      </w:tr>
    </w:tbl>
    <w:p w:rsidR="00D77763" w:rsidRPr="00D008F6" w:rsidRDefault="00D77763" w:rsidP="00D77763">
      <w:pPr>
        <w:pStyle w:val="H23G"/>
        <w:keepNext w:val="0"/>
        <w:keepLines w:val="0"/>
      </w:pPr>
      <w:r w:rsidRPr="00D008F6">
        <w:tab/>
        <w:t>(e)</w:t>
      </w:r>
      <w:r w:rsidRPr="00D008F6">
        <w:tab/>
        <w:t>Aspiration hazard</w:t>
      </w:r>
    </w:p>
    <w:p w:rsidR="00012FC9" w:rsidRPr="00D008F6" w:rsidRDefault="00012FC9" w:rsidP="00BB2FF3">
      <w:pPr>
        <w:pStyle w:val="SingleTxtG"/>
      </w:pPr>
      <w:r w:rsidRPr="00D008F6">
        <w:tab/>
        <w:t>At the time of writing no document has been submitted under this agenda item.</w:t>
      </w:r>
    </w:p>
    <w:p w:rsidR="00D77763" w:rsidRPr="00D008F6" w:rsidRDefault="00D77763" w:rsidP="00D77763">
      <w:pPr>
        <w:pStyle w:val="H23G"/>
        <w:keepNext w:val="0"/>
        <w:keepLines w:val="0"/>
      </w:pPr>
      <w:r w:rsidRPr="00D008F6">
        <w:tab/>
        <w:t>(f)</w:t>
      </w:r>
      <w:r w:rsidRPr="00D008F6">
        <w:tab/>
        <w:t>Nanomaterials</w:t>
      </w:r>
    </w:p>
    <w:tbl>
      <w:tblPr>
        <w:tblW w:w="0" w:type="auto"/>
        <w:tblInd w:w="1100" w:type="dxa"/>
        <w:tblCellMar>
          <w:left w:w="0" w:type="dxa"/>
          <w:right w:w="0" w:type="dxa"/>
        </w:tblCellMar>
        <w:tblLook w:val="01E0" w:firstRow="1" w:lastRow="1" w:firstColumn="1" w:lastColumn="1" w:noHBand="0" w:noVBand="0"/>
      </w:tblPr>
      <w:tblGrid>
        <w:gridCol w:w="3295"/>
        <w:gridCol w:w="4252"/>
      </w:tblGrid>
      <w:tr w:rsidR="00665C19" w:rsidRPr="00D008F6" w:rsidTr="00BB2FF3">
        <w:trPr>
          <w:cantSplit/>
        </w:trPr>
        <w:tc>
          <w:tcPr>
            <w:tcW w:w="3295" w:type="dxa"/>
            <w:shd w:val="clear" w:color="auto" w:fill="auto"/>
          </w:tcPr>
          <w:p w:rsidR="00665C19" w:rsidRPr="00D008F6" w:rsidRDefault="00665C19" w:rsidP="004F3A3A">
            <w:pPr>
              <w:spacing w:before="30" w:after="30"/>
            </w:pPr>
            <w:r w:rsidRPr="00D008F6">
              <w:t>Informal document INF.11 (Finland)</w:t>
            </w:r>
          </w:p>
        </w:tc>
        <w:tc>
          <w:tcPr>
            <w:tcW w:w="4252" w:type="dxa"/>
            <w:shd w:val="clear" w:color="auto" w:fill="auto"/>
          </w:tcPr>
          <w:p w:rsidR="00665C19" w:rsidRPr="00D008F6" w:rsidRDefault="00665C19" w:rsidP="00967EBC">
            <w:pPr>
              <w:spacing w:before="30" w:after="30"/>
              <w:ind w:left="283"/>
            </w:pPr>
            <w:r w:rsidRPr="00D008F6">
              <w:t>Review of the applicability of the GHS classification criteria to nanomaterials</w:t>
            </w:r>
          </w:p>
        </w:tc>
      </w:tr>
    </w:tbl>
    <w:p w:rsidR="00D77763" w:rsidRPr="00D008F6" w:rsidRDefault="00D77763" w:rsidP="00D77763">
      <w:pPr>
        <w:pStyle w:val="H23G"/>
        <w:keepNext w:val="0"/>
        <w:keepLines w:val="0"/>
      </w:pPr>
      <w:r w:rsidRPr="00D008F6">
        <w:lastRenderedPageBreak/>
        <w:tab/>
        <w:t>(g)</w:t>
      </w:r>
      <w:r w:rsidRPr="00D008F6">
        <w:tab/>
        <w:t>Simultaneous classification in physical hazard classes and precedence of hazards</w:t>
      </w:r>
    </w:p>
    <w:p w:rsidR="00012FC9" w:rsidRPr="00D008F6" w:rsidRDefault="00012FC9" w:rsidP="00BB2FF3">
      <w:pPr>
        <w:pStyle w:val="SingleTxtG"/>
      </w:pPr>
      <w:r w:rsidRPr="00D008F6">
        <w:tab/>
        <w:t xml:space="preserve">At the time of writing no document has been submitted under this agenda </w:t>
      </w:r>
      <w:r w:rsidR="00BB2FF3" w:rsidRPr="00D008F6">
        <w:t>sub-</w:t>
      </w:r>
      <w:r w:rsidRPr="00D008F6">
        <w:t>item.</w:t>
      </w:r>
    </w:p>
    <w:p w:rsidR="00D77763" w:rsidRPr="00D008F6" w:rsidRDefault="00D77763" w:rsidP="00D77763">
      <w:pPr>
        <w:pStyle w:val="H23G"/>
      </w:pPr>
      <w:r w:rsidRPr="00D008F6">
        <w:tab/>
        <w:t>(h)</w:t>
      </w:r>
      <w:r w:rsidRPr="00D008F6">
        <w:tab/>
        <w:t>Other issues</w:t>
      </w:r>
    </w:p>
    <w:p w:rsidR="00012FC9" w:rsidRPr="00D008F6" w:rsidRDefault="00012FC9" w:rsidP="00BB2FF3">
      <w:pPr>
        <w:pStyle w:val="SingleTxtG"/>
      </w:pPr>
      <w:r w:rsidRPr="00D008F6">
        <w:tab/>
        <w:t xml:space="preserve">At the time of writing no document has been submitted under this agenda </w:t>
      </w:r>
      <w:r w:rsidR="00BB2FF3" w:rsidRPr="00D008F6">
        <w:t>sub-</w:t>
      </w:r>
      <w:r w:rsidRPr="00D008F6">
        <w:t>item.</w:t>
      </w:r>
    </w:p>
    <w:p w:rsidR="00D77763" w:rsidRPr="00D008F6" w:rsidRDefault="00D77763" w:rsidP="00D77763">
      <w:pPr>
        <w:pStyle w:val="H1G"/>
      </w:pPr>
      <w:r w:rsidRPr="00D008F6">
        <w:tab/>
        <w:t>3.</w:t>
      </w:r>
      <w:r w:rsidRPr="00D008F6">
        <w:tab/>
        <w:t>Hazard communication</w:t>
      </w:r>
    </w:p>
    <w:p w:rsidR="00D77763" w:rsidRPr="00D008F6" w:rsidRDefault="00D77763" w:rsidP="00D77763">
      <w:pPr>
        <w:pStyle w:val="H23G"/>
      </w:pPr>
      <w:r w:rsidRPr="00D008F6">
        <w:tab/>
        <w:t>(a)</w:t>
      </w:r>
      <w:r w:rsidRPr="00D008F6">
        <w:tab/>
        <w:t>Practical labelling issues</w:t>
      </w:r>
    </w:p>
    <w:tbl>
      <w:tblPr>
        <w:tblW w:w="0" w:type="auto"/>
        <w:tblInd w:w="1100" w:type="dxa"/>
        <w:tblCellMar>
          <w:left w:w="0" w:type="dxa"/>
          <w:right w:w="0" w:type="dxa"/>
        </w:tblCellMar>
        <w:tblLook w:val="01E0" w:firstRow="1" w:lastRow="1" w:firstColumn="1" w:lastColumn="1" w:noHBand="0" w:noVBand="0"/>
      </w:tblPr>
      <w:tblGrid>
        <w:gridCol w:w="3295"/>
        <w:gridCol w:w="4252"/>
      </w:tblGrid>
      <w:tr w:rsidR="00D77763" w:rsidRPr="00D008F6" w:rsidTr="00BB2FF3">
        <w:trPr>
          <w:cantSplit/>
        </w:trPr>
        <w:tc>
          <w:tcPr>
            <w:tcW w:w="3295" w:type="dxa"/>
            <w:shd w:val="clear" w:color="auto" w:fill="auto"/>
          </w:tcPr>
          <w:p w:rsidR="00D77763" w:rsidRPr="00D008F6" w:rsidDel="00C60225" w:rsidRDefault="00012FC9" w:rsidP="00CB5795">
            <w:pPr>
              <w:spacing w:before="30" w:after="30"/>
            </w:pPr>
            <w:r w:rsidRPr="00D008F6">
              <w:t>Informal document INF.7 (CEFIC)</w:t>
            </w:r>
          </w:p>
        </w:tc>
        <w:tc>
          <w:tcPr>
            <w:tcW w:w="4252" w:type="dxa"/>
            <w:shd w:val="clear" w:color="auto" w:fill="auto"/>
          </w:tcPr>
          <w:p w:rsidR="00D77763" w:rsidRPr="00D008F6" w:rsidDel="00C60225" w:rsidRDefault="00012FC9" w:rsidP="00967EBC">
            <w:pPr>
              <w:spacing w:before="30" w:after="30"/>
              <w:ind w:left="283"/>
            </w:pPr>
            <w:r w:rsidRPr="00D008F6">
              <w:t>Thought starter on digitalisation of hazard information for chemical products</w:t>
            </w:r>
          </w:p>
        </w:tc>
      </w:tr>
    </w:tbl>
    <w:p w:rsidR="00D77763" w:rsidRPr="00D008F6" w:rsidRDefault="00D77763" w:rsidP="00D77763">
      <w:pPr>
        <w:pStyle w:val="H23G"/>
      </w:pPr>
      <w:r w:rsidRPr="00D008F6">
        <w:tab/>
        <w:t>(b)</w:t>
      </w:r>
      <w:r w:rsidRPr="00D008F6">
        <w:tab/>
        <w:t>Improvement of annexes 1 to 3 and further rationalization of precautionary statements</w:t>
      </w:r>
    </w:p>
    <w:tbl>
      <w:tblPr>
        <w:tblW w:w="0" w:type="auto"/>
        <w:tblInd w:w="1100" w:type="dxa"/>
        <w:tblCellMar>
          <w:left w:w="0" w:type="dxa"/>
          <w:right w:w="0" w:type="dxa"/>
        </w:tblCellMar>
        <w:tblLook w:val="01E0" w:firstRow="1" w:lastRow="1" w:firstColumn="1" w:lastColumn="1" w:noHBand="0" w:noVBand="0"/>
      </w:tblPr>
      <w:tblGrid>
        <w:gridCol w:w="3578"/>
        <w:gridCol w:w="3969"/>
      </w:tblGrid>
      <w:tr w:rsidR="00D77763" w:rsidRPr="00D008F6" w:rsidTr="00BB2FF3">
        <w:trPr>
          <w:cantSplit/>
        </w:trPr>
        <w:tc>
          <w:tcPr>
            <w:tcW w:w="3578" w:type="dxa"/>
            <w:shd w:val="clear" w:color="auto" w:fill="auto"/>
          </w:tcPr>
          <w:p w:rsidR="00BB2FF3" w:rsidRPr="00D008F6" w:rsidRDefault="00203CB8" w:rsidP="00CB5795">
            <w:pPr>
              <w:spacing w:before="30" w:after="30"/>
            </w:pPr>
            <w:r w:rsidRPr="00D008F6">
              <w:t>ST/SG/AC.10/C.4/2019/2 (</w:t>
            </w:r>
            <w:r w:rsidR="00BB2FF3" w:rsidRPr="00D008F6">
              <w:t>UK</w:t>
            </w:r>
            <w:r w:rsidRPr="00D008F6">
              <w:t>)</w:t>
            </w:r>
            <w:r w:rsidR="00012FC9" w:rsidRPr="00D008F6">
              <w:t xml:space="preserve"> + </w:t>
            </w:r>
          </w:p>
          <w:p w:rsidR="00D77763" w:rsidRPr="00D008F6" w:rsidDel="00C60225" w:rsidRDefault="00BB2FF3" w:rsidP="007058ED">
            <w:pPr>
              <w:spacing w:before="30" w:after="30"/>
              <w:ind w:left="38"/>
            </w:pPr>
            <w:r w:rsidRPr="00D008F6">
              <w:t xml:space="preserve">Informal documents </w:t>
            </w:r>
            <w:r w:rsidR="00012FC9" w:rsidRPr="00D008F6">
              <w:t xml:space="preserve">INF.3 </w:t>
            </w:r>
            <w:r w:rsidR="00633E11">
              <w:br/>
              <w:t xml:space="preserve">INF.3/Rev.1 </w:t>
            </w:r>
            <w:r w:rsidRPr="00D008F6">
              <w:t>(UK) and</w:t>
            </w:r>
            <w:r w:rsidR="00633E11">
              <w:t xml:space="preserve"> </w:t>
            </w:r>
            <w:r w:rsidRPr="00D008F6">
              <w:t xml:space="preserve">INF.4 </w:t>
            </w:r>
            <w:r w:rsidR="00012FC9" w:rsidRPr="00D008F6">
              <w:t>(</w:t>
            </w:r>
            <w:r w:rsidRPr="00D008F6">
              <w:t>UK</w:t>
            </w:r>
            <w:r w:rsidR="00012FC9" w:rsidRPr="00D008F6">
              <w:t>)</w:t>
            </w:r>
          </w:p>
        </w:tc>
        <w:tc>
          <w:tcPr>
            <w:tcW w:w="3969" w:type="dxa"/>
            <w:shd w:val="clear" w:color="auto" w:fill="auto"/>
          </w:tcPr>
          <w:p w:rsidR="00D77763" w:rsidRPr="00D008F6" w:rsidDel="00C60225" w:rsidRDefault="00203CB8" w:rsidP="00CB5795">
            <w:pPr>
              <w:spacing w:before="30" w:after="30"/>
            </w:pPr>
            <w:r w:rsidRPr="00D008F6">
              <w:t>Proposed changes to Annex I</w:t>
            </w:r>
          </w:p>
        </w:tc>
      </w:tr>
      <w:tr w:rsidR="005F323C" w:rsidRPr="00D008F6" w:rsidTr="00BB2FF3">
        <w:trPr>
          <w:cantSplit/>
        </w:trPr>
        <w:tc>
          <w:tcPr>
            <w:tcW w:w="3578" w:type="dxa"/>
            <w:shd w:val="clear" w:color="auto" w:fill="auto"/>
          </w:tcPr>
          <w:p w:rsidR="005F323C" w:rsidRPr="00D008F6" w:rsidRDefault="005F323C" w:rsidP="00CB5795">
            <w:pPr>
              <w:spacing w:before="30" w:after="30"/>
            </w:pPr>
            <w:r w:rsidRPr="00D008F6">
              <w:t>Informal document INF.</w:t>
            </w:r>
            <w:r>
              <w:t>23</w:t>
            </w:r>
            <w:r w:rsidRPr="00D008F6">
              <w:t xml:space="preserve"> (</w:t>
            </w:r>
            <w:r>
              <w:t>UK on behalf of the informal working group</w:t>
            </w:r>
            <w:r w:rsidRPr="00D008F6">
              <w:t>)</w:t>
            </w:r>
          </w:p>
        </w:tc>
        <w:tc>
          <w:tcPr>
            <w:tcW w:w="3969" w:type="dxa"/>
            <w:shd w:val="clear" w:color="auto" w:fill="auto"/>
          </w:tcPr>
          <w:p w:rsidR="005F323C" w:rsidRPr="00D008F6" w:rsidRDefault="005F323C" w:rsidP="00CB5795">
            <w:pPr>
              <w:spacing w:before="30" w:after="30"/>
            </w:pPr>
            <w:r w:rsidRPr="009E570D">
              <w:t>Status of the work of the Annex 1-3 informal working group</w:t>
            </w:r>
          </w:p>
        </w:tc>
      </w:tr>
      <w:tr w:rsidR="00203CB8" w:rsidRPr="00D008F6" w:rsidTr="00BB2FF3">
        <w:trPr>
          <w:cantSplit/>
        </w:trPr>
        <w:tc>
          <w:tcPr>
            <w:tcW w:w="3578" w:type="dxa"/>
            <w:shd w:val="clear" w:color="auto" w:fill="auto"/>
          </w:tcPr>
          <w:p w:rsidR="00203CB8" w:rsidRPr="00D008F6" w:rsidRDefault="00203CB8" w:rsidP="00CB5795">
            <w:pPr>
              <w:spacing w:before="30" w:after="30"/>
            </w:pPr>
            <w:r w:rsidRPr="00D008F6">
              <w:t>ST/SG/AC.10/C.4/2019/3 (</w:t>
            </w:r>
            <w:r w:rsidR="00BB2FF3" w:rsidRPr="00D008F6">
              <w:t>UK</w:t>
            </w:r>
            <w:r w:rsidRPr="00D008F6">
              <w:t>)</w:t>
            </w:r>
          </w:p>
        </w:tc>
        <w:tc>
          <w:tcPr>
            <w:tcW w:w="3969" w:type="dxa"/>
            <w:shd w:val="clear" w:color="auto" w:fill="auto"/>
          </w:tcPr>
          <w:p w:rsidR="00203CB8" w:rsidRPr="00D008F6" w:rsidRDefault="00203CB8" w:rsidP="00CB5795">
            <w:pPr>
              <w:spacing w:before="30" w:after="30"/>
            </w:pPr>
            <w:r w:rsidRPr="00D008F6">
              <w:t>Proposed changes to the presentation of flammable gas categories and sub-categories in Annex 3</w:t>
            </w:r>
          </w:p>
        </w:tc>
      </w:tr>
      <w:tr w:rsidR="003B4C0E" w:rsidRPr="00D008F6" w:rsidTr="00BB2FF3">
        <w:trPr>
          <w:cantSplit/>
        </w:trPr>
        <w:tc>
          <w:tcPr>
            <w:tcW w:w="3578" w:type="dxa"/>
            <w:shd w:val="clear" w:color="auto" w:fill="auto"/>
          </w:tcPr>
          <w:p w:rsidR="003B4C0E" w:rsidRPr="00D008F6" w:rsidRDefault="003B4C0E" w:rsidP="00CB5795">
            <w:pPr>
              <w:spacing w:before="30" w:after="30"/>
            </w:pPr>
            <w:r w:rsidRPr="00D008F6">
              <w:t>Informal document INF.12 (Secretariat)</w:t>
            </w:r>
          </w:p>
        </w:tc>
        <w:tc>
          <w:tcPr>
            <w:tcW w:w="3969" w:type="dxa"/>
            <w:shd w:val="clear" w:color="auto" w:fill="auto"/>
          </w:tcPr>
          <w:p w:rsidR="003B4C0E" w:rsidRPr="00D008F6" w:rsidRDefault="003B4C0E" w:rsidP="00CB5795">
            <w:pPr>
              <w:spacing w:before="30" w:after="30"/>
            </w:pPr>
            <w:r w:rsidRPr="00D008F6">
              <w:rPr>
                <w:rFonts w:eastAsia="MS Mincho"/>
                <w:lang w:eastAsia="ja-JP"/>
              </w:rPr>
              <w:t xml:space="preserve">Proposed </w:t>
            </w:r>
            <w:r w:rsidRPr="00D008F6">
              <w:t xml:space="preserve">corrections to the French version of </w:t>
            </w:r>
            <w:r w:rsidRPr="00D008F6">
              <w:rPr>
                <w:rFonts w:eastAsia="MS Mincho"/>
              </w:rPr>
              <w:t>H410, H411 and H412</w:t>
            </w:r>
          </w:p>
        </w:tc>
      </w:tr>
    </w:tbl>
    <w:p w:rsidR="00D77763" w:rsidRPr="00D008F6" w:rsidRDefault="00D77763" w:rsidP="00D77763">
      <w:pPr>
        <w:pStyle w:val="H23G"/>
      </w:pPr>
      <w:r w:rsidRPr="00D008F6">
        <w:tab/>
        <w:t>(c)</w:t>
      </w:r>
      <w:r w:rsidRPr="00D008F6">
        <w:tab/>
        <w:t>Review of Annex 4, sub-section A4.3.3.2.3</w:t>
      </w:r>
    </w:p>
    <w:p w:rsidR="00012FC9" w:rsidRPr="00D008F6" w:rsidRDefault="00012FC9" w:rsidP="00BB2FF3">
      <w:pPr>
        <w:pStyle w:val="SingleTxtG"/>
      </w:pPr>
      <w:r w:rsidRPr="00D008F6">
        <w:tab/>
        <w:t xml:space="preserve">At the time of writing no document has been submitted under this agenda </w:t>
      </w:r>
      <w:r w:rsidR="00BB2FF3" w:rsidRPr="00D008F6">
        <w:t>sub-</w:t>
      </w:r>
      <w:r w:rsidRPr="00D008F6">
        <w:t>item.</w:t>
      </w:r>
    </w:p>
    <w:p w:rsidR="00D77763" w:rsidRPr="00D008F6" w:rsidRDefault="00D77763" w:rsidP="00D77763">
      <w:pPr>
        <w:pStyle w:val="H23G"/>
      </w:pPr>
      <w:r w:rsidRPr="00D008F6">
        <w:tab/>
        <w:t>(d)</w:t>
      </w:r>
      <w:r w:rsidRPr="00D008F6">
        <w:tab/>
        <w:t>Other issues</w:t>
      </w:r>
    </w:p>
    <w:p w:rsidR="00012FC9" w:rsidRPr="00D008F6" w:rsidRDefault="00012FC9" w:rsidP="00BB2FF3">
      <w:pPr>
        <w:pStyle w:val="SingleTxtG"/>
      </w:pPr>
      <w:r w:rsidRPr="00D008F6">
        <w:tab/>
        <w:t xml:space="preserve">At the time of writing no document has been submitted under this agenda </w:t>
      </w:r>
      <w:r w:rsidR="00BB2FF3" w:rsidRPr="00D008F6">
        <w:t>sub-</w:t>
      </w:r>
      <w:r w:rsidRPr="00D008F6">
        <w:t>item.</w:t>
      </w:r>
    </w:p>
    <w:p w:rsidR="00D77763" w:rsidRPr="00D008F6" w:rsidRDefault="00D77763" w:rsidP="00D77763">
      <w:pPr>
        <w:pStyle w:val="H1G"/>
      </w:pPr>
      <w:r w:rsidRPr="00D008F6">
        <w:tab/>
        <w:t>4.</w:t>
      </w:r>
      <w:r w:rsidRPr="00D008F6">
        <w:tab/>
        <w:t>Implementation of the GHS</w:t>
      </w:r>
    </w:p>
    <w:p w:rsidR="00D77763" w:rsidRPr="00D008F6" w:rsidRDefault="00D77763" w:rsidP="00D77763">
      <w:pPr>
        <w:pStyle w:val="H23G"/>
        <w:keepNext w:val="0"/>
        <w:keepLines w:val="0"/>
      </w:pPr>
      <w:r w:rsidRPr="00D008F6">
        <w:tab/>
        <w:t>(a)</w:t>
      </w:r>
      <w:r w:rsidRPr="00D008F6">
        <w:tab/>
        <w:t>Possible development of a list of chemicals classified in accordance with the GHS</w:t>
      </w:r>
    </w:p>
    <w:tbl>
      <w:tblPr>
        <w:tblW w:w="0" w:type="auto"/>
        <w:tblInd w:w="1134" w:type="dxa"/>
        <w:tblCellMar>
          <w:left w:w="0" w:type="dxa"/>
          <w:right w:w="0" w:type="dxa"/>
        </w:tblCellMar>
        <w:tblLook w:val="04A0" w:firstRow="1" w:lastRow="0" w:firstColumn="1" w:lastColumn="0" w:noHBand="0" w:noVBand="1"/>
      </w:tblPr>
      <w:tblGrid>
        <w:gridCol w:w="2977"/>
        <w:gridCol w:w="4253"/>
      </w:tblGrid>
      <w:tr w:rsidR="00D77763" w:rsidRPr="00D008F6" w:rsidTr="00BB2FF3">
        <w:tc>
          <w:tcPr>
            <w:tcW w:w="2977" w:type="dxa"/>
            <w:shd w:val="clear" w:color="auto" w:fill="auto"/>
          </w:tcPr>
          <w:p w:rsidR="00D77763" w:rsidRPr="005F323C" w:rsidRDefault="00203CB8" w:rsidP="001D5BC5">
            <w:pPr>
              <w:pStyle w:val="SingleTxtG"/>
              <w:spacing w:after="80" w:line="240" w:lineRule="auto"/>
              <w:ind w:left="0" w:right="0"/>
              <w:jc w:val="left"/>
              <w:rPr>
                <w:lang w:val="es-ES"/>
              </w:rPr>
            </w:pPr>
            <w:r w:rsidRPr="005F323C">
              <w:rPr>
                <w:lang w:val="es-ES"/>
              </w:rPr>
              <w:t>ST/SG/AC.10/C.4/2019/6</w:t>
            </w:r>
            <w:r w:rsidRPr="005F323C">
              <w:rPr>
                <w:lang w:val="es-ES"/>
              </w:rPr>
              <w:br/>
              <w:t xml:space="preserve">(USA, </w:t>
            </w:r>
            <w:proofErr w:type="spellStart"/>
            <w:r w:rsidRPr="005F323C">
              <w:rPr>
                <w:lang w:val="es-ES"/>
              </w:rPr>
              <w:t>Canada</w:t>
            </w:r>
            <w:proofErr w:type="spellEnd"/>
            <w:r w:rsidRPr="005F323C">
              <w:rPr>
                <w:lang w:val="es-ES"/>
              </w:rPr>
              <w:t>)</w:t>
            </w:r>
          </w:p>
        </w:tc>
        <w:tc>
          <w:tcPr>
            <w:tcW w:w="4253" w:type="dxa"/>
            <w:shd w:val="clear" w:color="auto" w:fill="auto"/>
          </w:tcPr>
          <w:p w:rsidR="00D77763" w:rsidRPr="00D008F6" w:rsidRDefault="00203CB8" w:rsidP="001D5BC5">
            <w:pPr>
              <w:spacing w:after="120"/>
              <w:ind w:left="562"/>
            </w:pPr>
            <w:r w:rsidRPr="00D008F6">
              <w:t>Status update on the Global list informal working group</w:t>
            </w:r>
          </w:p>
        </w:tc>
      </w:tr>
      <w:tr w:rsidR="00665C19" w:rsidRPr="00D008F6" w:rsidTr="00BB2FF3">
        <w:tc>
          <w:tcPr>
            <w:tcW w:w="2977" w:type="dxa"/>
            <w:shd w:val="clear" w:color="auto" w:fill="auto"/>
          </w:tcPr>
          <w:p w:rsidR="00665C19" w:rsidRPr="005F323C" w:rsidRDefault="00665C19" w:rsidP="001D5BC5">
            <w:pPr>
              <w:pStyle w:val="SingleTxtG"/>
              <w:spacing w:after="80" w:line="240" w:lineRule="auto"/>
              <w:ind w:left="0" w:right="0"/>
              <w:jc w:val="left"/>
              <w:rPr>
                <w:lang w:val="es-ES"/>
              </w:rPr>
            </w:pPr>
            <w:r w:rsidRPr="005F323C">
              <w:rPr>
                <w:lang w:val="es-ES"/>
              </w:rPr>
              <w:t xml:space="preserve">Informal </w:t>
            </w:r>
            <w:proofErr w:type="spellStart"/>
            <w:r w:rsidRPr="005F323C">
              <w:rPr>
                <w:lang w:val="es-ES"/>
              </w:rPr>
              <w:t>document</w:t>
            </w:r>
            <w:proofErr w:type="spellEnd"/>
            <w:r w:rsidRPr="005F323C">
              <w:rPr>
                <w:lang w:val="es-ES"/>
              </w:rPr>
              <w:t xml:space="preserve"> INF.10 (USA, </w:t>
            </w:r>
            <w:proofErr w:type="spellStart"/>
            <w:r w:rsidRPr="005F323C">
              <w:rPr>
                <w:lang w:val="es-ES"/>
              </w:rPr>
              <w:t>Canada</w:t>
            </w:r>
            <w:proofErr w:type="spellEnd"/>
            <w:r w:rsidRPr="005F323C">
              <w:rPr>
                <w:lang w:val="es-ES"/>
              </w:rPr>
              <w:t>)</w:t>
            </w:r>
          </w:p>
        </w:tc>
        <w:tc>
          <w:tcPr>
            <w:tcW w:w="4253" w:type="dxa"/>
            <w:shd w:val="clear" w:color="auto" w:fill="auto"/>
          </w:tcPr>
          <w:p w:rsidR="00665C19" w:rsidRPr="00D008F6" w:rsidRDefault="00665C19" w:rsidP="001D5BC5">
            <w:pPr>
              <w:spacing w:after="120"/>
              <w:ind w:firstLine="562"/>
            </w:pPr>
            <w:r w:rsidRPr="00D008F6">
              <w:rPr>
                <w:rFonts w:eastAsia="MS Mincho"/>
                <w:lang w:eastAsia="ja-JP"/>
              </w:rPr>
              <w:t>Potential paths forward for global list project</w:t>
            </w:r>
          </w:p>
        </w:tc>
      </w:tr>
    </w:tbl>
    <w:p w:rsidR="00D77763" w:rsidRPr="00D008F6" w:rsidRDefault="00D77763" w:rsidP="001D5BC5">
      <w:pPr>
        <w:pStyle w:val="H23G"/>
        <w:keepNext w:val="0"/>
        <w:keepLines w:val="0"/>
      </w:pPr>
      <w:r w:rsidRPr="00D008F6">
        <w:tab/>
        <w:t>(b)</w:t>
      </w:r>
      <w:r w:rsidRPr="00D008F6">
        <w:tab/>
        <w:t>Reports on the status of implementation</w:t>
      </w:r>
    </w:p>
    <w:tbl>
      <w:tblPr>
        <w:tblW w:w="0" w:type="auto"/>
        <w:tblInd w:w="1134" w:type="dxa"/>
        <w:tblCellMar>
          <w:left w:w="0" w:type="dxa"/>
          <w:right w:w="0" w:type="dxa"/>
        </w:tblCellMar>
        <w:tblLook w:val="04A0" w:firstRow="1" w:lastRow="0" w:firstColumn="1" w:lastColumn="0" w:noHBand="0" w:noVBand="1"/>
      </w:tblPr>
      <w:tblGrid>
        <w:gridCol w:w="2977"/>
        <w:gridCol w:w="4253"/>
      </w:tblGrid>
      <w:tr w:rsidR="007058ED" w:rsidRPr="00D008F6" w:rsidTr="00FC45FB">
        <w:tc>
          <w:tcPr>
            <w:tcW w:w="2977" w:type="dxa"/>
            <w:shd w:val="clear" w:color="auto" w:fill="auto"/>
          </w:tcPr>
          <w:p w:rsidR="007058ED" w:rsidRPr="00D008F6" w:rsidRDefault="007058ED" w:rsidP="001D5BC5">
            <w:pPr>
              <w:pStyle w:val="SingleTxtG"/>
              <w:spacing w:after="80" w:line="240" w:lineRule="auto"/>
              <w:ind w:left="0" w:right="0"/>
              <w:jc w:val="left"/>
            </w:pPr>
            <w:r w:rsidRPr="00D008F6">
              <w:t xml:space="preserve">Informal document INF.15 </w:t>
            </w:r>
            <w:r w:rsidRPr="00D008F6">
              <w:br/>
              <w:t>(CEFIC)</w:t>
            </w:r>
          </w:p>
        </w:tc>
        <w:tc>
          <w:tcPr>
            <w:tcW w:w="4253" w:type="dxa"/>
            <w:shd w:val="clear" w:color="auto" w:fill="auto"/>
          </w:tcPr>
          <w:p w:rsidR="007058ED" w:rsidRPr="00D008F6" w:rsidRDefault="007058ED" w:rsidP="001D5BC5">
            <w:pPr>
              <w:spacing w:after="120"/>
              <w:ind w:left="562"/>
            </w:pPr>
            <w:r w:rsidRPr="00D008F6">
              <w:t>Information on the status of implementation of the GHS</w:t>
            </w:r>
          </w:p>
        </w:tc>
      </w:tr>
      <w:tr w:rsidR="001D5BC5" w:rsidRPr="00D008F6" w:rsidTr="00FC45FB">
        <w:tc>
          <w:tcPr>
            <w:tcW w:w="2977" w:type="dxa"/>
            <w:shd w:val="clear" w:color="auto" w:fill="auto"/>
          </w:tcPr>
          <w:p w:rsidR="001D5BC5" w:rsidRPr="00D008F6" w:rsidRDefault="001D5BC5" w:rsidP="001D5BC5">
            <w:pPr>
              <w:pStyle w:val="SingleTxtG"/>
              <w:spacing w:after="80" w:line="240" w:lineRule="auto"/>
              <w:ind w:left="0" w:right="0"/>
              <w:jc w:val="left"/>
            </w:pPr>
            <w:r w:rsidRPr="00D008F6">
              <w:t xml:space="preserve">Informal document INF.22 </w:t>
            </w:r>
            <w:r w:rsidRPr="00D008F6">
              <w:br/>
              <w:t>(Russian Federation)</w:t>
            </w:r>
          </w:p>
        </w:tc>
        <w:tc>
          <w:tcPr>
            <w:tcW w:w="4253" w:type="dxa"/>
            <w:shd w:val="clear" w:color="auto" w:fill="auto"/>
          </w:tcPr>
          <w:p w:rsidR="001D5BC5" w:rsidRPr="00D008F6" w:rsidRDefault="00504DA1" w:rsidP="001D5BC5">
            <w:pPr>
              <w:spacing w:after="120"/>
              <w:ind w:left="562"/>
            </w:pPr>
            <w:r w:rsidRPr="00D008F6">
              <w:t>Updates on the technical regulation of the Eurasian Economic Union (EAEU) "on the safety of chemical products"</w:t>
            </w:r>
          </w:p>
        </w:tc>
      </w:tr>
    </w:tbl>
    <w:p w:rsidR="00D77763" w:rsidRPr="00D008F6" w:rsidRDefault="00D77763" w:rsidP="001D5BC5">
      <w:pPr>
        <w:pStyle w:val="H23G"/>
        <w:keepNext w:val="0"/>
        <w:keepLines w:val="0"/>
      </w:pPr>
      <w:r w:rsidRPr="00D008F6">
        <w:lastRenderedPageBreak/>
        <w:tab/>
        <w:t>(c)</w:t>
      </w:r>
      <w:r w:rsidRPr="00D008F6">
        <w:tab/>
        <w:t>Cooperation with other bodies or international organizations</w:t>
      </w:r>
    </w:p>
    <w:tbl>
      <w:tblPr>
        <w:tblW w:w="0" w:type="auto"/>
        <w:tblInd w:w="1134" w:type="dxa"/>
        <w:tblCellMar>
          <w:left w:w="0" w:type="dxa"/>
          <w:right w:w="0" w:type="dxa"/>
        </w:tblCellMar>
        <w:tblLook w:val="04A0" w:firstRow="1" w:lastRow="0" w:firstColumn="1" w:lastColumn="0" w:noHBand="0" w:noVBand="1"/>
      </w:tblPr>
      <w:tblGrid>
        <w:gridCol w:w="2977"/>
        <w:gridCol w:w="4253"/>
      </w:tblGrid>
      <w:tr w:rsidR="00B30393" w:rsidRPr="00D008F6" w:rsidTr="00FC45FB">
        <w:tc>
          <w:tcPr>
            <w:tcW w:w="2977" w:type="dxa"/>
            <w:shd w:val="clear" w:color="auto" w:fill="auto"/>
          </w:tcPr>
          <w:p w:rsidR="00B30393" w:rsidRPr="00D008F6" w:rsidRDefault="00B30393" w:rsidP="001D5BC5">
            <w:pPr>
              <w:pStyle w:val="SingleTxtG"/>
              <w:spacing w:after="80" w:line="240" w:lineRule="auto"/>
              <w:ind w:left="0" w:right="0"/>
              <w:jc w:val="left"/>
            </w:pPr>
            <w:r w:rsidRPr="00D008F6">
              <w:t xml:space="preserve">Informal document INF.19 </w:t>
            </w:r>
            <w:r w:rsidRPr="00D008F6">
              <w:br/>
              <w:t>(Secretariat of the Basel, Rotterdam and Stockholm Conventions)</w:t>
            </w:r>
          </w:p>
        </w:tc>
        <w:tc>
          <w:tcPr>
            <w:tcW w:w="4253" w:type="dxa"/>
            <w:shd w:val="clear" w:color="auto" w:fill="auto"/>
          </w:tcPr>
          <w:p w:rsidR="00B30393" w:rsidRPr="00D008F6" w:rsidRDefault="00B30393" w:rsidP="001D5BC5">
            <w:pPr>
              <w:spacing w:after="120"/>
              <w:ind w:left="562"/>
            </w:pPr>
            <w:r w:rsidRPr="00D008F6">
              <w:t>Update on the work of Expert Working Group on the review of the Annexes I, III and IV and related aspects of Annex IX to the Basel Convention on the Control of Transboundary Movements of Hazardous Wastes and Their Disposal</w:t>
            </w:r>
          </w:p>
        </w:tc>
      </w:tr>
      <w:tr w:rsidR="00E6506D" w:rsidRPr="00D008F6" w:rsidTr="00FC45FB">
        <w:tc>
          <w:tcPr>
            <w:tcW w:w="2977" w:type="dxa"/>
            <w:shd w:val="clear" w:color="auto" w:fill="auto"/>
          </w:tcPr>
          <w:p w:rsidR="00E6506D" w:rsidRPr="00D008F6" w:rsidRDefault="00E6506D" w:rsidP="001D5BC5">
            <w:pPr>
              <w:pStyle w:val="SingleTxtG"/>
              <w:spacing w:after="80" w:line="240" w:lineRule="auto"/>
              <w:ind w:left="0" w:right="0"/>
              <w:jc w:val="left"/>
            </w:pPr>
            <w:r w:rsidRPr="00D008F6">
              <w:t>Informal document INF.20 (Secretariat of the Basel, Rotterdam and Stockholm Conventions)</w:t>
            </w:r>
          </w:p>
        </w:tc>
        <w:tc>
          <w:tcPr>
            <w:tcW w:w="4253" w:type="dxa"/>
            <w:shd w:val="clear" w:color="auto" w:fill="auto"/>
          </w:tcPr>
          <w:p w:rsidR="00E6506D" w:rsidRPr="00D008F6" w:rsidRDefault="00D008F6" w:rsidP="001D5BC5">
            <w:pPr>
              <w:spacing w:after="120"/>
              <w:ind w:left="562"/>
            </w:pPr>
            <w:r w:rsidRPr="00D008F6">
              <w:t>Report of the second meeting of the expert working group on the review of annexes (Buenos Aires, Argentina, 10-13 December 2018)</w:t>
            </w:r>
          </w:p>
        </w:tc>
      </w:tr>
    </w:tbl>
    <w:p w:rsidR="00D77763" w:rsidRPr="00D008F6" w:rsidRDefault="00D77763" w:rsidP="001D5BC5">
      <w:pPr>
        <w:pStyle w:val="H23G"/>
        <w:keepNext w:val="0"/>
        <w:keepLines w:val="0"/>
      </w:pPr>
      <w:r w:rsidRPr="00D008F6">
        <w:tab/>
        <w:t>(d)</w:t>
      </w:r>
      <w:r w:rsidRPr="00D008F6">
        <w:tab/>
        <w:t>Miscellaneous</w:t>
      </w:r>
    </w:p>
    <w:p w:rsidR="00012FC9" w:rsidRPr="00D008F6" w:rsidRDefault="00012FC9" w:rsidP="001D5BC5">
      <w:pPr>
        <w:pStyle w:val="SingleTxtG"/>
      </w:pPr>
      <w:r w:rsidRPr="00D008F6">
        <w:tab/>
        <w:t xml:space="preserve">At the time of writing no document has been submitted under this agenda </w:t>
      </w:r>
      <w:r w:rsidR="00BB2FF3" w:rsidRPr="00D008F6">
        <w:t>sub-</w:t>
      </w:r>
      <w:r w:rsidRPr="00D008F6">
        <w:t>item.</w:t>
      </w:r>
    </w:p>
    <w:p w:rsidR="00D77763" w:rsidRPr="00D008F6" w:rsidRDefault="00D77763" w:rsidP="001D5BC5">
      <w:pPr>
        <w:pStyle w:val="H1G"/>
        <w:keepNext w:val="0"/>
        <w:keepLines w:val="0"/>
      </w:pPr>
      <w:r w:rsidRPr="00D008F6">
        <w:tab/>
        <w:t>5.</w:t>
      </w:r>
      <w:r w:rsidRPr="00D008F6">
        <w:tab/>
        <w:t>Development of guidance on the application of GHS criteria</w:t>
      </w:r>
    </w:p>
    <w:p w:rsidR="00D77763" w:rsidRPr="00D008F6" w:rsidRDefault="00012FC9" w:rsidP="001D5BC5">
      <w:pPr>
        <w:pStyle w:val="SingleTxtG"/>
      </w:pPr>
      <w:r w:rsidRPr="00D008F6">
        <w:tab/>
        <w:t>At the time of writing no document has been submitted under this agenda item.</w:t>
      </w:r>
    </w:p>
    <w:p w:rsidR="00D77763" w:rsidRPr="00D008F6" w:rsidRDefault="00D77763" w:rsidP="001D5BC5">
      <w:pPr>
        <w:pStyle w:val="H1G"/>
        <w:keepNext w:val="0"/>
        <w:keepLines w:val="0"/>
      </w:pPr>
      <w:r w:rsidRPr="00D008F6">
        <w:tab/>
        <w:t>6.</w:t>
      </w:r>
      <w:r w:rsidRPr="00D008F6">
        <w:tab/>
        <w:t>Capacity building</w:t>
      </w:r>
    </w:p>
    <w:p w:rsidR="00D77763" w:rsidRPr="00D008F6" w:rsidRDefault="00012FC9" w:rsidP="001D5BC5">
      <w:pPr>
        <w:pStyle w:val="SingleTxtG"/>
      </w:pPr>
      <w:r w:rsidRPr="00D008F6">
        <w:tab/>
        <w:t>At the time of writing no document has been submitted under this agenda item.</w:t>
      </w:r>
    </w:p>
    <w:p w:rsidR="00D77763" w:rsidRPr="00D008F6" w:rsidRDefault="00D77763" w:rsidP="001D5BC5">
      <w:pPr>
        <w:pStyle w:val="H1G"/>
        <w:keepNext w:val="0"/>
        <w:keepLines w:val="0"/>
      </w:pPr>
      <w:r w:rsidRPr="00D008F6">
        <w:tab/>
        <w:t>7.</w:t>
      </w:r>
      <w:r w:rsidRPr="00D008F6">
        <w:tab/>
        <w:t>Other business</w:t>
      </w:r>
    </w:p>
    <w:p w:rsidR="00D77763" w:rsidRPr="00D008F6" w:rsidRDefault="00012FC9" w:rsidP="001D5BC5">
      <w:pPr>
        <w:pStyle w:val="SingleTxtG"/>
      </w:pPr>
      <w:r w:rsidRPr="00D008F6">
        <w:tab/>
        <w:t>At the time of writing no document has been submitted under this agenda item.</w:t>
      </w:r>
    </w:p>
    <w:p w:rsidR="00D77763" w:rsidRPr="00D008F6" w:rsidRDefault="00D77763" w:rsidP="001D5BC5">
      <w:pPr>
        <w:pStyle w:val="H1G"/>
        <w:keepNext w:val="0"/>
        <w:keepLines w:val="0"/>
      </w:pPr>
      <w:r w:rsidRPr="00D008F6">
        <w:tab/>
        <w:t xml:space="preserve">8. </w:t>
      </w:r>
      <w:r w:rsidRPr="00D008F6">
        <w:tab/>
        <w:t>Adoption of the report</w:t>
      </w:r>
    </w:p>
    <w:p w:rsidR="003A449B" w:rsidRPr="00D008F6" w:rsidRDefault="00012FC9" w:rsidP="001D5BC5">
      <w:pPr>
        <w:pStyle w:val="SingleTxtG"/>
      </w:pPr>
      <w:r w:rsidRPr="00D008F6">
        <w:tab/>
      </w:r>
      <w:r w:rsidR="00C304DC" w:rsidRPr="00D008F6">
        <w:t>In accordance with the established practice, the Sub-Committee may wish to adopt the report on its thirty-seventh session based on a draft prepared by the secretariat.</w:t>
      </w:r>
    </w:p>
    <w:p w:rsidR="00BB2FF3" w:rsidRPr="00D008F6" w:rsidRDefault="00BB2FF3" w:rsidP="00BB2FF3">
      <w:pPr>
        <w:spacing w:before="240"/>
        <w:jc w:val="center"/>
        <w:rPr>
          <w:u w:val="single"/>
        </w:rPr>
      </w:pPr>
      <w:r w:rsidRPr="00D008F6">
        <w:rPr>
          <w:u w:val="single"/>
        </w:rPr>
        <w:tab/>
      </w:r>
      <w:r w:rsidRPr="00D008F6">
        <w:rPr>
          <w:u w:val="single"/>
        </w:rPr>
        <w:tab/>
      </w:r>
      <w:r w:rsidRPr="00D008F6">
        <w:rPr>
          <w:u w:val="single"/>
        </w:rPr>
        <w:tab/>
      </w:r>
    </w:p>
    <w:sectPr w:rsidR="00BB2FF3" w:rsidRPr="00D008F6"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A60" w:rsidRDefault="00B24A60"/>
  </w:endnote>
  <w:endnote w:type="continuationSeparator" w:id="0">
    <w:p w:rsidR="00B24A60" w:rsidRDefault="00B24A60"/>
  </w:endnote>
  <w:endnote w:type="continuationNotice" w:id="1">
    <w:p w:rsidR="00B24A60" w:rsidRDefault="00B2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6758B">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6758B">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A60" w:rsidRPr="000B175B" w:rsidRDefault="00B24A60" w:rsidP="000B175B">
      <w:pPr>
        <w:tabs>
          <w:tab w:val="right" w:pos="2155"/>
        </w:tabs>
        <w:spacing w:after="80"/>
        <w:ind w:left="680"/>
        <w:rPr>
          <w:u w:val="single"/>
        </w:rPr>
      </w:pPr>
      <w:r>
        <w:rPr>
          <w:u w:val="single"/>
        </w:rPr>
        <w:tab/>
      </w:r>
    </w:p>
  </w:footnote>
  <w:footnote w:type="continuationSeparator" w:id="0">
    <w:p w:rsidR="00B24A60" w:rsidRPr="00FC68B7" w:rsidRDefault="00B24A60" w:rsidP="00FC68B7">
      <w:pPr>
        <w:tabs>
          <w:tab w:val="left" w:pos="2155"/>
        </w:tabs>
        <w:spacing w:after="80"/>
        <w:ind w:left="680"/>
        <w:rPr>
          <w:u w:val="single"/>
        </w:rPr>
      </w:pPr>
      <w:r>
        <w:rPr>
          <w:u w:val="single"/>
        </w:rPr>
        <w:tab/>
      </w:r>
    </w:p>
  </w:footnote>
  <w:footnote w:type="continuationNotice" w:id="1">
    <w:p w:rsidR="00B24A60" w:rsidRDefault="00B24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143581">
      <w:t>UN/SCEGHS/</w:t>
    </w:r>
    <w:r w:rsidR="00266461">
      <w:t>3</w:t>
    </w:r>
    <w:r w:rsidR="00012FC9">
      <w:t>7</w:t>
    </w:r>
    <w:r w:rsidRPr="00143581">
      <w:t>/INF.</w:t>
    </w:r>
    <w:r w:rsidR="005F5D9D" w:rsidRPr="0014358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t>UN/SCEGHS/</w:t>
    </w:r>
    <w:r w:rsidR="00266461">
      <w:t>3</w:t>
    </w:r>
    <w:r w:rsidR="00012FC9">
      <w:t>7</w:t>
    </w:r>
    <w:r>
      <w:t>/INF.</w:t>
    </w:r>
    <w:r w:rsidR="005F5D9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B6A86"/>
    <w:multiLevelType w:val="hybridMultilevel"/>
    <w:tmpl w:val="AE9AE0A8"/>
    <w:lvl w:ilvl="0" w:tplc="CFE2C524">
      <w:start w:val="1"/>
      <w:numFmt w:val="decimal"/>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05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6E5F"/>
    <w:rsid w:val="00011527"/>
    <w:rsid w:val="00012FC9"/>
    <w:rsid w:val="00021567"/>
    <w:rsid w:val="000224BC"/>
    <w:rsid w:val="00027025"/>
    <w:rsid w:val="0003055B"/>
    <w:rsid w:val="00033B3D"/>
    <w:rsid w:val="00036FA4"/>
    <w:rsid w:val="00041F62"/>
    <w:rsid w:val="000433B6"/>
    <w:rsid w:val="00050F6B"/>
    <w:rsid w:val="0006758B"/>
    <w:rsid w:val="00072C8C"/>
    <w:rsid w:val="00081647"/>
    <w:rsid w:val="000832EC"/>
    <w:rsid w:val="000839C4"/>
    <w:rsid w:val="0009092B"/>
    <w:rsid w:val="000931C0"/>
    <w:rsid w:val="000A483D"/>
    <w:rsid w:val="000B02A9"/>
    <w:rsid w:val="000B175B"/>
    <w:rsid w:val="000B3A0F"/>
    <w:rsid w:val="000C2105"/>
    <w:rsid w:val="000C6544"/>
    <w:rsid w:val="000D4E20"/>
    <w:rsid w:val="000E0415"/>
    <w:rsid w:val="000E75FE"/>
    <w:rsid w:val="000F5A68"/>
    <w:rsid w:val="001220B8"/>
    <w:rsid w:val="00124879"/>
    <w:rsid w:val="00143581"/>
    <w:rsid w:val="00156F3C"/>
    <w:rsid w:val="00162BF7"/>
    <w:rsid w:val="0016575F"/>
    <w:rsid w:val="00172195"/>
    <w:rsid w:val="00172537"/>
    <w:rsid w:val="00190AEA"/>
    <w:rsid w:val="00190BA9"/>
    <w:rsid w:val="001A0F5B"/>
    <w:rsid w:val="001B4B04"/>
    <w:rsid w:val="001C6663"/>
    <w:rsid w:val="001C7895"/>
    <w:rsid w:val="001C7E9D"/>
    <w:rsid w:val="001D26DF"/>
    <w:rsid w:val="001D344D"/>
    <w:rsid w:val="001D5BC5"/>
    <w:rsid w:val="001E47FD"/>
    <w:rsid w:val="001F2322"/>
    <w:rsid w:val="00203CB8"/>
    <w:rsid w:val="00204E4D"/>
    <w:rsid w:val="00211E0B"/>
    <w:rsid w:val="002264F8"/>
    <w:rsid w:val="002405A7"/>
    <w:rsid w:val="0025322D"/>
    <w:rsid w:val="00257E45"/>
    <w:rsid w:val="00260C1C"/>
    <w:rsid w:val="00262488"/>
    <w:rsid w:val="00266461"/>
    <w:rsid w:val="002702A9"/>
    <w:rsid w:val="0027347A"/>
    <w:rsid w:val="00293B27"/>
    <w:rsid w:val="00294A57"/>
    <w:rsid w:val="002A00BA"/>
    <w:rsid w:val="002B0002"/>
    <w:rsid w:val="002B0BD0"/>
    <w:rsid w:val="002D1D1C"/>
    <w:rsid w:val="002D4E75"/>
    <w:rsid w:val="002D59D3"/>
    <w:rsid w:val="002E64A0"/>
    <w:rsid w:val="002F516B"/>
    <w:rsid w:val="00301E00"/>
    <w:rsid w:val="00307659"/>
    <w:rsid w:val="003107FA"/>
    <w:rsid w:val="003124ED"/>
    <w:rsid w:val="003127A2"/>
    <w:rsid w:val="003229D8"/>
    <w:rsid w:val="0033745A"/>
    <w:rsid w:val="00366CA7"/>
    <w:rsid w:val="0038679A"/>
    <w:rsid w:val="0039277A"/>
    <w:rsid w:val="003942DF"/>
    <w:rsid w:val="003972E0"/>
    <w:rsid w:val="003A0F49"/>
    <w:rsid w:val="003A449B"/>
    <w:rsid w:val="003B4C0E"/>
    <w:rsid w:val="003B4C0F"/>
    <w:rsid w:val="003C2CC4"/>
    <w:rsid w:val="003C3384"/>
    <w:rsid w:val="003C3936"/>
    <w:rsid w:val="003C4BCC"/>
    <w:rsid w:val="003D4B23"/>
    <w:rsid w:val="003F0FAF"/>
    <w:rsid w:val="003F125D"/>
    <w:rsid w:val="003F1ED3"/>
    <w:rsid w:val="004144B1"/>
    <w:rsid w:val="00421AA7"/>
    <w:rsid w:val="004325CB"/>
    <w:rsid w:val="00432816"/>
    <w:rsid w:val="00446DE4"/>
    <w:rsid w:val="00455A4B"/>
    <w:rsid w:val="00460DD9"/>
    <w:rsid w:val="00463625"/>
    <w:rsid w:val="0046724C"/>
    <w:rsid w:val="00467F71"/>
    <w:rsid w:val="00470371"/>
    <w:rsid w:val="0048061D"/>
    <w:rsid w:val="00484A35"/>
    <w:rsid w:val="00491C09"/>
    <w:rsid w:val="00496049"/>
    <w:rsid w:val="004A41CA"/>
    <w:rsid w:val="004B0721"/>
    <w:rsid w:val="004C3F81"/>
    <w:rsid w:val="004C4121"/>
    <w:rsid w:val="004C7339"/>
    <w:rsid w:val="004D2099"/>
    <w:rsid w:val="004D4917"/>
    <w:rsid w:val="004E2CBA"/>
    <w:rsid w:val="004E698D"/>
    <w:rsid w:val="004E7ED6"/>
    <w:rsid w:val="005012C6"/>
    <w:rsid w:val="00503228"/>
    <w:rsid w:val="00504DA1"/>
    <w:rsid w:val="00505384"/>
    <w:rsid w:val="00532EF8"/>
    <w:rsid w:val="00537E14"/>
    <w:rsid w:val="005420F2"/>
    <w:rsid w:val="00560CC6"/>
    <w:rsid w:val="00567B2E"/>
    <w:rsid w:val="005738E0"/>
    <w:rsid w:val="0058064E"/>
    <w:rsid w:val="005875FF"/>
    <w:rsid w:val="005A1C2A"/>
    <w:rsid w:val="005B0576"/>
    <w:rsid w:val="005B2C89"/>
    <w:rsid w:val="005B3DB3"/>
    <w:rsid w:val="005B538E"/>
    <w:rsid w:val="005B5BC8"/>
    <w:rsid w:val="005D3D61"/>
    <w:rsid w:val="005E22FE"/>
    <w:rsid w:val="005E7318"/>
    <w:rsid w:val="005F299A"/>
    <w:rsid w:val="005F323C"/>
    <w:rsid w:val="005F5D9D"/>
    <w:rsid w:val="006075E9"/>
    <w:rsid w:val="00611FC4"/>
    <w:rsid w:val="006176FB"/>
    <w:rsid w:val="0062040C"/>
    <w:rsid w:val="00627ED0"/>
    <w:rsid w:val="00633E11"/>
    <w:rsid w:val="00640B26"/>
    <w:rsid w:val="00653597"/>
    <w:rsid w:val="00663CA7"/>
    <w:rsid w:val="00665595"/>
    <w:rsid w:val="00665C19"/>
    <w:rsid w:val="00673A44"/>
    <w:rsid w:val="0067694B"/>
    <w:rsid w:val="00680F37"/>
    <w:rsid w:val="00691F20"/>
    <w:rsid w:val="00693543"/>
    <w:rsid w:val="006A5C1A"/>
    <w:rsid w:val="006A7392"/>
    <w:rsid w:val="006A7757"/>
    <w:rsid w:val="006B4BFF"/>
    <w:rsid w:val="006C3EF8"/>
    <w:rsid w:val="006C512C"/>
    <w:rsid w:val="006D37A7"/>
    <w:rsid w:val="006E0B09"/>
    <w:rsid w:val="006E125E"/>
    <w:rsid w:val="006E564B"/>
    <w:rsid w:val="006E5C06"/>
    <w:rsid w:val="006F2B2E"/>
    <w:rsid w:val="006F3786"/>
    <w:rsid w:val="00701E47"/>
    <w:rsid w:val="007058ED"/>
    <w:rsid w:val="00707A19"/>
    <w:rsid w:val="0071349F"/>
    <w:rsid w:val="00720DEB"/>
    <w:rsid w:val="0072632A"/>
    <w:rsid w:val="00727E8F"/>
    <w:rsid w:val="00733AAE"/>
    <w:rsid w:val="00733FB5"/>
    <w:rsid w:val="00734BBE"/>
    <w:rsid w:val="00734C4C"/>
    <w:rsid w:val="007442E3"/>
    <w:rsid w:val="007470C8"/>
    <w:rsid w:val="007509D7"/>
    <w:rsid w:val="00762648"/>
    <w:rsid w:val="007649E8"/>
    <w:rsid w:val="00771F2E"/>
    <w:rsid w:val="00775CA0"/>
    <w:rsid w:val="00781A60"/>
    <w:rsid w:val="00791914"/>
    <w:rsid w:val="007A0B22"/>
    <w:rsid w:val="007A482B"/>
    <w:rsid w:val="007B30D5"/>
    <w:rsid w:val="007B6BA5"/>
    <w:rsid w:val="007C3390"/>
    <w:rsid w:val="007C4F4B"/>
    <w:rsid w:val="007D6509"/>
    <w:rsid w:val="007E6BD8"/>
    <w:rsid w:val="007F0B83"/>
    <w:rsid w:val="007F2E01"/>
    <w:rsid w:val="007F48EF"/>
    <w:rsid w:val="007F4FCD"/>
    <w:rsid w:val="007F6611"/>
    <w:rsid w:val="00813BEC"/>
    <w:rsid w:val="0081732C"/>
    <w:rsid w:val="00817496"/>
    <w:rsid w:val="008175E9"/>
    <w:rsid w:val="0082240B"/>
    <w:rsid w:val="008242D7"/>
    <w:rsid w:val="00827E05"/>
    <w:rsid w:val="008311A3"/>
    <w:rsid w:val="00836AF7"/>
    <w:rsid w:val="008445DB"/>
    <w:rsid w:val="00856F8F"/>
    <w:rsid w:val="00862987"/>
    <w:rsid w:val="00871FD5"/>
    <w:rsid w:val="00884941"/>
    <w:rsid w:val="00886464"/>
    <w:rsid w:val="008979B1"/>
    <w:rsid w:val="008A23CA"/>
    <w:rsid w:val="008A6B25"/>
    <w:rsid w:val="008A6C4F"/>
    <w:rsid w:val="008B2589"/>
    <w:rsid w:val="008B6E26"/>
    <w:rsid w:val="008B75C1"/>
    <w:rsid w:val="008C40EF"/>
    <w:rsid w:val="008D0335"/>
    <w:rsid w:val="008D52B6"/>
    <w:rsid w:val="008E02EA"/>
    <w:rsid w:val="008E05E4"/>
    <w:rsid w:val="008E0E46"/>
    <w:rsid w:val="008E4C4C"/>
    <w:rsid w:val="00907AD2"/>
    <w:rsid w:val="00911047"/>
    <w:rsid w:val="0091106D"/>
    <w:rsid w:val="00915940"/>
    <w:rsid w:val="00916507"/>
    <w:rsid w:val="00923184"/>
    <w:rsid w:val="0092568A"/>
    <w:rsid w:val="00963CBA"/>
    <w:rsid w:val="009650E6"/>
    <w:rsid w:val="0096522B"/>
    <w:rsid w:val="00967EBC"/>
    <w:rsid w:val="00974A8D"/>
    <w:rsid w:val="00983C07"/>
    <w:rsid w:val="0099001C"/>
    <w:rsid w:val="00991261"/>
    <w:rsid w:val="00993414"/>
    <w:rsid w:val="009A280C"/>
    <w:rsid w:val="009B74E0"/>
    <w:rsid w:val="009D3EA5"/>
    <w:rsid w:val="009E1BA0"/>
    <w:rsid w:val="009E3534"/>
    <w:rsid w:val="009E506E"/>
    <w:rsid w:val="009F3A17"/>
    <w:rsid w:val="009F3D53"/>
    <w:rsid w:val="009F4F76"/>
    <w:rsid w:val="00A11C7E"/>
    <w:rsid w:val="00A1427D"/>
    <w:rsid w:val="00A258D6"/>
    <w:rsid w:val="00A27A9E"/>
    <w:rsid w:val="00A27AAF"/>
    <w:rsid w:val="00A55FB2"/>
    <w:rsid w:val="00A6758D"/>
    <w:rsid w:val="00A709BA"/>
    <w:rsid w:val="00A72F22"/>
    <w:rsid w:val="00A748A6"/>
    <w:rsid w:val="00A80459"/>
    <w:rsid w:val="00A805EB"/>
    <w:rsid w:val="00A81315"/>
    <w:rsid w:val="00A83D89"/>
    <w:rsid w:val="00A87678"/>
    <w:rsid w:val="00A879A4"/>
    <w:rsid w:val="00AA24D2"/>
    <w:rsid w:val="00AA496B"/>
    <w:rsid w:val="00AB0E2C"/>
    <w:rsid w:val="00AB5D91"/>
    <w:rsid w:val="00AE71F3"/>
    <w:rsid w:val="00B24A60"/>
    <w:rsid w:val="00B273F4"/>
    <w:rsid w:val="00B27BFC"/>
    <w:rsid w:val="00B30179"/>
    <w:rsid w:val="00B30393"/>
    <w:rsid w:val="00B30E8F"/>
    <w:rsid w:val="00B33EC0"/>
    <w:rsid w:val="00B40F22"/>
    <w:rsid w:val="00B6227D"/>
    <w:rsid w:val="00B62E1E"/>
    <w:rsid w:val="00B71AB8"/>
    <w:rsid w:val="00B81E12"/>
    <w:rsid w:val="00B860BC"/>
    <w:rsid w:val="00B9154B"/>
    <w:rsid w:val="00B97D28"/>
    <w:rsid w:val="00BA0C44"/>
    <w:rsid w:val="00BB2FF3"/>
    <w:rsid w:val="00BC74E9"/>
    <w:rsid w:val="00BD2146"/>
    <w:rsid w:val="00BD25AE"/>
    <w:rsid w:val="00BD348A"/>
    <w:rsid w:val="00BE4395"/>
    <w:rsid w:val="00BE4F74"/>
    <w:rsid w:val="00BE618E"/>
    <w:rsid w:val="00C03044"/>
    <w:rsid w:val="00C15477"/>
    <w:rsid w:val="00C17699"/>
    <w:rsid w:val="00C1778D"/>
    <w:rsid w:val="00C21009"/>
    <w:rsid w:val="00C22A14"/>
    <w:rsid w:val="00C22BA1"/>
    <w:rsid w:val="00C24EA2"/>
    <w:rsid w:val="00C304DC"/>
    <w:rsid w:val="00C35C2A"/>
    <w:rsid w:val="00C41A28"/>
    <w:rsid w:val="00C463DD"/>
    <w:rsid w:val="00C73820"/>
    <w:rsid w:val="00C745C3"/>
    <w:rsid w:val="00C945EB"/>
    <w:rsid w:val="00CA729F"/>
    <w:rsid w:val="00CB2CF2"/>
    <w:rsid w:val="00CB5B58"/>
    <w:rsid w:val="00CD663B"/>
    <w:rsid w:val="00CE21C4"/>
    <w:rsid w:val="00CE4A8F"/>
    <w:rsid w:val="00CF4155"/>
    <w:rsid w:val="00CF6ABA"/>
    <w:rsid w:val="00D008F6"/>
    <w:rsid w:val="00D055EB"/>
    <w:rsid w:val="00D2031B"/>
    <w:rsid w:val="00D25FE2"/>
    <w:rsid w:val="00D317BB"/>
    <w:rsid w:val="00D35D8F"/>
    <w:rsid w:val="00D4126B"/>
    <w:rsid w:val="00D43252"/>
    <w:rsid w:val="00D57B2F"/>
    <w:rsid w:val="00D601EC"/>
    <w:rsid w:val="00D61896"/>
    <w:rsid w:val="00D63734"/>
    <w:rsid w:val="00D63881"/>
    <w:rsid w:val="00D705E6"/>
    <w:rsid w:val="00D77763"/>
    <w:rsid w:val="00D84433"/>
    <w:rsid w:val="00D978C6"/>
    <w:rsid w:val="00DA090C"/>
    <w:rsid w:val="00DA4E1D"/>
    <w:rsid w:val="00DA67AD"/>
    <w:rsid w:val="00DA760A"/>
    <w:rsid w:val="00DB0F56"/>
    <w:rsid w:val="00DB5D0F"/>
    <w:rsid w:val="00DB772D"/>
    <w:rsid w:val="00DC3242"/>
    <w:rsid w:val="00DE4FD4"/>
    <w:rsid w:val="00DE787C"/>
    <w:rsid w:val="00DE7F20"/>
    <w:rsid w:val="00DF12F7"/>
    <w:rsid w:val="00DF2C64"/>
    <w:rsid w:val="00DF5C76"/>
    <w:rsid w:val="00E02183"/>
    <w:rsid w:val="00E02C81"/>
    <w:rsid w:val="00E04A75"/>
    <w:rsid w:val="00E06EAB"/>
    <w:rsid w:val="00E130AB"/>
    <w:rsid w:val="00E15100"/>
    <w:rsid w:val="00E175D0"/>
    <w:rsid w:val="00E31C87"/>
    <w:rsid w:val="00E619E3"/>
    <w:rsid w:val="00E6506D"/>
    <w:rsid w:val="00E6609D"/>
    <w:rsid w:val="00E673E7"/>
    <w:rsid w:val="00E70DF5"/>
    <w:rsid w:val="00E7260F"/>
    <w:rsid w:val="00E72DED"/>
    <w:rsid w:val="00E80F5F"/>
    <w:rsid w:val="00E87921"/>
    <w:rsid w:val="00E928EC"/>
    <w:rsid w:val="00E96630"/>
    <w:rsid w:val="00EA09AA"/>
    <w:rsid w:val="00EA264E"/>
    <w:rsid w:val="00EA3A41"/>
    <w:rsid w:val="00EA7DA5"/>
    <w:rsid w:val="00EB57CE"/>
    <w:rsid w:val="00ED353C"/>
    <w:rsid w:val="00ED4C3C"/>
    <w:rsid w:val="00ED7A2A"/>
    <w:rsid w:val="00EF1120"/>
    <w:rsid w:val="00EF1D7F"/>
    <w:rsid w:val="00F01BCE"/>
    <w:rsid w:val="00F23FF8"/>
    <w:rsid w:val="00F25563"/>
    <w:rsid w:val="00F268AD"/>
    <w:rsid w:val="00F310DE"/>
    <w:rsid w:val="00F42CC2"/>
    <w:rsid w:val="00F53EDA"/>
    <w:rsid w:val="00F57CB9"/>
    <w:rsid w:val="00F6151B"/>
    <w:rsid w:val="00F75060"/>
    <w:rsid w:val="00F7753D"/>
    <w:rsid w:val="00F81EDC"/>
    <w:rsid w:val="00F85F34"/>
    <w:rsid w:val="00F94CF6"/>
    <w:rsid w:val="00F96FDD"/>
    <w:rsid w:val="00FA06F7"/>
    <w:rsid w:val="00FB1390"/>
    <w:rsid w:val="00FB171A"/>
    <w:rsid w:val="00FC09B8"/>
    <w:rsid w:val="00FC13CF"/>
    <w:rsid w:val="00FC68B7"/>
    <w:rsid w:val="00FD0C66"/>
    <w:rsid w:val="00FD4446"/>
    <w:rsid w:val="00FD4F7E"/>
    <w:rsid w:val="00FD7BF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C59A3F5"/>
  <w15:docId w15:val="{CDD15134-42C2-4604-9885-6D03EEF2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Number4">
    <w:name w:val="List Number 4"/>
    <w:basedOn w:val="Normal"/>
    <w:rsid w:val="00E72DED"/>
    <w:pPr>
      <w:numPr>
        <w:numId w:val="4"/>
      </w:numPr>
    </w:pPr>
  </w:style>
  <w:style w:type="paragraph" w:styleId="BalloonText">
    <w:name w:val="Balloon Text"/>
    <w:basedOn w:val="Normal"/>
    <w:link w:val="BalloonTextChar"/>
    <w:rsid w:val="00567B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7B2E"/>
    <w:rPr>
      <w:rFonts w:ascii="Tahoma" w:hAnsi="Tahoma" w:cs="Tahoma"/>
      <w:sz w:val="16"/>
      <w:szCs w:val="16"/>
      <w:lang w:eastAsia="en-US"/>
    </w:rPr>
  </w:style>
  <w:style w:type="paragraph" w:customStyle="1" w:styleId="Default">
    <w:name w:val="Default"/>
    <w:rsid w:val="008D52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16EC-7417-4C5F-85F4-FD134DC7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123</TotalTime>
  <Pages>4</Pages>
  <Words>1015</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Alibech Mireles Diaz</cp:lastModifiedBy>
  <cp:revision>30</cp:revision>
  <cp:lastPrinted>2016-12-06T17:22:00Z</cp:lastPrinted>
  <dcterms:created xsi:type="dcterms:W3CDTF">2019-03-29T09:57:00Z</dcterms:created>
  <dcterms:modified xsi:type="dcterms:W3CDTF">2019-07-05T14:23:00Z</dcterms:modified>
</cp:coreProperties>
</file>