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5839FA7" w14:textId="6AFB68A8" w:rsidR="000216CC" w:rsidRPr="00947F38" w:rsidRDefault="00FC215C" w:rsidP="00956358">
            <w:pPr>
              <w:jc w:val="right"/>
              <w:rPr>
                <w:highlight w:val="yellow"/>
                <w:lang w:val="fr-CH"/>
              </w:rPr>
            </w:pPr>
            <w:r w:rsidRPr="00947F38">
              <w:rPr>
                <w:b/>
                <w:sz w:val="40"/>
                <w:szCs w:val="40"/>
                <w:lang w:val="fr-CH"/>
              </w:rPr>
              <w:t>UN/SCETDG/</w:t>
            </w:r>
            <w:r w:rsidR="00E2792B">
              <w:rPr>
                <w:b/>
                <w:sz w:val="40"/>
                <w:szCs w:val="40"/>
                <w:lang w:val="fr-CH"/>
              </w:rPr>
              <w:t>5</w:t>
            </w:r>
            <w:r w:rsidR="009C514C">
              <w:rPr>
                <w:b/>
                <w:sz w:val="40"/>
                <w:szCs w:val="40"/>
                <w:lang w:val="fr-CH"/>
              </w:rPr>
              <w:t>6</w:t>
            </w:r>
            <w:r w:rsidRPr="00947F38">
              <w:rPr>
                <w:b/>
                <w:sz w:val="40"/>
                <w:szCs w:val="40"/>
                <w:lang w:val="fr-CH"/>
              </w:rPr>
              <w:t>/INF.</w:t>
            </w:r>
            <w:r w:rsidR="00956358">
              <w:rPr>
                <w:b/>
                <w:sz w:val="40"/>
                <w:szCs w:val="40"/>
                <w:lang w:val="fr-CH"/>
              </w:rPr>
              <w:t>2</w:t>
            </w:r>
            <w:r w:rsidR="00124D44">
              <w:rPr>
                <w:b/>
                <w:sz w:val="40"/>
                <w:szCs w:val="40"/>
                <w:lang w:val="fr-CH"/>
              </w:rPr>
              <w:t>7</w:t>
            </w:r>
          </w:p>
        </w:tc>
      </w:tr>
    </w:tbl>
    <w:tbl>
      <w:tblPr>
        <w:tblW w:w="9645" w:type="dxa"/>
        <w:tblInd w:w="108" w:type="dxa"/>
        <w:tblLayout w:type="fixed"/>
        <w:tblLook w:val="04A0" w:firstRow="1" w:lastRow="0" w:firstColumn="1" w:lastColumn="0" w:noHBand="0" w:noVBand="1"/>
      </w:tblPr>
      <w:tblGrid>
        <w:gridCol w:w="4652"/>
        <w:gridCol w:w="4993"/>
      </w:tblGrid>
      <w:tr w:rsidR="008D5CD3" w:rsidRPr="008D5CD3" w14:paraId="479F18F4" w14:textId="77777777" w:rsidTr="00165735">
        <w:tc>
          <w:tcPr>
            <w:tcW w:w="9645" w:type="dxa"/>
            <w:gridSpan w:val="2"/>
            <w:tcMar>
              <w:top w:w="142" w:type="dxa"/>
              <w:left w:w="108" w:type="dxa"/>
              <w:bottom w:w="142" w:type="dxa"/>
              <w:right w:w="108" w:type="dxa"/>
            </w:tcMar>
          </w:tcPr>
          <w:p w14:paraId="32998C10" w14:textId="4AD30342" w:rsidR="00645A0B" w:rsidRPr="008D5CD3" w:rsidRDefault="00645A0B" w:rsidP="008D5CD3">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9C514C">
              <w:rPr>
                <w:b/>
              </w:rPr>
              <w:t>2</w:t>
            </w:r>
            <w:r w:rsidR="00CE3AFA">
              <w:rPr>
                <w:b/>
              </w:rPr>
              <w:t>6</w:t>
            </w:r>
            <w:r w:rsidR="009C514C">
              <w:rPr>
                <w:b/>
              </w:rPr>
              <w:t xml:space="preserve"> November</w:t>
            </w:r>
            <w:r w:rsidR="00162E11" w:rsidRPr="008D5CD3">
              <w:rPr>
                <w:b/>
              </w:rPr>
              <w:t xml:space="preserve"> 201</w:t>
            </w:r>
            <w:r w:rsidR="0038279B" w:rsidRPr="008D5CD3">
              <w:rPr>
                <w:b/>
              </w:rPr>
              <w:t>9</w:t>
            </w:r>
          </w:p>
        </w:tc>
      </w:tr>
      <w:tr w:rsidR="00645A0B" w:rsidRPr="001039FD" w14:paraId="31CCF690" w14:textId="77777777" w:rsidTr="00165735">
        <w:tc>
          <w:tcPr>
            <w:tcW w:w="4652" w:type="dxa"/>
            <w:tcMar>
              <w:top w:w="57" w:type="dxa"/>
              <w:left w:w="108" w:type="dxa"/>
              <w:bottom w:w="0" w:type="dxa"/>
              <w:right w:w="108" w:type="dxa"/>
            </w:tcMar>
            <w:vAlign w:val="center"/>
          </w:tcPr>
          <w:p w14:paraId="3D8D2BFF"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1039FD" w:rsidRDefault="00645A0B" w:rsidP="00165735">
            <w:pPr>
              <w:spacing w:before="120"/>
              <w:rPr>
                <w:b/>
              </w:rPr>
            </w:pPr>
          </w:p>
        </w:tc>
      </w:tr>
      <w:tr w:rsidR="00645A0B" w:rsidRPr="001039FD" w14:paraId="13AC65FF" w14:textId="77777777" w:rsidTr="00165735">
        <w:tc>
          <w:tcPr>
            <w:tcW w:w="4652" w:type="dxa"/>
            <w:tcMar>
              <w:top w:w="57" w:type="dxa"/>
              <w:left w:w="108" w:type="dxa"/>
              <w:bottom w:w="0" w:type="dxa"/>
              <w:right w:w="108" w:type="dxa"/>
            </w:tcMar>
          </w:tcPr>
          <w:p w14:paraId="1F1BC9C2" w14:textId="662DF7F8" w:rsidR="00645A0B" w:rsidRPr="00E601C0" w:rsidRDefault="00E601C0" w:rsidP="005900D8">
            <w:pPr>
              <w:ind w:left="34" w:hanging="34"/>
              <w:rPr>
                <w:b/>
              </w:rPr>
            </w:pPr>
            <w:r w:rsidRPr="00E601C0">
              <w:rPr>
                <w:b/>
              </w:rPr>
              <w:t>F</w:t>
            </w:r>
            <w:r w:rsidR="00E2792B">
              <w:rPr>
                <w:b/>
              </w:rPr>
              <w:t>ifty</w:t>
            </w:r>
            <w:r w:rsidR="001B3102">
              <w:rPr>
                <w:b/>
              </w:rPr>
              <w:t>-</w:t>
            </w:r>
            <w:r w:rsidR="009C514C">
              <w:rPr>
                <w:b/>
              </w:rPr>
              <w:t>six</w:t>
            </w:r>
            <w:r w:rsidR="00AB3D4E">
              <w:rPr>
                <w:b/>
              </w:rPr>
              <w:t>th</w:t>
            </w:r>
            <w:r w:rsidR="00645A0B" w:rsidRPr="00E601C0">
              <w:rPr>
                <w:b/>
              </w:rPr>
              <w:t xml:space="preserve"> session</w:t>
            </w:r>
          </w:p>
        </w:tc>
        <w:tc>
          <w:tcPr>
            <w:tcW w:w="4993" w:type="dxa"/>
            <w:tcMar>
              <w:top w:w="57" w:type="dxa"/>
              <w:left w:w="108" w:type="dxa"/>
              <w:bottom w:w="0" w:type="dxa"/>
              <w:right w:w="108" w:type="dxa"/>
            </w:tcMar>
          </w:tcPr>
          <w:p w14:paraId="0817C9FB" w14:textId="77777777" w:rsidR="00645A0B" w:rsidRPr="00D06F88" w:rsidRDefault="00645A0B" w:rsidP="005900D8">
            <w:pPr>
              <w:rPr>
                <w:b/>
                <w:highlight w:val="yellow"/>
              </w:rPr>
            </w:pPr>
          </w:p>
        </w:tc>
      </w:tr>
      <w:tr w:rsidR="00645A0B" w:rsidRPr="001039FD" w14:paraId="6BC25810" w14:textId="77777777" w:rsidTr="00165735">
        <w:tc>
          <w:tcPr>
            <w:tcW w:w="4652" w:type="dxa"/>
            <w:tcMar>
              <w:top w:w="28" w:type="dxa"/>
              <w:left w:w="108" w:type="dxa"/>
              <w:bottom w:w="0" w:type="dxa"/>
              <w:right w:w="108" w:type="dxa"/>
            </w:tcMar>
          </w:tcPr>
          <w:p w14:paraId="57D1A9DF" w14:textId="3CA7A4A6" w:rsidR="00645A0B" w:rsidRPr="00061070" w:rsidRDefault="00645A0B" w:rsidP="005900D8">
            <w:pPr>
              <w:tabs>
                <w:tab w:val="left" w:pos="0"/>
                <w:tab w:val="left" w:pos="6361"/>
                <w:tab w:val="left" w:pos="6939"/>
              </w:tabs>
              <w:ind w:left="34" w:hanging="34"/>
              <w:outlineLvl w:val="0"/>
              <w:rPr>
                <w:bCs/>
              </w:rPr>
            </w:pPr>
            <w:r w:rsidRPr="00061070">
              <w:rPr>
                <w:bCs/>
              </w:rPr>
              <w:t xml:space="preserve">Geneva, </w:t>
            </w:r>
            <w:r w:rsidR="009C514C">
              <w:t>4-10 December</w:t>
            </w:r>
            <w:r w:rsidR="00233FA1">
              <w:t xml:space="preserve"> 2019</w:t>
            </w:r>
          </w:p>
          <w:p w14:paraId="216EBFBB" w14:textId="4ABE391A" w:rsidR="00645A0B" w:rsidRPr="00061070" w:rsidRDefault="00645A0B" w:rsidP="005900D8">
            <w:pPr>
              <w:ind w:left="34" w:hanging="34"/>
            </w:pPr>
            <w:r w:rsidRPr="00061070">
              <w:t xml:space="preserve">Item </w:t>
            </w:r>
            <w:r w:rsidR="00124D44">
              <w:t>7</w:t>
            </w:r>
            <w:r w:rsidRPr="00061070">
              <w:t xml:space="preserve"> of the provisional agenda</w:t>
            </w:r>
          </w:p>
          <w:p w14:paraId="30BE3C1B" w14:textId="1D4D7549" w:rsidR="00645A0B" w:rsidRPr="00124D44" w:rsidRDefault="00124D44" w:rsidP="00976497">
            <w:pPr>
              <w:rPr>
                <w:b/>
                <w:bCs/>
              </w:rPr>
            </w:pPr>
            <w:r w:rsidRPr="00124D44">
              <w:rPr>
                <w:b/>
                <w:bCs/>
              </w:rPr>
              <w:t>Global harmonization of transport of dangerous goods regulations with the Model Regulations</w:t>
            </w:r>
          </w:p>
        </w:tc>
        <w:tc>
          <w:tcPr>
            <w:tcW w:w="4993" w:type="dxa"/>
            <w:tcMar>
              <w:top w:w="28" w:type="dxa"/>
              <w:left w:w="108" w:type="dxa"/>
              <w:bottom w:w="0" w:type="dxa"/>
              <w:right w:w="108" w:type="dxa"/>
            </w:tcMar>
          </w:tcPr>
          <w:p w14:paraId="0D14A31D" w14:textId="77777777" w:rsidR="00645A0B" w:rsidRPr="001039FD" w:rsidRDefault="00645A0B" w:rsidP="005900D8">
            <w:pPr>
              <w:rPr>
                <w:b/>
                <w:bCs/>
              </w:rPr>
            </w:pPr>
          </w:p>
        </w:tc>
      </w:tr>
    </w:tbl>
    <w:p w14:paraId="2E08EBC0" w14:textId="77777777" w:rsidR="00124D44" w:rsidRPr="002E64C7" w:rsidRDefault="00124D44" w:rsidP="00124D44">
      <w:pPr>
        <w:pStyle w:val="HChG"/>
      </w:pPr>
      <w:r w:rsidRPr="00F1104D">
        <w:tab/>
      </w:r>
      <w:r w:rsidRPr="00F1104D">
        <w:tab/>
      </w:r>
      <w:bookmarkStart w:id="0" w:name="_Hlk25593951"/>
      <w:r w:rsidRPr="00F1104D">
        <w:t>Outcome of the thirty-second session of the Editorial and Technical Group (the IMDG Code)</w:t>
      </w:r>
      <w:bookmarkEnd w:id="0"/>
      <w:r>
        <w:rPr>
          <w:rStyle w:val="FootnoteReference"/>
        </w:rPr>
        <w:footnoteReference w:id="2"/>
      </w:r>
      <w:r>
        <w:t xml:space="preserve"> </w:t>
      </w:r>
    </w:p>
    <w:p w14:paraId="2749003D" w14:textId="77777777" w:rsidR="00124D44" w:rsidRPr="00F1104D" w:rsidRDefault="00124D44" w:rsidP="00124D44">
      <w:pPr>
        <w:pStyle w:val="H1G"/>
      </w:pPr>
      <w:r w:rsidRPr="00F1104D">
        <w:tab/>
      </w:r>
      <w:r w:rsidRPr="00F1104D">
        <w:tab/>
      </w:r>
      <w:bookmarkStart w:id="1" w:name="_Hlk25593987"/>
      <w:r w:rsidRPr="00F1104D">
        <w:t>Submitted by the International Maritime Organization (IMO)</w:t>
      </w:r>
      <w:bookmarkEnd w:id="1"/>
    </w:p>
    <w:p w14:paraId="71D00606" w14:textId="6C6F134B" w:rsidR="00124D44" w:rsidRDefault="00124D44" w:rsidP="00124D44">
      <w:pPr>
        <w:pStyle w:val="HChG"/>
      </w:pPr>
      <w:r>
        <w:tab/>
      </w:r>
      <w:r>
        <w:tab/>
      </w:r>
      <w:r w:rsidRPr="002E64C7">
        <w:t>Report to the Sub-Committee on Carriage of Cargoes and Containers</w:t>
      </w:r>
    </w:p>
    <w:p w14:paraId="698D6B3E" w14:textId="1C2A3D83" w:rsidR="00124D44" w:rsidRPr="00124D44" w:rsidRDefault="00124D44" w:rsidP="00124D44">
      <w:pPr>
        <w:pStyle w:val="H1G"/>
      </w:pPr>
      <w:r>
        <w:tab/>
      </w:r>
      <w:r w:rsidRPr="00124D44">
        <w:t>1</w:t>
      </w:r>
      <w:r w:rsidRPr="00124D44">
        <w:tab/>
        <w:t>G</w:t>
      </w:r>
      <w:r>
        <w:t>eneral</w:t>
      </w:r>
    </w:p>
    <w:p w14:paraId="5996EC2B" w14:textId="44AC911B" w:rsidR="00124D44" w:rsidRPr="00F16745" w:rsidRDefault="00124D44" w:rsidP="00124D44">
      <w:pPr>
        <w:pStyle w:val="H1G"/>
      </w:pPr>
      <w:r>
        <w:tab/>
      </w:r>
      <w:r>
        <w:tab/>
      </w:r>
      <w:r w:rsidRPr="00F16745">
        <w:t>Introduction</w:t>
      </w:r>
    </w:p>
    <w:p w14:paraId="2A81978D" w14:textId="77777777" w:rsidR="00124D44" w:rsidRPr="008428A8" w:rsidRDefault="00124D44" w:rsidP="00124D44">
      <w:pPr>
        <w:pStyle w:val="SingleTxtG"/>
        <w:rPr>
          <w:rFonts w:eastAsia="SimSun" w:cs="Arial"/>
          <w:color w:val="000000"/>
          <w:szCs w:val="22"/>
          <w:lang w:eastAsia="en-GB"/>
        </w:rPr>
      </w:pPr>
      <w:r w:rsidRPr="00F16745">
        <w:t>1.1</w:t>
      </w:r>
      <w:r w:rsidRPr="00F16745">
        <w:tab/>
        <w:t>The thirty-second session of the Editorial and Technical Group (E&amp;T) of the</w:t>
      </w:r>
      <w:r>
        <w:t xml:space="preserve"> </w:t>
      </w:r>
      <w:r w:rsidRPr="00F16745">
        <w:t>Sub</w:t>
      </w:r>
      <w:r w:rsidRPr="00F16745">
        <w:noBreakHyphen/>
        <w:t>Committee on Carriage of Cargoes and Containers (CCC) met from 16 to 20 September 2019 and was chaired by Mr. Steven Webb (United States).</w:t>
      </w:r>
      <w:r w:rsidRPr="008428A8">
        <w:rPr>
          <w:rFonts w:eastAsia="SimSun" w:cs="Arial"/>
          <w:color w:val="000000"/>
          <w:szCs w:val="22"/>
          <w:lang w:eastAsia="en-GB"/>
        </w:rPr>
        <w:t xml:space="preserve">  </w:t>
      </w:r>
    </w:p>
    <w:p w14:paraId="35C4826B" w14:textId="751C4D1A" w:rsidR="00124D44" w:rsidRPr="00F16745" w:rsidRDefault="00124D44" w:rsidP="00124D44">
      <w:pPr>
        <w:pStyle w:val="H1G"/>
      </w:pPr>
      <w:r>
        <w:tab/>
      </w:r>
      <w:r>
        <w:tab/>
      </w:r>
      <w:r w:rsidRPr="00F16745">
        <w:t>Instructions to the E&amp;T Group</w:t>
      </w:r>
    </w:p>
    <w:p w14:paraId="05E995A4" w14:textId="3B3ED029" w:rsidR="00124D44" w:rsidRPr="00F16745" w:rsidRDefault="00124D44" w:rsidP="00124D44">
      <w:pPr>
        <w:pStyle w:val="SingleTxtG"/>
      </w:pPr>
      <w:r w:rsidRPr="00F16745">
        <w:t>1.3</w:t>
      </w:r>
      <w:r w:rsidRPr="00F16745">
        <w:tab/>
        <w:t>The Sub-Committee at its sixth session authorized E&amp;T 32 to finalize the draft amendments (40</w:t>
      </w:r>
      <w:r w:rsidRPr="00F16745">
        <w:noBreakHyphen/>
        <w:t>20) to the IMDG Code, based on documents submitted to CCC 6 and taking into account comments made and decisions taken by the Sub-Committee, with a view to submitting the draft amendments to MSC 102 for consideration and adoption; and to submit a written report to CCC 7. The Sub-Committee also instructed E&amp;T 32 to carry out a comprehensive review of the footnotes in the IMDG Code when preparing amendment (40</w:t>
      </w:r>
      <w:r>
        <w:noBreakHyphen/>
      </w:r>
      <w:r w:rsidRPr="00F16745">
        <w:t>20) to the IMDG Code.</w:t>
      </w:r>
    </w:p>
    <w:p w14:paraId="4176BF2C" w14:textId="77777777" w:rsidR="00124D44" w:rsidRPr="00F16745" w:rsidRDefault="00124D44" w:rsidP="00124D44">
      <w:pPr>
        <w:pStyle w:val="SingleTxtG"/>
      </w:pPr>
      <w:r w:rsidRPr="00F16745">
        <w:t>1.4</w:t>
      </w:r>
      <w:r w:rsidRPr="00F16745">
        <w:tab/>
        <w:t>The Group was further instructed to finalize the editorial corrections to amendment 39-18 of the Code (resolution MSC.442(99)) and requested the Secretariat to issue them before 1 January 2020, the date when amendment 39-18 enters into force.</w:t>
      </w:r>
    </w:p>
    <w:p w14:paraId="0390E084" w14:textId="77777777" w:rsidR="00124D44" w:rsidRPr="00F16745" w:rsidRDefault="00124D44" w:rsidP="00124D44">
      <w:pPr>
        <w:spacing w:before="40"/>
        <w:ind w:left="1100"/>
      </w:pPr>
    </w:p>
    <w:p w14:paraId="6801E026" w14:textId="77777777" w:rsidR="00124D44" w:rsidRDefault="00124D44" w:rsidP="00124D44">
      <w:pPr>
        <w:pStyle w:val="SingleTxtG"/>
      </w:pPr>
      <w:r w:rsidRPr="00F16745">
        <w:lastRenderedPageBreak/>
        <w:t>1.5</w:t>
      </w:r>
      <w:r w:rsidRPr="00F16745">
        <w:tab/>
        <w:t>Additionally, the Group was instructed to prepare related recommendations and circulars for submission to MSC 102 for approval, together with the adoption of amendments to the IMDG Code.</w:t>
      </w:r>
    </w:p>
    <w:p w14:paraId="5EB01B5A" w14:textId="31260F6B" w:rsidR="00124D44" w:rsidRPr="00F16745" w:rsidRDefault="00124D44" w:rsidP="00124D44">
      <w:pPr>
        <w:pStyle w:val="H1G"/>
      </w:pPr>
      <w:r>
        <w:tab/>
      </w:r>
      <w:r w:rsidRPr="00F16745">
        <w:t>2</w:t>
      </w:r>
      <w:r w:rsidRPr="00F16745">
        <w:tab/>
        <w:t>F</w:t>
      </w:r>
      <w:r>
        <w:t>inalization of draft editorial corrections to the amendments to the IMDG Code</w:t>
      </w:r>
      <w:r w:rsidRPr="00F16745">
        <w:t xml:space="preserve"> (A</w:t>
      </w:r>
      <w:r>
        <w:t>mendment</w:t>
      </w:r>
      <w:r w:rsidRPr="00F16745">
        <w:t xml:space="preserve"> 39-18) </w:t>
      </w:r>
    </w:p>
    <w:p w14:paraId="5F76B5BF" w14:textId="2DCEAA9B" w:rsidR="00124D44" w:rsidRPr="00F16745" w:rsidRDefault="00124D44" w:rsidP="00124D44">
      <w:pPr>
        <w:pStyle w:val="H1G"/>
      </w:pPr>
      <w:r>
        <w:tab/>
      </w:r>
      <w:r>
        <w:tab/>
      </w:r>
      <w:r w:rsidRPr="00F16745">
        <w:t>Editorial corrections</w:t>
      </w:r>
    </w:p>
    <w:p w14:paraId="488C1FB8" w14:textId="77777777" w:rsidR="00124D44" w:rsidRPr="00F16745" w:rsidRDefault="00124D44" w:rsidP="00124D44">
      <w:pPr>
        <w:pStyle w:val="SingleTxtG"/>
      </w:pPr>
      <w:r w:rsidRPr="00F16745">
        <w:t>2.1</w:t>
      </w:r>
      <w:r w:rsidRPr="00F16745">
        <w:tab/>
        <w:t>Having considered the proposals in documents CCC 6/6/1 (Secretariat), CCC 6/6/4 (France) annex 2, and CCC 6/6/5 (France), the Group finalized the editorial corrections applicable to the English version of amendment 39-18 to the IMDG Code (resolution MSC.442(99)), as set out in annex 1.</w:t>
      </w:r>
    </w:p>
    <w:p w14:paraId="027521DF" w14:textId="77777777" w:rsidR="00124D44" w:rsidRPr="00F16745" w:rsidRDefault="00124D44" w:rsidP="00124D44">
      <w:pPr>
        <w:pStyle w:val="SingleTxtG"/>
      </w:pPr>
      <w:r w:rsidRPr="00F16745">
        <w:t>2.2</w:t>
      </w:r>
      <w:r w:rsidRPr="00F16745">
        <w:tab/>
        <w:t>With regard to the remark in paragraph 3 in document CCC 6/6/1, i.e. that some entries in the Dangerous Goods List in chapter 3.2 of the IMDG Code contain references to explosive limits (e.g. for UN 1144, "Explosive limits: 1.4% to …"), the Group agreed to amend the references to clarify that those references are made to lower explosive limits. The corresponding amendments, as prepared by the Group, are set out in annex 1. In this context, the Group invited interested Member States and international organizations to submit additional information on explosive limits to CCC 7, for possible further consideration.</w:t>
      </w:r>
    </w:p>
    <w:p w14:paraId="59A29C57" w14:textId="77777777" w:rsidR="00124D44" w:rsidRPr="00F16745" w:rsidRDefault="00124D44" w:rsidP="00124D44">
      <w:pPr>
        <w:pStyle w:val="SingleTxtG"/>
      </w:pPr>
      <w:r w:rsidRPr="00F16745">
        <w:t>2.3</w:t>
      </w:r>
      <w:r w:rsidRPr="00F16745">
        <w:tab/>
        <w:t>Based on document CCC 6/6/4 (annex 1), the Group finalized the editorial corrections applicable to the French version of amendment 39-18 to the IMDG Code (resolution MSC.442(99)), as set out in annex 2.</w:t>
      </w:r>
    </w:p>
    <w:p w14:paraId="21AD44EF" w14:textId="77777777" w:rsidR="00124D44" w:rsidRPr="00F16745" w:rsidRDefault="00124D44" w:rsidP="00124D44">
      <w:pPr>
        <w:pStyle w:val="SingleTxtG"/>
      </w:pPr>
      <w:r w:rsidRPr="00F16745">
        <w:t>2.4</w:t>
      </w:r>
      <w:r w:rsidRPr="00F16745">
        <w:tab/>
        <w:t xml:space="preserve">The Group also finalized the editorial corrections applicable to the Spanish version of amendment 39-18 to the IMDG Code (resolution MSC.442(99)), as set out in annex 3. </w:t>
      </w:r>
    </w:p>
    <w:p w14:paraId="4C5FDC2A" w14:textId="77777777" w:rsidR="00124D44" w:rsidRPr="00F16745" w:rsidRDefault="00124D44" w:rsidP="00124D44">
      <w:pPr>
        <w:pStyle w:val="SingleTxtG"/>
      </w:pPr>
      <w:r w:rsidRPr="00F16745">
        <w:t>2.5</w:t>
      </w:r>
      <w:r w:rsidRPr="00F16745">
        <w:tab/>
        <w:t>The Group requested the Secretariat to issue the separate corrigenda (English, French and Spanish), containing the editorial corrections to resolution MSC.442(99) on amendments to the IMDG Code, before the entry into force of amendment 39-18 (1 January 2020).</w:t>
      </w:r>
    </w:p>
    <w:p w14:paraId="28A5E418" w14:textId="77777777" w:rsidR="00124D44" w:rsidRPr="00F16745" w:rsidRDefault="00124D44" w:rsidP="00124D44">
      <w:pPr>
        <w:pStyle w:val="SingleTxtG"/>
      </w:pPr>
      <w:r w:rsidRPr="00F16745">
        <w:t>2.6</w:t>
      </w:r>
      <w:r w:rsidRPr="00F16745">
        <w:tab/>
        <w:t>In this context, the Group also requested the Secretariat to inform UN SCE TDG 56 on the following relevant matters for their consideration:</w:t>
      </w:r>
    </w:p>
    <w:p w14:paraId="5C4EBF27" w14:textId="76331D85" w:rsidR="00124D44" w:rsidRPr="00F16745" w:rsidRDefault="00CE3AFA" w:rsidP="00124D44">
      <w:pPr>
        <w:pStyle w:val="SingleTxtG"/>
        <w:ind w:left="1701"/>
      </w:pPr>
      <w:r>
        <w:rPr>
          <w:lang w:val="fr-CH"/>
        </w:rPr>
        <w:t>.1</w:t>
      </w:r>
      <w:r w:rsidR="00124D44" w:rsidRPr="00F16745">
        <w:tab/>
        <w:t>in 2.6.2.2.3 of the IMDG Code, the Group agreed to replace the words "the grouping has been based" with the words "the assignment has been based</w:t>
      </w:r>
      <w:proofErr w:type="gramStart"/>
      <w:r w:rsidR="00124D44" w:rsidRPr="00F16745">
        <w:t>";</w:t>
      </w:r>
      <w:proofErr w:type="gramEnd"/>
      <w:r w:rsidR="00124D44" w:rsidRPr="00F16745">
        <w:t xml:space="preserve"> and</w:t>
      </w:r>
    </w:p>
    <w:p w14:paraId="55DE369A" w14:textId="78B260CB" w:rsidR="00124D44" w:rsidRPr="00F16745" w:rsidRDefault="00CE3AFA" w:rsidP="00124D44">
      <w:pPr>
        <w:pStyle w:val="SingleTxtG"/>
        <w:ind w:left="1701"/>
      </w:pPr>
      <w:r>
        <w:rPr>
          <w:lang w:val="fr-CH"/>
        </w:rPr>
        <w:t>.2</w:t>
      </w:r>
      <w:r w:rsidR="00124D44" w:rsidRPr="00F16745">
        <w:tab/>
        <w:t>in appendix B of the IMDG Code and corresponding Model Regulations, with regard to FUSE, INSTANTANEOUS, NON-DETONATING- (QUICKMATCH), there are differences between the English, French and Spanish language texts concerning description "Article consisting of cotton yarns impregnated with fine black powder (</w:t>
      </w:r>
      <w:proofErr w:type="spellStart"/>
      <w:r w:rsidR="00124D44" w:rsidRPr="00F16745">
        <w:t>Quickmatch</w:t>
      </w:r>
      <w:proofErr w:type="spellEnd"/>
      <w:r w:rsidR="00124D44" w:rsidRPr="00F16745">
        <w:t xml:space="preserve">). It burns with an external flame and is used in ignition trains for fireworks, etc." </w:t>
      </w:r>
    </w:p>
    <w:p w14:paraId="13AA826E" w14:textId="1765A2DF" w:rsidR="00124D44" w:rsidRPr="008A5979" w:rsidRDefault="00124D44" w:rsidP="00124D44">
      <w:pPr>
        <w:pStyle w:val="H1G"/>
      </w:pPr>
      <w:r>
        <w:tab/>
      </w:r>
      <w:r w:rsidRPr="008A5979">
        <w:t>3</w:t>
      </w:r>
      <w:r w:rsidRPr="008A5979">
        <w:tab/>
        <w:t>F</w:t>
      </w:r>
      <w:r>
        <w:t xml:space="preserve">inalization of draft amendments </w:t>
      </w:r>
      <w:r w:rsidRPr="008A5979">
        <w:t xml:space="preserve">(40-20) </w:t>
      </w:r>
      <w:r>
        <w:t xml:space="preserve">to the </w:t>
      </w:r>
      <w:r w:rsidRPr="008A5979">
        <w:t>IMDG C</w:t>
      </w:r>
      <w:r>
        <w:t>ode</w:t>
      </w:r>
    </w:p>
    <w:p w14:paraId="1CCAA57F" w14:textId="56EB4AF8" w:rsidR="00124D44" w:rsidRPr="008A5979" w:rsidRDefault="00124D44" w:rsidP="00124D44">
      <w:pPr>
        <w:pStyle w:val="H23G"/>
      </w:pPr>
      <w:r>
        <w:tab/>
      </w:r>
      <w:r>
        <w:tab/>
      </w:r>
      <w:r>
        <w:tab/>
      </w:r>
      <w:r w:rsidRPr="008A5979">
        <w:t>Draft amendments (40-20) to the IMDG Code</w:t>
      </w:r>
      <w:r w:rsidRPr="008A5979" w:rsidDel="007F7141">
        <w:t xml:space="preserve"> </w:t>
      </w:r>
      <w:r w:rsidRPr="008A5979">
        <w:t>(prepared by E&amp;T 31)</w:t>
      </w:r>
    </w:p>
    <w:p w14:paraId="003F7358" w14:textId="1BA8021C" w:rsidR="00124D44" w:rsidRPr="00124D44" w:rsidRDefault="00124D44" w:rsidP="00124D44">
      <w:pPr>
        <w:pStyle w:val="H23G"/>
        <w:rPr>
          <w:i/>
          <w:iCs/>
        </w:rPr>
      </w:pPr>
      <w:r>
        <w:rPr>
          <w:i/>
          <w:iCs/>
        </w:rPr>
        <w:tab/>
      </w:r>
      <w:r>
        <w:rPr>
          <w:i/>
          <w:iCs/>
        </w:rPr>
        <w:tab/>
      </w:r>
      <w:r>
        <w:rPr>
          <w:i/>
          <w:iCs/>
        </w:rPr>
        <w:tab/>
      </w:r>
      <w:r w:rsidRPr="00124D44">
        <w:rPr>
          <w:i/>
          <w:iCs/>
        </w:rPr>
        <w:t>Footnotes</w:t>
      </w:r>
    </w:p>
    <w:p w14:paraId="238216FC" w14:textId="77777777" w:rsidR="00124D44" w:rsidRPr="008A5979" w:rsidRDefault="00124D44" w:rsidP="00124D44">
      <w:pPr>
        <w:pStyle w:val="SingleTxtG"/>
      </w:pPr>
      <w:r w:rsidRPr="008A5979">
        <w:t>3.14</w:t>
      </w:r>
      <w:r w:rsidRPr="008A5979">
        <w:tab/>
        <w:t xml:space="preserve">As instructed by the Sub-Committee, the Group carried out a comprehensive review of the footnotes contained in the IMDG Code when preparing the draft amendment (40-20) to the IMDG Code. The Group noted the advice from MSC and the Secretariat that authentic </w:t>
      </w:r>
      <w:r w:rsidRPr="008A5979">
        <w:lastRenderedPageBreak/>
        <w:t>texts of IMO instruments do not include footnotes, and that regulatory requirements should not appear in footnotes to the IMDG Code.</w:t>
      </w:r>
    </w:p>
    <w:p w14:paraId="514B6362" w14:textId="77777777" w:rsidR="00124D44" w:rsidRPr="008A5979" w:rsidRDefault="00124D44" w:rsidP="00124D44">
      <w:pPr>
        <w:pStyle w:val="SingleTxtG"/>
      </w:pPr>
      <w:r w:rsidRPr="008A5979">
        <w:t>3.15</w:t>
      </w:r>
      <w:r w:rsidRPr="008A5979">
        <w:tab/>
        <w:t>Before embarking on the review, the Group had a discussion on the method of work and agreed, in general, to:</w:t>
      </w:r>
    </w:p>
    <w:p w14:paraId="64A23660" w14:textId="677AF761" w:rsidR="00124D44" w:rsidRPr="008A5979" w:rsidRDefault="00CE3AFA" w:rsidP="00124D44">
      <w:pPr>
        <w:pStyle w:val="SingleTxtG"/>
        <w:ind w:left="1701"/>
      </w:pPr>
      <w:r>
        <w:rPr>
          <w:lang w:val="fr-CH"/>
        </w:rPr>
        <w:t>.1</w:t>
      </w:r>
      <w:r w:rsidR="00124D44" w:rsidRPr="008A5979">
        <w:tab/>
        <w:t xml:space="preserve">retain a footnote when containing references to other </w:t>
      </w:r>
      <w:proofErr w:type="gramStart"/>
      <w:r w:rsidR="00124D44" w:rsidRPr="008A5979">
        <w:t>instruments;</w:t>
      </w:r>
      <w:proofErr w:type="gramEnd"/>
    </w:p>
    <w:p w14:paraId="10741608" w14:textId="78B0A927" w:rsidR="00124D44" w:rsidRPr="008A5979" w:rsidRDefault="00CE3AFA" w:rsidP="00124D44">
      <w:pPr>
        <w:pStyle w:val="SingleTxtG"/>
        <w:ind w:left="1701"/>
      </w:pPr>
      <w:r>
        <w:rPr>
          <w:lang w:val="fr-CH"/>
        </w:rPr>
        <w:t>.2</w:t>
      </w:r>
      <w:r w:rsidR="00124D44" w:rsidRPr="008A5979">
        <w:tab/>
        <w:t xml:space="preserve">inform UNTDG about a footnote when containing regulatory text found in the UN Model </w:t>
      </w:r>
      <w:proofErr w:type="gramStart"/>
      <w:r w:rsidR="00124D44" w:rsidRPr="008A5979">
        <w:t>Regulations;</w:t>
      </w:r>
      <w:proofErr w:type="gramEnd"/>
    </w:p>
    <w:p w14:paraId="0A58C223" w14:textId="310FBF34" w:rsidR="00124D44" w:rsidRPr="008A5979" w:rsidRDefault="00CE3AFA" w:rsidP="00124D44">
      <w:pPr>
        <w:pStyle w:val="SingleTxtG"/>
        <w:ind w:left="1701"/>
      </w:pPr>
      <w:r>
        <w:rPr>
          <w:lang w:val="fr-CH"/>
        </w:rPr>
        <w:t>.3</w:t>
      </w:r>
      <w:r w:rsidR="00124D44" w:rsidRPr="008A5979">
        <w:tab/>
        <w:t xml:space="preserve">delete a footnote when containing outdated transitional </w:t>
      </w:r>
      <w:proofErr w:type="gramStart"/>
      <w:r w:rsidR="00124D44" w:rsidRPr="008A5979">
        <w:t>references;</w:t>
      </w:r>
      <w:proofErr w:type="gramEnd"/>
    </w:p>
    <w:p w14:paraId="7FF39F85" w14:textId="7B53AEFD" w:rsidR="00124D44" w:rsidRPr="008A5979" w:rsidRDefault="00CE3AFA" w:rsidP="00124D44">
      <w:pPr>
        <w:pStyle w:val="SingleTxtG"/>
        <w:ind w:left="1701"/>
      </w:pPr>
      <w:r>
        <w:rPr>
          <w:lang w:val="fr-CH"/>
        </w:rPr>
        <w:t>.4</w:t>
      </w:r>
      <w:r w:rsidR="00124D44" w:rsidRPr="008A5979">
        <w:tab/>
        <w:t xml:space="preserve">update a footnote if </w:t>
      </w:r>
      <w:proofErr w:type="gramStart"/>
      <w:r w:rsidR="00124D44" w:rsidRPr="008A5979">
        <w:t>appropriate;</w:t>
      </w:r>
      <w:proofErr w:type="gramEnd"/>
      <w:r w:rsidR="00124D44" w:rsidRPr="008A5979">
        <w:t xml:space="preserve"> and</w:t>
      </w:r>
    </w:p>
    <w:p w14:paraId="4D5B09F5" w14:textId="099CBEA6" w:rsidR="00124D44" w:rsidRPr="008A5979" w:rsidRDefault="00CE3AFA" w:rsidP="00124D44">
      <w:pPr>
        <w:pStyle w:val="SingleTxtG"/>
        <w:ind w:left="1701"/>
      </w:pPr>
      <w:r>
        <w:rPr>
          <w:lang w:val="fr-CH"/>
        </w:rPr>
        <w:t>.5</w:t>
      </w:r>
      <w:r w:rsidR="00124D44" w:rsidRPr="008A5979">
        <w:tab/>
      </w:r>
      <w:proofErr w:type="gramStart"/>
      <w:r w:rsidR="00124D44" w:rsidRPr="008A5979">
        <w:t>move</w:t>
      </w:r>
      <w:proofErr w:type="gramEnd"/>
      <w:r w:rsidR="00124D44" w:rsidRPr="008A5979">
        <w:t xml:space="preserve"> text in a footnote to the appropriate regulatory part of the IMDG Code if the footnote contains IMDG Code-specific regulatory requirements.</w:t>
      </w:r>
    </w:p>
    <w:p w14:paraId="041489F5" w14:textId="77777777" w:rsidR="00124D44" w:rsidRPr="008A5979" w:rsidRDefault="00124D44" w:rsidP="00124D44">
      <w:pPr>
        <w:pStyle w:val="SingleTxtG"/>
      </w:pPr>
      <w:r w:rsidRPr="008A5979">
        <w:t>3.16</w:t>
      </w:r>
      <w:r w:rsidRPr="008A5979">
        <w:tab/>
        <w:t>After the comprehensive review of the footnotes and based on the above principles, the Group agreed to include the corresponding amendments into the draft amendment (40-20) to the IMDG Code, as set out in annex 4.</w:t>
      </w:r>
    </w:p>
    <w:p w14:paraId="689A1641" w14:textId="77777777" w:rsidR="00124D44" w:rsidRPr="008A5979" w:rsidRDefault="00124D44" w:rsidP="00124D44">
      <w:pPr>
        <w:pStyle w:val="SingleTxtG"/>
      </w:pPr>
      <w:r w:rsidRPr="008A5979">
        <w:t>3.17</w:t>
      </w:r>
      <w:r w:rsidRPr="008A5979">
        <w:tab/>
        <w:t>In this context, and in view of harmonization, the Group also requested the Secretariat to inform UN SCE TDG 56 on the following relevant matters:</w:t>
      </w:r>
    </w:p>
    <w:p w14:paraId="1EAABEA1" w14:textId="6A96170B" w:rsidR="00124D44" w:rsidRPr="008A5979" w:rsidRDefault="00CE3AFA" w:rsidP="00124D44">
      <w:pPr>
        <w:pStyle w:val="SingleTxtG"/>
        <w:ind w:left="1701"/>
      </w:pPr>
      <w:r>
        <w:rPr>
          <w:lang w:val="fr-CH"/>
        </w:rPr>
        <w:t>.1</w:t>
      </w:r>
      <w:r w:rsidR="00124D44">
        <w:rPr>
          <w:lang w:val="fr-CH"/>
        </w:rPr>
        <w:tab/>
      </w:r>
      <w:r w:rsidR="00124D44" w:rsidRPr="008A5979">
        <w:t xml:space="preserve">with regard to the first footnote ("INFCIRC/274/Rev.1, IAEA, Vienna (1980).") in 1.4.3.2.3, it should be considered if updating the reference to the latest version is appropriate and also whether it should be incorporated into the regulatory </w:t>
      </w:r>
      <w:proofErr w:type="gramStart"/>
      <w:r w:rsidR="00124D44" w:rsidRPr="008A5979">
        <w:t>text;</w:t>
      </w:r>
      <w:proofErr w:type="gramEnd"/>
    </w:p>
    <w:p w14:paraId="531CEBB2" w14:textId="307ADA0E" w:rsidR="00124D44" w:rsidRPr="008A5979" w:rsidRDefault="00CE3AFA" w:rsidP="00124D44">
      <w:pPr>
        <w:pStyle w:val="SingleTxtG"/>
        <w:ind w:left="1701"/>
      </w:pPr>
      <w:r>
        <w:rPr>
          <w:lang w:val="fr-CH"/>
        </w:rPr>
        <w:t>.2</w:t>
      </w:r>
      <w:r w:rsidR="00124D44" w:rsidRPr="008A5979">
        <w:tab/>
        <w:t xml:space="preserve">with regard to the second footnote ("INFCIRC/225/Rev.4 (Corrected), IAEA, Vienna (1999).") in 1.4.3.2.3, it should be considered whether the text should be incorporated into the regulatory </w:t>
      </w:r>
      <w:proofErr w:type="gramStart"/>
      <w:r w:rsidR="00124D44" w:rsidRPr="008A5979">
        <w:t>text;</w:t>
      </w:r>
      <w:proofErr w:type="gramEnd"/>
    </w:p>
    <w:p w14:paraId="46EF5366" w14:textId="27EF04AE" w:rsidR="00124D44" w:rsidRPr="008A5979" w:rsidRDefault="00CE3AFA" w:rsidP="00124D44">
      <w:pPr>
        <w:pStyle w:val="SingleTxtG"/>
        <w:ind w:left="1701"/>
      </w:pPr>
      <w:r>
        <w:rPr>
          <w:lang w:val="fr-CH"/>
        </w:rPr>
        <w:t>.3</w:t>
      </w:r>
      <w:r w:rsidR="00124D44" w:rsidRPr="008A5979">
        <w:tab/>
        <w:t xml:space="preserve">in 2.4.5, it should be considered whether the first footnote (If applicable and testing is relevant, taking into account reactivity properties, class 6.1 and class 8 properties shall be considered according to the precedence of hazards table 2.0.3.6) should be regulatory in nature and should be incorporated into the regulatory </w:t>
      </w:r>
      <w:proofErr w:type="gramStart"/>
      <w:r w:rsidR="00124D44" w:rsidRPr="008A5979">
        <w:t>text;</w:t>
      </w:r>
      <w:proofErr w:type="gramEnd"/>
    </w:p>
    <w:p w14:paraId="6E0D859B" w14:textId="6A3DC510" w:rsidR="00124D44" w:rsidRPr="008A5979" w:rsidRDefault="00CE3AFA" w:rsidP="00124D44">
      <w:pPr>
        <w:pStyle w:val="SingleTxtG"/>
        <w:ind w:left="1701"/>
      </w:pPr>
      <w:r>
        <w:rPr>
          <w:lang w:val="fr-CH"/>
        </w:rPr>
        <w:t>.4</w:t>
      </w:r>
      <w:r w:rsidR="00124D44" w:rsidRPr="008A5979">
        <w:tab/>
        <w:t xml:space="preserve">with regard to the footnote texts (Distinguishing sign of the State of registration used on motor vehicles and trailers in international road traffic, e.g. in accordance with the Geneva Convention on Road Traffic of 1949 or the Vienna Convention on Road Traffic of 1968) in 5.4.1.5.9.2, 5.4.1.5.15, 6.1.3.8 (h), 6.2.2.7.2 (c), 6.2.2.7.4 (n), 6.2.2.7.7 (a), 6.2.2.9.2 (c), 6.2.2.9.4 (a), 6.3.4.2 (e), 6.4.23.11 (a), 6.5.2.1.1.5, 6.6.3.1 (e), 6.7.2.18.1, 6.7.3.14.1, 6.7.4.13.1, 6.7.5.11.1 and 6.9.5.5.1 (e), it should be considered whether it would be advisable to create a definition for a distinguishing sign used on vehicles in international road traffic; </w:t>
      </w:r>
    </w:p>
    <w:p w14:paraId="74F38682" w14:textId="39EC1E13" w:rsidR="00124D44" w:rsidRPr="008A5979" w:rsidRDefault="00CE3AFA" w:rsidP="00124D44">
      <w:pPr>
        <w:pStyle w:val="SingleTxtG"/>
        <w:ind w:left="1701"/>
      </w:pPr>
      <w:r>
        <w:rPr>
          <w:lang w:val="fr-CH"/>
        </w:rPr>
        <w:t>.5</w:t>
      </w:r>
      <w:r w:rsidR="00124D44" w:rsidRPr="008A5979">
        <w:tab/>
        <w:t xml:space="preserve">with regard to 5.4.1.6.1 of the UN Model Regulations and the corresponding footnote, it should be considered whether amending the provisions in 5.4.1.6.1 to be more generic (such as replacing "above" with "herein" and deleting the associated footnote) would be </w:t>
      </w:r>
      <w:proofErr w:type="gramStart"/>
      <w:r w:rsidR="00124D44" w:rsidRPr="008A5979">
        <w:t>appropriate;</w:t>
      </w:r>
      <w:proofErr w:type="gramEnd"/>
    </w:p>
    <w:p w14:paraId="5EE3D791" w14:textId="7C3FF975" w:rsidR="00124D44" w:rsidRPr="008A5979" w:rsidRDefault="00CE3AFA" w:rsidP="00124D44">
      <w:pPr>
        <w:pStyle w:val="SingleTxtG"/>
        <w:ind w:left="1701"/>
      </w:pPr>
      <w:r>
        <w:rPr>
          <w:lang w:val="fr-CH"/>
        </w:rPr>
        <w:t>.6</w:t>
      </w:r>
      <w:r w:rsidR="00124D44" w:rsidRPr="008A5979">
        <w:tab/>
        <w:t xml:space="preserve">with regard to footnote in 6.2.4.3 (c), it should be considered whether the footnote text should be incorporated into the regulatory </w:t>
      </w:r>
      <w:proofErr w:type="gramStart"/>
      <w:r w:rsidR="00124D44" w:rsidRPr="008A5979">
        <w:t>text;</w:t>
      </w:r>
      <w:proofErr w:type="gramEnd"/>
      <w:r w:rsidR="00124D44" w:rsidRPr="008A5979">
        <w:t xml:space="preserve"> </w:t>
      </w:r>
    </w:p>
    <w:p w14:paraId="3A273707" w14:textId="40417505" w:rsidR="00124D44" w:rsidRPr="008A5979" w:rsidRDefault="00CE3AFA" w:rsidP="00124D44">
      <w:pPr>
        <w:pStyle w:val="SingleTxtG"/>
        <w:ind w:left="1701"/>
      </w:pPr>
      <w:r>
        <w:rPr>
          <w:lang w:val="fr-CH"/>
        </w:rPr>
        <w:t>.7</w:t>
      </w:r>
      <w:r w:rsidR="00124D44" w:rsidRPr="008A5979">
        <w:tab/>
        <w:t xml:space="preserve">with regard to the first footnote text in 6.7.2.20.1 (The unit used shall be indicated), it should be considered whether it should be incorporated into the regulatory </w:t>
      </w:r>
      <w:proofErr w:type="gramStart"/>
      <w:r w:rsidR="00124D44" w:rsidRPr="008A5979">
        <w:t>text;</w:t>
      </w:r>
      <w:proofErr w:type="gramEnd"/>
    </w:p>
    <w:p w14:paraId="0D76E342" w14:textId="77777777" w:rsidR="00124D44" w:rsidRPr="008A5979" w:rsidRDefault="00124D44" w:rsidP="00124D44">
      <w:pPr>
        <w:pStyle w:val="SingleTxtG"/>
        <w:ind w:left="1701"/>
      </w:pPr>
    </w:p>
    <w:p w14:paraId="24F91B0B" w14:textId="3D3C916D" w:rsidR="00124D44" w:rsidRPr="008A5979" w:rsidRDefault="00CE3AFA" w:rsidP="00124D44">
      <w:pPr>
        <w:pStyle w:val="SingleTxtG"/>
        <w:ind w:left="1701"/>
      </w:pPr>
      <w:r>
        <w:rPr>
          <w:lang w:val="fr-CH"/>
        </w:rPr>
        <w:lastRenderedPageBreak/>
        <w:t>.8</w:t>
      </w:r>
      <w:r w:rsidR="00124D44" w:rsidRPr="008A5979">
        <w:tab/>
        <w:t xml:space="preserve">with regard to footnote text in 6.7.3.8.1.1, it should be considered whether it should be incorporated into the regulatory </w:t>
      </w:r>
      <w:proofErr w:type="gramStart"/>
      <w:r w:rsidR="00124D44" w:rsidRPr="008A5979">
        <w:t>text;</w:t>
      </w:r>
      <w:proofErr w:type="gramEnd"/>
    </w:p>
    <w:p w14:paraId="27CE0796" w14:textId="7DD08300" w:rsidR="00124D44" w:rsidRPr="008A5979" w:rsidRDefault="00CE3AFA" w:rsidP="00124D44">
      <w:pPr>
        <w:pStyle w:val="SingleTxtG"/>
        <w:ind w:left="1701"/>
      </w:pPr>
      <w:r>
        <w:rPr>
          <w:lang w:val="fr-CH"/>
        </w:rPr>
        <w:t>.9</w:t>
      </w:r>
      <w:r w:rsidR="00124D44" w:rsidRPr="008A5979">
        <w:tab/>
        <w:t xml:space="preserve">with regard to footnotes in 6.7.3.16.1, it should be considered whether the footnote text should be incorporated into the regulatory </w:t>
      </w:r>
      <w:proofErr w:type="gramStart"/>
      <w:r w:rsidR="00124D44" w:rsidRPr="008A5979">
        <w:t>text;</w:t>
      </w:r>
      <w:proofErr w:type="gramEnd"/>
    </w:p>
    <w:p w14:paraId="46871D64" w14:textId="67D7CF68" w:rsidR="00124D44" w:rsidRPr="008A5979" w:rsidRDefault="00CE3AFA" w:rsidP="00124D44">
      <w:pPr>
        <w:pStyle w:val="SingleTxtG"/>
        <w:ind w:left="1701"/>
      </w:pPr>
      <w:r>
        <w:rPr>
          <w:lang w:val="fr-CH"/>
        </w:rPr>
        <w:t>.10</w:t>
      </w:r>
      <w:r w:rsidR="00124D44" w:rsidRPr="008A5979">
        <w:tab/>
        <w:t xml:space="preserve">with regard to footnotes in 6.7.4.15.1, it should be considered whether the footnote text should be incorporated into the regulatory </w:t>
      </w:r>
      <w:proofErr w:type="gramStart"/>
      <w:r w:rsidR="00124D44" w:rsidRPr="008A5979">
        <w:t>text;</w:t>
      </w:r>
      <w:proofErr w:type="gramEnd"/>
    </w:p>
    <w:p w14:paraId="5BC5CB85" w14:textId="6EB0825B" w:rsidR="00124D44" w:rsidRPr="008A5979" w:rsidRDefault="00CE3AFA" w:rsidP="00124D44">
      <w:pPr>
        <w:pStyle w:val="SingleTxtG"/>
        <w:ind w:left="1701"/>
      </w:pPr>
      <w:r>
        <w:rPr>
          <w:lang w:val="fr-CH"/>
        </w:rPr>
        <w:t>.11</w:t>
      </w:r>
      <w:r w:rsidR="00124D44" w:rsidRPr="008A5979">
        <w:tab/>
        <w:t xml:space="preserve">with regard to footnotes in 6.7.5.13.1, it should be considered whether the footnote text should be incorporated into the regulatory </w:t>
      </w:r>
      <w:proofErr w:type="gramStart"/>
      <w:r w:rsidR="00124D44" w:rsidRPr="008A5979">
        <w:t>text;</w:t>
      </w:r>
      <w:proofErr w:type="gramEnd"/>
      <w:r w:rsidR="00124D44" w:rsidRPr="008A5979">
        <w:t xml:space="preserve"> and</w:t>
      </w:r>
    </w:p>
    <w:p w14:paraId="62298969" w14:textId="1DA13D99" w:rsidR="00124D44" w:rsidRPr="008A5979" w:rsidRDefault="00CE3AFA" w:rsidP="00124D44">
      <w:pPr>
        <w:pStyle w:val="SingleTxtG"/>
        <w:ind w:left="1701"/>
      </w:pPr>
      <w:r>
        <w:rPr>
          <w:lang w:val="fr-CH"/>
        </w:rPr>
        <w:t>.12</w:t>
      </w:r>
      <w:r w:rsidR="00124D44" w:rsidRPr="008A5979">
        <w:tab/>
        <w:t>with regard to the footnote text in 7.3.7.2.3.2, it should be considered whether this could be deleted, taking into account the definition for SAPT in 1.2.1.</w:t>
      </w:r>
    </w:p>
    <w:p w14:paraId="2A14BD73" w14:textId="77777777" w:rsidR="00124D44" w:rsidRPr="008A5979" w:rsidRDefault="00124D44" w:rsidP="00124D44">
      <w:pPr>
        <w:pStyle w:val="SingleTxtG"/>
      </w:pPr>
      <w:r w:rsidRPr="008A5979">
        <w:t>3.18</w:t>
      </w:r>
      <w:r w:rsidRPr="008A5979">
        <w:tab/>
        <w:t xml:space="preserve">In addition, the Group requested the Secretariat to inform IAEA on the following relevant matters: </w:t>
      </w:r>
    </w:p>
    <w:p w14:paraId="44F0F3E3" w14:textId="4101BBA0" w:rsidR="00124D44" w:rsidRPr="008A5979" w:rsidRDefault="00CE3AFA" w:rsidP="00124D44">
      <w:pPr>
        <w:pStyle w:val="SingleTxtG"/>
        <w:ind w:left="1701"/>
      </w:pPr>
      <w:r>
        <w:rPr>
          <w:lang w:val="fr-CH"/>
        </w:rPr>
        <w:t>.1</w:t>
      </w:r>
      <w:r w:rsidR="00124D44">
        <w:rPr>
          <w:lang w:val="fr-CH"/>
        </w:rPr>
        <w:tab/>
      </w:r>
      <w:r w:rsidR="00124D44" w:rsidRPr="008A5979">
        <w:t xml:space="preserve">with regard to the first footnote (INFCIRC/274/Rev.1, IAEA, Vienna (1980)) in 1.4.3.2.3, it should be considered if updating the reference to the latest version is appropriate and also whether it should be incorporated into the regulatory </w:t>
      </w:r>
      <w:proofErr w:type="gramStart"/>
      <w:r w:rsidR="00124D44" w:rsidRPr="008A5979">
        <w:t>text;</w:t>
      </w:r>
      <w:proofErr w:type="gramEnd"/>
      <w:r w:rsidR="00124D44" w:rsidRPr="008A5979">
        <w:t xml:space="preserve"> and</w:t>
      </w:r>
    </w:p>
    <w:p w14:paraId="40F0FB49" w14:textId="4D58B5B9" w:rsidR="00124D44" w:rsidRPr="008A5979" w:rsidRDefault="00CE3AFA" w:rsidP="00124D44">
      <w:pPr>
        <w:pStyle w:val="SingleTxtG"/>
        <w:ind w:left="1701"/>
      </w:pPr>
      <w:r>
        <w:rPr>
          <w:lang w:val="fr-CH"/>
        </w:rPr>
        <w:t>.2</w:t>
      </w:r>
      <w:bookmarkStart w:id="2" w:name="_GoBack"/>
      <w:bookmarkEnd w:id="2"/>
      <w:r w:rsidR="00124D44" w:rsidRPr="008A5979">
        <w:tab/>
        <w:t>with regard to the second footnote (INFCIRC/225/Rev.5, IAEA, Vienna (2011)) in 1.4.3.2.3, it should be considered whether the text could be incorporated into the regulatory text.</w:t>
      </w:r>
    </w:p>
    <w:p w14:paraId="257B98E4" w14:textId="51CF09A8" w:rsidR="00124D44" w:rsidRPr="00124D44" w:rsidRDefault="00124D44" w:rsidP="00124D44">
      <w:pPr>
        <w:pStyle w:val="H23G"/>
        <w:rPr>
          <w:i/>
          <w:iCs/>
        </w:rPr>
      </w:pPr>
      <w:r w:rsidRPr="00124D44">
        <w:rPr>
          <w:i/>
          <w:iCs/>
        </w:rPr>
        <w:tab/>
      </w:r>
      <w:r w:rsidRPr="00124D44">
        <w:rPr>
          <w:i/>
          <w:iCs/>
        </w:rPr>
        <w:tab/>
        <w:t xml:space="preserve">Assignment of 2,4-Dichlorophenol in the index of the IMDG Code </w:t>
      </w:r>
    </w:p>
    <w:p w14:paraId="070A6C5B" w14:textId="77777777" w:rsidR="00124D44" w:rsidRPr="008A5979" w:rsidRDefault="00124D44" w:rsidP="00124D44">
      <w:pPr>
        <w:pStyle w:val="SingleTxtG"/>
      </w:pPr>
      <w:r w:rsidRPr="008A5979">
        <w:t>3.28</w:t>
      </w:r>
      <w:r w:rsidRPr="008A5979">
        <w:tab/>
        <w:t>The Group considered document CCC 6/6/12 (Germany), proposing a new allocation of 2,4-Dichlorophenol to UN 2923 in the index of the IMDG Code due to current classification according to which the substance not only has toxic, but also corrosive properties.</w:t>
      </w:r>
    </w:p>
    <w:p w14:paraId="276D39F2" w14:textId="77777777" w:rsidR="00124D44" w:rsidRDefault="00124D44" w:rsidP="00124D44">
      <w:pPr>
        <w:pStyle w:val="SingleTxtG"/>
      </w:pPr>
      <w:r w:rsidRPr="008A5979">
        <w:t>3.29</w:t>
      </w:r>
      <w:r w:rsidRPr="008A5979">
        <w:tab/>
        <w:t xml:space="preserve">In this context, the delegation of Germany informed the Group that Germany intends to submit a corresponding proposal to UNSCETDG. </w:t>
      </w:r>
    </w:p>
    <w:p w14:paraId="59E9AD57" w14:textId="427F7C58" w:rsidR="00124D44" w:rsidRPr="00124D44" w:rsidRDefault="00124D44" w:rsidP="00124D44">
      <w:pPr>
        <w:spacing w:before="240"/>
        <w:jc w:val="center"/>
        <w:rPr>
          <w:u w:val="single"/>
        </w:rPr>
      </w:pPr>
      <w:r>
        <w:rPr>
          <w:u w:val="single"/>
        </w:rPr>
        <w:tab/>
      </w:r>
      <w:r>
        <w:rPr>
          <w:u w:val="single"/>
        </w:rPr>
        <w:tab/>
      </w:r>
      <w:r>
        <w:rPr>
          <w:u w:val="single"/>
        </w:rPr>
        <w:tab/>
      </w:r>
    </w:p>
    <w:p w14:paraId="452F85A6" w14:textId="77777777" w:rsidR="00124D44" w:rsidRPr="00124D44" w:rsidRDefault="00124D44" w:rsidP="00124D44">
      <w:pPr>
        <w:rPr>
          <w:lang w:val="x-none"/>
        </w:rPr>
      </w:pPr>
    </w:p>
    <w:sectPr w:rsidR="00124D44" w:rsidRPr="00124D44" w:rsidSect="005900D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0C8E" w14:textId="77777777" w:rsidR="005C1A00" w:rsidRDefault="005C1A00"/>
  </w:endnote>
  <w:endnote w:type="continuationSeparator" w:id="0">
    <w:p w14:paraId="2060F933" w14:textId="77777777" w:rsidR="005C1A00" w:rsidRDefault="005C1A00"/>
  </w:endnote>
  <w:endnote w:type="continuationNotice" w:id="1">
    <w:p w14:paraId="443F7117" w14:textId="77777777" w:rsidR="005C1A00" w:rsidRDefault="005C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20</w:t>
    </w:r>
    <w:r>
      <w:rPr>
        <w:rStyle w:val="PageNumber"/>
      </w:rPr>
      <w:fldChar w:fldCharType="end"/>
    </w:r>
  </w:p>
  <w:p w14:paraId="7FE96A6F" w14:textId="77777777" w:rsidR="00343100" w:rsidRPr="000B033E" w:rsidRDefault="00343100" w:rsidP="005408D6">
    <w:pPr>
      <w:pStyle w:val="Footer"/>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19</w:t>
    </w:r>
    <w:r>
      <w:rPr>
        <w:rStyle w:val="PageNumber"/>
      </w:rPr>
      <w:fldChar w:fldCharType="end"/>
    </w:r>
  </w:p>
  <w:p w14:paraId="0DB949B8" w14:textId="77777777" w:rsidR="00343100" w:rsidRDefault="00343100" w:rsidP="005408D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293" w14:textId="77777777" w:rsidR="00343100" w:rsidRPr="00DA7B18" w:rsidRDefault="00343100" w:rsidP="005408D6">
    <w:pPr>
      <w:pStyle w:val="Footer"/>
      <w:ind w:right="360" w:firstLine="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F904" w14:textId="77777777" w:rsidR="005C1A00" w:rsidRPr="000B175B" w:rsidRDefault="005C1A00" w:rsidP="000B175B">
      <w:pPr>
        <w:tabs>
          <w:tab w:val="right" w:pos="2155"/>
        </w:tabs>
        <w:spacing w:after="80"/>
        <w:ind w:left="680"/>
        <w:rPr>
          <w:u w:val="single"/>
        </w:rPr>
      </w:pPr>
      <w:r>
        <w:rPr>
          <w:u w:val="single"/>
        </w:rPr>
        <w:tab/>
      </w:r>
    </w:p>
  </w:footnote>
  <w:footnote w:type="continuationSeparator" w:id="0">
    <w:p w14:paraId="2F297815" w14:textId="77777777" w:rsidR="005C1A00" w:rsidRPr="00FC68B7" w:rsidRDefault="005C1A00" w:rsidP="00FC68B7">
      <w:pPr>
        <w:tabs>
          <w:tab w:val="left" w:pos="2155"/>
        </w:tabs>
        <w:spacing w:after="80"/>
        <w:ind w:left="680"/>
        <w:rPr>
          <w:u w:val="single"/>
        </w:rPr>
      </w:pPr>
      <w:r>
        <w:rPr>
          <w:u w:val="single"/>
        </w:rPr>
        <w:tab/>
      </w:r>
    </w:p>
  </w:footnote>
  <w:footnote w:type="continuationNotice" w:id="1">
    <w:p w14:paraId="7CB06B1B" w14:textId="77777777" w:rsidR="005C1A00" w:rsidRDefault="005C1A00"/>
  </w:footnote>
  <w:footnote w:id="2">
    <w:p w14:paraId="74ABC01D" w14:textId="0BFD9697" w:rsidR="00124D44" w:rsidRDefault="00124D44" w:rsidP="00124D44">
      <w:pPr>
        <w:pStyle w:val="FootnoteText"/>
        <w:tabs>
          <w:tab w:val="left" w:pos="1418"/>
        </w:tabs>
        <w:ind w:firstLine="0"/>
      </w:pPr>
      <w:r>
        <w:rPr>
          <w:rStyle w:val="FootnoteReference"/>
        </w:rPr>
        <w:footnoteRef/>
      </w:r>
      <w:r>
        <w:t xml:space="preserve"> </w:t>
      </w:r>
      <w:r>
        <w:tab/>
      </w:r>
      <w:r w:rsidRPr="00FE588B">
        <w:t>Only the relevant paragraphs of the</w:t>
      </w:r>
      <w:r>
        <w:t xml:space="preserve"> report of the</w:t>
      </w:r>
      <w:r w:rsidRPr="00FE588B">
        <w:t xml:space="preserve"> </w:t>
      </w:r>
      <w:r>
        <w:t xml:space="preserve">E&amp;T Group (E&amp;T 32/WP.1) </w:t>
      </w:r>
      <w:r w:rsidRPr="00FE588B">
        <w:t>are reproduced in this document</w:t>
      </w:r>
      <w:r>
        <w:t>,</w:t>
      </w:r>
      <w:r w:rsidRPr="00FE588B">
        <w:t xml:space="preserve"> using </w:t>
      </w:r>
      <w:r>
        <w:t>its</w:t>
      </w:r>
      <w:r w:rsidRPr="00FE588B">
        <w:t xml:space="preserve"> original</w:t>
      </w:r>
      <w:r>
        <w:t xml:space="preserve"> paragraph numbering. </w:t>
      </w:r>
      <w:r w:rsidRPr="00CF6D42">
        <w:t>The whole report of the E&amp;T Group can be found in: https://docs.imo.org/CCC 6/E&amp;T32/Working Papers</w:t>
      </w:r>
      <w:r>
        <w:t>/</w:t>
      </w:r>
      <w:r w:rsidRPr="00CF6D42">
        <w:t xml:space="preserve"> E&amp;T 32/WP.1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6B9FC66A" w:rsidR="00343100" w:rsidRDefault="00343100" w:rsidP="00EA597A">
    <w:pPr>
      <w:pStyle w:val="Header"/>
      <w:spacing w:after="240"/>
    </w:pPr>
    <w:r w:rsidRPr="00162E11">
      <w:rPr>
        <w:lang w:val="nl-NL"/>
      </w:rPr>
      <w:t>UN/SCETDG/5</w:t>
    </w:r>
    <w:r w:rsidR="0046637A">
      <w:rPr>
        <w:lang w:val="nl-NL"/>
      </w:rPr>
      <w:t>6</w:t>
    </w:r>
    <w:r w:rsidRPr="00162E11">
      <w:rPr>
        <w:lang w:val="nl-NL"/>
      </w:rPr>
      <w:t>/INF.</w:t>
    </w:r>
    <w:r w:rsidR="0046637A">
      <w:rPr>
        <w:lang w:val="nl-NL"/>
      </w:rPr>
      <w:t>2</w:t>
    </w:r>
    <w:r w:rsidR="00124D44">
      <w:rPr>
        <w:lang w:val="nl-N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2DE3C692" w:rsidR="00343100" w:rsidRPr="00EA597A" w:rsidRDefault="00343100" w:rsidP="00EA597A">
    <w:pPr>
      <w:pStyle w:val="Header"/>
      <w:spacing w:after="240"/>
      <w:jc w:val="right"/>
    </w:pPr>
    <w:r w:rsidRPr="00162E11">
      <w:rPr>
        <w:lang w:val="nl-NL"/>
      </w:rPr>
      <w:t>UN/SCETDG/5</w:t>
    </w:r>
    <w:r w:rsidR="0046637A">
      <w:rPr>
        <w:lang w:val="nl-NL"/>
      </w:rPr>
      <w:t>6</w:t>
    </w:r>
    <w:r w:rsidRPr="00162E11">
      <w:rPr>
        <w:lang w:val="nl-NL"/>
      </w:rPr>
      <w:t>/INF.</w:t>
    </w:r>
    <w:r w:rsidR="0046637A">
      <w:rPr>
        <w:lang w:val="nl-NL"/>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5227"/>
    <w:rsid w:val="00006FAE"/>
    <w:rsid w:val="00012BE5"/>
    <w:rsid w:val="00013118"/>
    <w:rsid w:val="000133C5"/>
    <w:rsid w:val="000140F9"/>
    <w:rsid w:val="00017D24"/>
    <w:rsid w:val="000216CC"/>
    <w:rsid w:val="00021AE1"/>
    <w:rsid w:val="00027E7C"/>
    <w:rsid w:val="0003224C"/>
    <w:rsid w:val="0003398F"/>
    <w:rsid w:val="00035317"/>
    <w:rsid w:val="0004189E"/>
    <w:rsid w:val="00043180"/>
    <w:rsid w:val="000504CE"/>
    <w:rsid w:val="00050922"/>
    <w:rsid w:val="00050F6B"/>
    <w:rsid w:val="000530D4"/>
    <w:rsid w:val="00053492"/>
    <w:rsid w:val="0005710C"/>
    <w:rsid w:val="00061070"/>
    <w:rsid w:val="000618D2"/>
    <w:rsid w:val="0006267E"/>
    <w:rsid w:val="000639B4"/>
    <w:rsid w:val="0006438E"/>
    <w:rsid w:val="00064402"/>
    <w:rsid w:val="00064560"/>
    <w:rsid w:val="00067470"/>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D97"/>
    <w:rsid w:val="000D6E65"/>
    <w:rsid w:val="000D7830"/>
    <w:rsid w:val="000E0415"/>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4D44"/>
    <w:rsid w:val="001272B5"/>
    <w:rsid w:val="00127E60"/>
    <w:rsid w:val="00130DFE"/>
    <w:rsid w:val="00131B10"/>
    <w:rsid w:val="00131D42"/>
    <w:rsid w:val="00133BC3"/>
    <w:rsid w:val="00133C50"/>
    <w:rsid w:val="001406F4"/>
    <w:rsid w:val="00142716"/>
    <w:rsid w:val="00143C6B"/>
    <w:rsid w:val="001448E1"/>
    <w:rsid w:val="00146CFA"/>
    <w:rsid w:val="00147DD1"/>
    <w:rsid w:val="00150BD4"/>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2A36"/>
    <w:rsid w:val="00196A1B"/>
    <w:rsid w:val="001A02A4"/>
    <w:rsid w:val="001A3B0D"/>
    <w:rsid w:val="001A4F55"/>
    <w:rsid w:val="001B1EBA"/>
    <w:rsid w:val="001B3102"/>
    <w:rsid w:val="001B35EE"/>
    <w:rsid w:val="001B4B04"/>
    <w:rsid w:val="001B6B72"/>
    <w:rsid w:val="001B6F2D"/>
    <w:rsid w:val="001B710C"/>
    <w:rsid w:val="001C18A3"/>
    <w:rsid w:val="001C2208"/>
    <w:rsid w:val="001C429D"/>
    <w:rsid w:val="001C6663"/>
    <w:rsid w:val="001C7895"/>
    <w:rsid w:val="001D0BFD"/>
    <w:rsid w:val="001D20F9"/>
    <w:rsid w:val="001D26DF"/>
    <w:rsid w:val="001D2FDC"/>
    <w:rsid w:val="001D3123"/>
    <w:rsid w:val="001D3A88"/>
    <w:rsid w:val="001D4B2D"/>
    <w:rsid w:val="001D4E70"/>
    <w:rsid w:val="001E32DA"/>
    <w:rsid w:val="001E616A"/>
    <w:rsid w:val="001E7074"/>
    <w:rsid w:val="001E797C"/>
    <w:rsid w:val="00201157"/>
    <w:rsid w:val="00201542"/>
    <w:rsid w:val="002062DC"/>
    <w:rsid w:val="00211B12"/>
    <w:rsid w:val="00211E0B"/>
    <w:rsid w:val="00212690"/>
    <w:rsid w:val="0021481D"/>
    <w:rsid w:val="00221589"/>
    <w:rsid w:val="00221AC2"/>
    <w:rsid w:val="0022393F"/>
    <w:rsid w:val="0022394D"/>
    <w:rsid w:val="00224CD9"/>
    <w:rsid w:val="002309A7"/>
    <w:rsid w:val="00230A20"/>
    <w:rsid w:val="002324EE"/>
    <w:rsid w:val="00233FA1"/>
    <w:rsid w:val="002349EF"/>
    <w:rsid w:val="00235381"/>
    <w:rsid w:val="00237785"/>
    <w:rsid w:val="00240A68"/>
    <w:rsid w:val="00241178"/>
    <w:rsid w:val="00241466"/>
    <w:rsid w:val="002440E7"/>
    <w:rsid w:val="00244CBB"/>
    <w:rsid w:val="00247570"/>
    <w:rsid w:val="00257C1E"/>
    <w:rsid w:val="00261B71"/>
    <w:rsid w:val="002621F5"/>
    <w:rsid w:val="00262F84"/>
    <w:rsid w:val="0026660A"/>
    <w:rsid w:val="002708B5"/>
    <w:rsid w:val="00270DDB"/>
    <w:rsid w:val="002725CA"/>
    <w:rsid w:val="00273A92"/>
    <w:rsid w:val="00276821"/>
    <w:rsid w:val="00277896"/>
    <w:rsid w:val="00280EB7"/>
    <w:rsid w:val="002837F2"/>
    <w:rsid w:val="002859A2"/>
    <w:rsid w:val="00287D81"/>
    <w:rsid w:val="002907B0"/>
    <w:rsid w:val="00291574"/>
    <w:rsid w:val="00291FB6"/>
    <w:rsid w:val="002957B5"/>
    <w:rsid w:val="002976CF"/>
    <w:rsid w:val="002A0BD2"/>
    <w:rsid w:val="002A5B17"/>
    <w:rsid w:val="002A6DCE"/>
    <w:rsid w:val="002B0609"/>
    <w:rsid w:val="002B067A"/>
    <w:rsid w:val="002B1514"/>
    <w:rsid w:val="002B1CDA"/>
    <w:rsid w:val="002C014E"/>
    <w:rsid w:val="002C0681"/>
    <w:rsid w:val="002C06B5"/>
    <w:rsid w:val="002C0C7C"/>
    <w:rsid w:val="002C183D"/>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68FD"/>
    <w:rsid w:val="002F7A9C"/>
    <w:rsid w:val="0030053A"/>
    <w:rsid w:val="00302FFB"/>
    <w:rsid w:val="00304CDC"/>
    <w:rsid w:val="00306ABF"/>
    <w:rsid w:val="003107FA"/>
    <w:rsid w:val="003147D0"/>
    <w:rsid w:val="00315D73"/>
    <w:rsid w:val="00316FF9"/>
    <w:rsid w:val="00321716"/>
    <w:rsid w:val="003229D8"/>
    <w:rsid w:val="00327700"/>
    <w:rsid w:val="00327887"/>
    <w:rsid w:val="00327D0A"/>
    <w:rsid w:val="00334CEA"/>
    <w:rsid w:val="00343100"/>
    <w:rsid w:val="003517C3"/>
    <w:rsid w:val="00351D63"/>
    <w:rsid w:val="003548F9"/>
    <w:rsid w:val="00355502"/>
    <w:rsid w:val="00356BC7"/>
    <w:rsid w:val="00357A20"/>
    <w:rsid w:val="003602E8"/>
    <w:rsid w:val="00360F96"/>
    <w:rsid w:val="00361A5F"/>
    <w:rsid w:val="00363AA5"/>
    <w:rsid w:val="00372F06"/>
    <w:rsid w:val="003734CA"/>
    <w:rsid w:val="0038279B"/>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665E"/>
    <w:rsid w:val="003C0657"/>
    <w:rsid w:val="003C18C9"/>
    <w:rsid w:val="003C2CC4"/>
    <w:rsid w:val="003C2D54"/>
    <w:rsid w:val="003C655D"/>
    <w:rsid w:val="003D4B23"/>
    <w:rsid w:val="003D7567"/>
    <w:rsid w:val="003F011A"/>
    <w:rsid w:val="003F0548"/>
    <w:rsid w:val="003F23A4"/>
    <w:rsid w:val="003F3844"/>
    <w:rsid w:val="003F3D2A"/>
    <w:rsid w:val="003F4E5C"/>
    <w:rsid w:val="003F5B52"/>
    <w:rsid w:val="00401052"/>
    <w:rsid w:val="00401CDD"/>
    <w:rsid w:val="00402943"/>
    <w:rsid w:val="004036A2"/>
    <w:rsid w:val="00403EC6"/>
    <w:rsid w:val="00406CD4"/>
    <w:rsid w:val="00414BE7"/>
    <w:rsid w:val="00416AAA"/>
    <w:rsid w:val="0042180A"/>
    <w:rsid w:val="00430086"/>
    <w:rsid w:val="00430918"/>
    <w:rsid w:val="004325CB"/>
    <w:rsid w:val="00434598"/>
    <w:rsid w:val="004354EE"/>
    <w:rsid w:val="00437F3F"/>
    <w:rsid w:val="00444C12"/>
    <w:rsid w:val="00446A4F"/>
    <w:rsid w:val="00446DE4"/>
    <w:rsid w:val="00452D10"/>
    <w:rsid w:val="004533A7"/>
    <w:rsid w:val="00454036"/>
    <w:rsid w:val="00454461"/>
    <w:rsid w:val="004562AA"/>
    <w:rsid w:val="0046443A"/>
    <w:rsid w:val="004653B3"/>
    <w:rsid w:val="004654C4"/>
    <w:rsid w:val="00466033"/>
    <w:rsid w:val="0046637A"/>
    <w:rsid w:val="0046668F"/>
    <w:rsid w:val="0046773D"/>
    <w:rsid w:val="0046788D"/>
    <w:rsid w:val="00475030"/>
    <w:rsid w:val="0048304D"/>
    <w:rsid w:val="00484A9B"/>
    <w:rsid w:val="00484B3B"/>
    <w:rsid w:val="00487D4C"/>
    <w:rsid w:val="00492AF9"/>
    <w:rsid w:val="00494C77"/>
    <w:rsid w:val="00497711"/>
    <w:rsid w:val="004A2923"/>
    <w:rsid w:val="004B2C9D"/>
    <w:rsid w:val="004B32EC"/>
    <w:rsid w:val="004B331D"/>
    <w:rsid w:val="004B5939"/>
    <w:rsid w:val="004B5C97"/>
    <w:rsid w:val="004B73D6"/>
    <w:rsid w:val="004C2B07"/>
    <w:rsid w:val="004C39D0"/>
    <w:rsid w:val="004C4F1A"/>
    <w:rsid w:val="004C645B"/>
    <w:rsid w:val="004C6D6D"/>
    <w:rsid w:val="004C7F23"/>
    <w:rsid w:val="004D1DB8"/>
    <w:rsid w:val="004E01DB"/>
    <w:rsid w:val="004E0C5D"/>
    <w:rsid w:val="004E3AA2"/>
    <w:rsid w:val="004E3D60"/>
    <w:rsid w:val="004E68B5"/>
    <w:rsid w:val="004E7545"/>
    <w:rsid w:val="004F4240"/>
    <w:rsid w:val="004F77CD"/>
    <w:rsid w:val="00500194"/>
    <w:rsid w:val="005008C4"/>
    <w:rsid w:val="005038CF"/>
    <w:rsid w:val="00504E57"/>
    <w:rsid w:val="00504F24"/>
    <w:rsid w:val="00505D3C"/>
    <w:rsid w:val="00507CF1"/>
    <w:rsid w:val="00511208"/>
    <w:rsid w:val="00522177"/>
    <w:rsid w:val="00527910"/>
    <w:rsid w:val="005322D3"/>
    <w:rsid w:val="00532C44"/>
    <w:rsid w:val="0053564A"/>
    <w:rsid w:val="005408D6"/>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82C"/>
    <w:rsid w:val="005A0B37"/>
    <w:rsid w:val="005A1518"/>
    <w:rsid w:val="005A297F"/>
    <w:rsid w:val="005A2EC2"/>
    <w:rsid w:val="005A34CA"/>
    <w:rsid w:val="005A64DD"/>
    <w:rsid w:val="005B09F0"/>
    <w:rsid w:val="005B0CED"/>
    <w:rsid w:val="005B1A02"/>
    <w:rsid w:val="005B3DB3"/>
    <w:rsid w:val="005B528A"/>
    <w:rsid w:val="005C1A00"/>
    <w:rsid w:val="005C4CB5"/>
    <w:rsid w:val="005D0AED"/>
    <w:rsid w:val="005D0C6C"/>
    <w:rsid w:val="005D4B5B"/>
    <w:rsid w:val="005D5D19"/>
    <w:rsid w:val="005E13AA"/>
    <w:rsid w:val="005E22DD"/>
    <w:rsid w:val="005E5946"/>
    <w:rsid w:val="005E597D"/>
    <w:rsid w:val="005E69A8"/>
    <w:rsid w:val="005F1AB7"/>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5381"/>
    <w:rsid w:val="00636986"/>
    <w:rsid w:val="00637542"/>
    <w:rsid w:val="00640B26"/>
    <w:rsid w:val="00641194"/>
    <w:rsid w:val="00643042"/>
    <w:rsid w:val="00645A0B"/>
    <w:rsid w:val="0064658E"/>
    <w:rsid w:val="006500BA"/>
    <w:rsid w:val="006506DB"/>
    <w:rsid w:val="00651BE1"/>
    <w:rsid w:val="006523F5"/>
    <w:rsid w:val="006576E3"/>
    <w:rsid w:val="006603B8"/>
    <w:rsid w:val="00660541"/>
    <w:rsid w:val="00662121"/>
    <w:rsid w:val="00662E09"/>
    <w:rsid w:val="006649A8"/>
    <w:rsid w:val="00667788"/>
    <w:rsid w:val="006703B6"/>
    <w:rsid w:val="00670CF0"/>
    <w:rsid w:val="00672DCC"/>
    <w:rsid w:val="00674FF0"/>
    <w:rsid w:val="00675B54"/>
    <w:rsid w:val="00675F87"/>
    <w:rsid w:val="00683778"/>
    <w:rsid w:val="00684C14"/>
    <w:rsid w:val="00690C20"/>
    <w:rsid w:val="00690CD6"/>
    <w:rsid w:val="006960A9"/>
    <w:rsid w:val="006A1458"/>
    <w:rsid w:val="006A1832"/>
    <w:rsid w:val="006A3932"/>
    <w:rsid w:val="006A3FCC"/>
    <w:rsid w:val="006A63E3"/>
    <w:rsid w:val="006A7392"/>
    <w:rsid w:val="006A73DF"/>
    <w:rsid w:val="006B1C55"/>
    <w:rsid w:val="006B64D0"/>
    <w:rsid w:val="006C0D34"/>
    <w:rsid w:val="006C106A"/>
    <w:rsid w:val="006C1D3B"/>
    <w:rsid w:val="006C251B"/>
    <w:rsid w:val="006C2F7E"/>
    <w:rsid w:val="006D27A0"/>
    <w:rsid w:val="006D3560"/>
    <w:rsid w:val="006D777C"/>
    <w:rsid w:val="006D7E3D"/>
    <w:rsid w:val="006E056E"/>
    <w:rsid w:val="006E0BFC"/>
    <w:rsid w:val="006E0FC4"/>
    <w:rsid w:val="006E3B65"/>
    <w:rsid w:val="006E564B"/>
    <w:rsid w:val="006F0C15"/>
    <w:rsid w:val="007025C0"/>
    <w:rsid w:val="00704C9C"/>
    <w:rsid w:val="00707F04"/>
    <w:rsid w:val="007101BE"/>
    <w:rsid w:val="00711637"/>
    <w:rsid w:val="00714F4F"/>
    <w:rsid w:val="00723AA6"/>
    <w:rsid w:val="007240C8"/>
    <w:rsid w:val="007245CD"/>
    <w:rsid w:val="0072632A"/>
    <w:rsid w:val="00734FF2"/>
    <w:rsid w:val="00736E6A"/>
    <w:rsid w:val="00741F59"/>
    <w:rsid w:val="007434AA"/>
    <w:rsid w:val="0074481D"/>
    <w:rsid w:val="0074697D"/>
    <w:rsid w:val="0075168C"/>
    <w:rsid w:val="00755EBE"/>
    <w:rsid w:val="00755F90"/>
    <w:rsid w:val="0076062E"/>
    <w:rsid w:val="00760CA1"/>
    <w:rsid w:val="00761619"/>
    <w:rsid w:val="0076177C"/>
    <w:rsid w:val="00763C3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1BB8"/>
    <w:rsid w:val="00792672"/>
    <w:rsid w:val="007955E8"/>
    <w:rsid w:val="00796F36"/>
    <w:rsid w:val="00797331"/>
    <w:rsid w:val="007A05D2"/>
    <w:rsid w:val="007A1001"/>
    <w:rsid w:val="007A2CDB"/>
    <w:rsid w:val="007A62EC"/>
    <w:rsid w:val="007B1A7E"/>
    <w:rsid w:val="007B2BA8"/>
    <w:rsid w:val="007B6BA5"/>
    <w:rsid w:val="007C2788"/>
    <w:rsid w:val="007C2C0D"/>
    <w:rsid w:val="007C3162"/>
    <w:rsid w:val="007C3390"/>
    <w:rsid w:val="007C4F4B"/>
    <w:rsid w:val="007C564B"/>
    <w:rsid w:val="007C644D"/>
    <w:rsid w:val="007D3104"/>
    <w:rsid w:val="007D7BC6"/>
    <w:rsid w:val="007E313F"/>
    <w:rsid w:val="007E4BD3"/>
    <w:rsid w:val="007E5D7C"/>
    <w:rsid w:val="007E7225"/>
    <w:rsid w:val="007E7CFF"/>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3043E"/>
    <w:rsid w:val="0083069A"/>
    <w:rsid w:val="00832A1D"/>
    <w:rsid w:val="00833007"/>
    <w:rsid w:val="00834479"/>
    <w:rsid w:val="00834518"/>
    <w:rsid w:val="00834C79"/>
    <w:rsid w:val="00835598"/>
    <w:rsid w:val="00843AB2"/>
    <w:rsid w:val="00843F6E"/>
    <w:rsid w:val="00846809"/>
    <w:rsid w:val="00851BD2"/>
    <w:rsid w:val="00855BB3"/>
    <w:rsid w:val="0085725A"/>
    <w:rsid w:val="008604BA"/>
    <w:rsid w:val="00860785"/>
    <w:rsid w:val="0086107D"/>
    <w:rsid w:val="0086120F"/>
    <w:rsid w:val="00864251"/>
    <w:rsid w:val="00871FD5"/>
    <w:rsid w:val="008740C2"/>
    <w:rsid w:val="00877DD4"/>
    <w:rsid w:val="00881213"/>
    <w:rsid w:val="008813D6"/>
    <w:rsid w:val="00892009"/>
    <w:rsid w:val="0089352A"/>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4EBC"/>
    <w:rsid w:val="0091052C"/>
    <w:rsid w:val="00911F2C"/>
    <w:rsid w:val="009139FC"/>
    <w:rsid w:val="00921BEF"/>
    <w:rsid w:val="00923019"/>
    <w:rsid w:val="009242B0"/>
    <w:rsid w:val="00924B63"/>
    <w:rsid w:val="00927132"/>
    <w:rsid w:val="0093469B"/>
    <w:rsid w:val="00934AD5"/>
    <w:rsid w:val="00935832"/>
    <w:rsid w:val="00935C0F"/>
    <w:rsid w:val="009363B6"/>
    <w:rsid w:val="00940F46"/>
    <w:rsid w:val="00941ECC"/>
    <w:rsid w:val="00943CB2"/>
    <w:rsid w:val="00945A5D"/>
    <w:rsid w:val="00946A0D"/>
    <w:rsid w:val="00947C90"/>
    <w:rsid w:val="00947F38"/>
    <w:rsid w:val="00950B65"/>
    <w:rsid w:val="00951D05"/>
    <w:rsid w:val="00954823"/>
    <w:rsid w:val="00955109"/>
    <w:rsid w:val="00955C3D"/>
    <w:rsid w:val="00955C6A"/>
    <w:rsid w:val="00956358"/>
    <w:rsid w:val="00957621"/>
    <w:rsid w:val="0096157B"/>
    <w:rsid w:val="00963B67"/>
    <w:rsid w:val="00963CBA"/>
    <w:rsid w:val="009701ED"/>
    <w:rsid w:val="0097253A"/>
    <w:rsid w:val="00976497"/>
    <w:rsid w:val="00984471"/>
    <w:rsid w:val="00985F37"/>
    <w:rsid w:val="00986CFE"/>
    <w:rsid w:val="009879EA"/>
    <w:rsid w:val="009908A5"/>
    <w:rsid w:val="0099124E"/>
    <w:rsid w:val="00991261"/>
    <w:rsid w:val="009930D4"/>
    <w:rsid w:val="009950A3"/>
    <w:rsid w:val="009953D5"/>
    <w:rsid w:val="009A1D29"/>
    <w:rsid w:val="009A3CA5"/>
    <w:rsid w:val="009A4740"/>
    <w:rsid w:val="009A6D19"/>
    <w:rsid w:val="009B140E"/>
    <w:rsid w:val="009B798F"/>
    <w:rsid w:val="009C1808"/>
    <w:rsid w:val="009C31D5"/>
    <w:rsid w:val="009C514C"/>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2C7B"/>
    <w:rsid w:val="00A07F24"/>
    <w:rsid w:val="00A12FC0"/>
    <w:rsid w:val="00A1427D"/>
    <w:rsid w:val="00A165A0"/>
    <w:rsid w:val="00A17006"/>
    <w:rsid w:val="00A2178C"/>
    <w:rsid w:val="00A2196C"/>
    <w:rsid w:val="00A22FE4"/>
    <w:rsid w:val="00A235F1"/>
    <w:rsid w:val="00A2784C"/>
    <w:rsid w:val="00A34B00"/>
    <w:rsid w:val="00A3777A"/>
    <w:rsid w:val="00A378A6"/>
    <w:rsid w:val="00A37F89"/>
    <w:rsid w:val="00A45EA4"/>
    <w:rsid w:val="00A50077"/>
    <w:rsid w:val="00A52788"/>
    <w:rsid w:val="00A5285C"/>
    <w:rsid w:val="00A54CA8"/>
    <w:rsid w:val="00A563A0"/>
    <w:rsid w:val="00A57236"/>
    <w:rsid w:val="00A60196"/>
    <w:rsid w:val="00A6035B"/>
    <w:rsid w:val="00A6043A"/>
    <w:rsid w:val="00A6199C"/>
    <w:rsid w:val="00A622AF"/>
    <w:rsid w:val="00A65913"/>
    <w:rsid w:val="00A65F4A"/>
    <w:rsid w:val="00A66636"/>
    <w:rsid w:val="00A67898"/>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1D9A"/>
    <w:rsid w:val="00AA32EB"/>
    <w:rsid w:val="00AB0566"/>
    <w:rsid w:val="00AB32B3"/>
    <w:rsid w:val="00AB382F"/>
    <w:rsid w:val="00AB3D4E"/>
    <w:rsid w:val="00AB4CF1"/>
    <w:rsid w:val="00AB6A37"/>
    <w:rsid w:val="00AB70D3"/>
    <w:rsid w:val="00AC0D78"/>
    <w:rsid w:val="00AC1990"/>
    <w:rsid w:val="00AC31E3"/>
    <w:rsid w:val="00AD27E9"/>
    <w:rsid w:val="00AD34EE"/>
    <w:rsid w:val="00AD3F0C"/>
    <w:rsid w:val="00AD40DE"/>
    <w:rsid w:val="00AD7C88"/>
    <w:rsid w:val="00AE0A38"/>
    <w:rsid w:val="00AE45DE"/>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270D"/>
    <w:rsid w:val="00B3317B"/>
    <w:rsid w:val="00B34CAE"/>
    <w:rsid w:val="00B354DC"/>
    <w:rsid w:val="00B36C4F"/>
    <w:rsid w:val="00B41384"/>
    <w:rsid w:val="00B4398E"/>
    <w:rsid w:val="00B45F08"/>
    <w:rsid w:val="00B47274"/>
    <w:rsid w:val="00B5392B"/>
    <w:rsid w:val="00B64269"/>
    <w:rsid w:val="00B64AA0"/>
    <w:rsid w:val="00B71E2B"/>
    <w:rsid w:val="00B73DA8"/>
    <w:rsid w:val="00B74F7C"/>
    <w:rsid w:val="00B75E05"/>
    <w:rsid w:val="00B802B1"/>
    <w:rsid w:val="00B81E12"/>
    <w:rsid w:val="00B822E5"/>
    <w:rsid w:val="00B84AAC"/>
    <w:rsid w:val="00B85381"/>
    <w:rsid w:val="00B871B5"/>
    <w:rsid w:val="00B90C81"/>
    <w:rsid w:val="00B90F54"/>
    <w:rsid w:val="00B91CC3"/>
    <w:rsid w:val="00B92A0C"/>
    <w:rsid w:val="00B93068"/>
    <w:rsid w:val="00B93292"/>
    <w:rsid w:val="00B978EC"/>
    <w:rsid w:val="00BB176D"/>
    <w:rsid w:val="00BB1AEA"/>
    <w:rsid w:val="00BB3B28"/>
    <w:rsid w:val="00BC0C09"/>
    <w:rsid w:val="00BC74E9"/>
    <w:rsid w:val="00BC7ECA"/>
    <w:rsid w:val="00BD586C"/>
    <w:rsid w:val="00BD6433"/>
    <w:rsid w:val="00BE0D90"/>
    <w:rsid w:val="00BE1FF8"/>
    <w:rsid w:val="00BE4967"/>
    <w:rsid w:val="00BE50CA"/>
    <w:rsid w:val="00BE618E"/>
    <w:rsid w:val="00BE61EF"/>
    <w:rsid w:val="00BE7383"/>
    <w:rsid w:val="00BF272A"/>
    <w:rsid w:val="00BF5819"/>
    <w:rsid w:val="00BF5B64"/>
    <w:rsid w:val="00C0263F"/>
    <w:rsid w:val="00C03B44"/>
    <w:rsid w:val="00C078F8"/>
    <w:rsid w:val="00C11964"/>
    <w:rsid w:val="00C127CA"/>
    <w:rsid w:val="00C13A85"/>
    <w:rsid w:val="00C16CAA"/>
    <w:rsid w:val="00C218A4"/>
    <w:rsid w:val="00C24251"/>
    <w:rsid w:val="00C31109"/>
    <w:rsid w:val="00C36D37"/>
    <w:rsid w:val="00C40FDC"/>
    <w:rsid w:val="00C419E5"/>
    <w:rsid w:val="00C427B5"/>
    <w:rsid w:val="00C43F0C"/>
    <w:rsid w:val="00C463DD"/>
    <w:rsid w:val="00C46D5B"/>
    <w:rsid w:val="00C537D5"/>
    <w:rsid w:val="00C54ADB"/>
    <w:rsid w:val="00C54CEA"/>
    <w:rsid w:val="00C55100"/>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74D3"/>
    <w:rsid w:val="00CB2158"/>
    <w:rsid w:val="00CB3103"/>
    <w:rsid w:val="00CB6380"/>
    <w:rsid w:val="00CB71EE"/>
    <w:rsid w:val="00CC4CA6"/>
    <w:rsid w:val="00CD0009"/>
    <w:rsid w:val="00CD0711"/>
    <w:rsid w:val="00CD30EE"/>
    <w:rsid w:val="00CD3225"/>
    <w:rsid w:val="00CD5998"/>
    <w:rsid w:val="00CE3AFA"/>
    <w:rsid w:val="00CE3E1D"/>
    <w:rsid w:val="00CE4083"/>
    <w:rsid w:val="00CE46BA"/>
    <w:rsid w:val="00CE4A8F"/>
    <w:rsid w:val="00CE6FBE"/>
    <w:rsid w:val="00CE7673"/>
    <w:rsid w:val="00CF1050"/>
    <w:rsid w:val="00CF6F32"/>
    <w:rsid w:val="00CF7223"/>
    <w:rsid w:val="00CF778D"/>
    <w:rsid w:val="00D00086"/>
    <w:rsid w:val="00D00D3D"/>
    <w:rsid w:val="00D01746"/>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3252"/>
    <w:rsid w:val="00D46231"/>
    <w:rsid w:val="00D46B42"/>
    <w:rsid w:val="00D477C4"/>
    <w:rsid w:val="00D477E3"/>
    <w:rsid w:val="00D47CC4"/>
    <w:rsid w:val="00D47F84"/>
    <w:rsid w:val="00D5409C"/>
    <w:rsid w:val="00D57C13"/>
    <w:rsid w:val="00D57FD9"/>
    <w:rsid w:val="00D60685"/>
    <w:rsid w:val="00D610C1"/>
    <w:rsid w:val="00D62CEF"/>
    <w:rsid w:val="00D658FA"/>
    <w:rsid w:val="00D660EF"/>
    <w:rsid w:val="00D730E3"/>
    <w:rsid w:val="00D753D8"/>
    <w:rsid w:val="00D80D77"/>
    <w:rsid w:val="00D82C20"/>
    <w:rsid w:val="00D841D8"/>
    <w:rsid w:val="00D84A6D"/>
    <w:rsid w:val="00D853ED"/>
    <w:rsid w:val="00D9274F"/>
    <w:rsid w:val="00D95478"/>
    <w:rsid w:val="00D96248"/>
    <w:rsid w:val="00D96CC5"/>
    <w:rsid w:val="00D9735F"/>
    <w:rsid w:val="00D978C6"/>
    <w:rsid w:val="00D97B77"/>
    <w:rsid w:val="00DA0992"/>
    <w:rsid w:val="00DA3E59"/>
    <w:rsid w:val="00DA5E63"/>
    <w:rsid w:val="00DA6620"/>
    <w:rsid w:val="00DA67AD"/>
    <w:rsid w:val="00DA7B18"/>
    <w:rsid w:val="00DB072B"/>
    <w:rsid w:val="00DB4557"/>
    <w:rsid w:val="00DC4684"/>
    <w:rsid w:val="00DC4D68"/>
    <w:rsid w:val="00DD026E"/>
    <w:rsid w:val="00DD1D9A"/>
    <w:rsid w:val="00DD42A0"/>
    <w:rsid w:val="00DD4C95"/>
    <w:rsid w:val="00DD6179"/>
    <w:rsid w:val="00DE027F"/>
    <w:rsid w:val="00DE236F"/>
    <w:rsid w:val="00DE3E90"/>
    <w:rsid w:val="00DE3ECB"/>
    <w:rsid w:val="00DE4785"/>
    <w:rsid w:val="00DE54C7"/>
    <w:rsid w:val="00DE7267"/>
    <w:rsid w:val="00DF0A4D"/>
    <w:rsid w:val="00DF3039"/>
    <w:rsid w:val="00DF3A04"/>
    <w:rsid w:val="00DF4518"/>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26D5"/>
    <w:rsid w:val="00E829DA"/>
    <w:rsid w:val="00E8535A"/>
    <w:rsid w:val="00E864BE"/>
    <w:rsid w:val="00E90647"/>
    <w:rsid w:val="00E928F8"/>
    <w:rsid w:val="00E93C5C"/>
    <w:rsid w:val="00E96630"/>
    <w:rsid w:val="00EA0364"/>
    <w:rsid w:val="00EA41DB"/>
    <w:rsid w:val="00EA48C4"/>
    <w:rsid w:val="00EA5700"/>
    <w:rsid w:val="00EA597A"/>
    <w:rsid w:val="00EA772F"/>
    <w:rsid w:val="00EA7C74"/>
    <w:rsid w:val="00EB17D1"/>
    <w:rsid w:val="00EB291B"/>
    <w:rsid w:val="00EB2AE3"/>
    <w:rsid w:val="00EB4C06"/>
    <w:rsid w:val="00EB51D5"/>
    <w:rsid w:val="00EB65EF"/>
    <w:rsid w:val="00EB6832"/>
    <w:rsid w:val="00EB6C04"/>
    <w:rsid w:val="00EB71BA"/>
    <w:rsid w:val="00EB798F"/>
    <w:rsid w:val="00EC14E9"/>
    <w:rsid w:val="00EC271A"/>
    <w:rsid w:val="00EC27F8"/>
    <w:rsid w:val="00EC449D"/>
    <w:rsid w:val="00EC5EDE"/>
    <w:rsid w:val="00EC755A"/>
    <w:rsid w:val="00ED1B72"/>
    <w:rsid w:val="00ED1D48"/>
    <w:rsid w:val="00ED3508"/>
    <w:rsid w:val="00ED3F6F"/>
    <w:rsid w:val="00ED413D"/>
    <w:rsid w:val="00ED7A2A"/>
    <w:rsid w:val="00EE1B32"/>
    <w:rsid w:val="00EE2247"/>
    <w:rsid w:val="00EE2363"/>
    <w:rsid w:val="00EE3580"/>
    <w:rsid w:val="00EE3EB7"/>
    <w:rsid w:val="00EE4D59"/>
    <w:rsid w:val="00EE4D76"/>
    <w:rsid w:val="00EE724B"/>
    <w:rsid w:val="00EE73C3"/>
    <w:rsid w:val="00EF0C6C"/>
    <w:rsid w:val="00EF0FC6"/>
    <w:rsid w:val="00EF1D7F"/>
    <w:rsid w:val="00EF4AAC"/>
    <w:rsid w:val="00F00E46"/>
    <w:rsid w:val="00F01C57"/>
    <w:rsid w:val="00F02060"/>
    <w:rsid w:val="00F03FA2"/>
    <w:rsid w:val="00F05283"/>
    <w:rsid w:val="00F05291"/>
    <w:rsid w:val="00F07537"/>
    <w:rsid w:val="00F075EF"/>
    <w:rsid w:val="00F0767B"/>
    <w:rsid w:val="00F07E12"/>
    <w:rsid w:val="00F11ABA"/>
    <w:rsid w:val="00F1200D"/>
    <w:rsid w:val="00F12C8D"/>
    <w:rsid w:val="00F13F9B"/>
    <w:rsid w:val="00F20327"/>
    <w:rsid w:val="00F21360"/>
    <w:rsid w:val="00F2357A"/>
    <w:rsid w:val="00F30A69"/>
    <w:rsid w:val="00F30A8A"/>
    <w:rsid w:val="00F34267"/>
    <w:rsid w:val="00F3433D"/>
    <w:rsid w:val="00F3574D"/>
    <w:rsid w:val="00F40295"/>
    <w:rsid w:val="00F40E75"/>
    <w:rsid w:val="00F412D3"/>
    <w:rsid w:val="00F42A5D"/>
    <w:rsid w:val="00F444E3"/>
    <w:rsid w:val="00F5087E"/>
    <w:rsid w:val="00F51BAB"/>
    <w:rsid w:val="00F51DAF"/>
    <w:rsid w:val="00F535BE"/>
    <w:rsid w:val="00F54674"/>
    <w:rsid w:val="00F54A7E"/>
    <w:rsid w:val="00F570EA"/>
    <w:rsid w:val="00F61857"/>
    <w:rsid w:val="00F64564"/>
    <w:rsid w:val="00F64C95"/>
    <w:rsid w:val="00F65974"/>
    <w:rsid w:val="00F65C0A"/>
    <w:rsid w:val="00F74116"/>
    <w:rsid w:val="00F75E96"/>
    <w:rsid w:val="00F768A1"/>
    <w:rsid w:val="00F77CF6"/>
    <w:rsid w:val="00F81BD1"/>
    <w:rsid w:val="00FA00A0"/>
    <w:rsid w:val="00FA2BF7"/>
    <w:rsid w:val="00FA3FB7"/>
    <w:rsid w:val="00FA65A2"/>
    <w:rsid w:val="00FB0DA7"/>
    <w:rsid w:val="00FB147B"/>
    <w:rsid w:val="00FB4D73"/>
    <w:rsid w:val="00FB4FA3"/>
    <w:rsid w:val="00FB5372"/>
    <w:rsid w:val="00FB5A37"/>
    <w:rsid w:val="00FB7793"/>
    <w:rsid w:val="00FC14DF"/>
    <w:rsid w:val="00FC16D7"/>
    <w:rsid w:val="00FC18AA"/>
    <w:rsid w:val="00FC215C"/>
    <w:rsid w:val="00FC68B7"/>
    <w:rsid w:val="00FD3C5D"/>
    <w:rsid w:val="00FD3E70"/>
    <w:rsid w:val="00FD41C0"/>
    <w:rsid w:val="00FD6B2B"/>
    <w:rsid w:val="00FD6E4D"/>
    <w:rsid w:val="00FD6F3F"/>
    <w:rsid w:val="00FE3EEA"/>
    <w:rsid w:val="00FE666C"/>
    <w:rsid w:val="00FF03BB"/>
    <w:rsid w:val="00FF071A"/>
    <w:rsid w:val="00FF2727"/>
    <w:rsid w:val="00FF4204"/>
    <w:rsid w:val="00FF51FB"/>
    <w:rsid w:val="00FF613D"/>
    <w:rsid w:val="00FF67F6"/>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Appel note de bas de p"/>
    <w:qFormat/>
    <w:rsid w:val="00A8523D"/>
    <w:rPr>
      <w:rFonts w:ascii="Times New Roman" w:hAnsi="Times New Roman"/>
      <w:sz w:val="18"/>
      <w:vertAlign w:val="superscript"/>
    </w:rPr>
  </w:style>
  <w:style w:type="paragraph" w:styleId="FootnoteText">
    <w:name w:val="footnote text"/>
    <w:aliases w:val="5_G,5_GR"/>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5_GR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DefaultParagraphFont"/>
    <w:rsid w:val="00262F84"/>
  </w:style>
  <w:style w:type="paragraph" w:styleId="DocumentMap">
    <w:name w:val="Document Map"/>
    <w:basedOn w:val="Normal"/>
    <w:link w:val="DocumentMapChar"/>
    <w:semiHidden/>
    <w:unhideWhenUsed/>
    <w:rsid w:val="001234C5"/>
    <w:pPr>
      <w:spacing w:line="240" w:lineRule="auto"/>
    </w:pPr>
    <w:rPr>
      <w:sz w:val="24"/>
      <w:szCs w:val="24"/>
    </w:rPr>
  </w:style>
  <w:style w:type="character" w:customStyle="1" w:styleId="DocumentMapChar">
    <w:name w:val="Document Map Char"/>
    <w:basedOn w:val="DefaultParagraphFont"/>
    <w:link w:val="DocumentMap"/>
    <w:semiHidden/>
    <w:rsid w:val="001234C5"/>
    <w:rPr>
      <w:sz w:val="24"/>
      <w:szCs w:val="24"/>
      <w:lang w:eastAsia="en-US"/>
    </w:rPr>
  </w:style>
  <w:style w:type="paragraph" w:customStyle="1" w:styleId="OB1subpara">
    <w:name w:val="OB_1subpara"/>
    <w:basedOn w:val="BodyTextIndent"/>
    <w:qFormat/>
    <w:rsid w:val="00F51DAF"/>
    <w:pPr>
      <w:tabs>
        <w:tab w:val="left" w:pos="-1440"/>
        <w:tab w:val="left" w:pos="-142"/>
        <w:tab w:val="left" w:pos="1985"/>
        <w:tab w:val="left" w:pos="11518"/>
      </w:tabs>
      <w:suppressAutoHyphens w:val="0"/>
      <w:spacing w:after="240" w:line="240" w:lineRule="auto"/>
      <w:ind w:left="1985" w:hanging="567"/>
      <w:jc w:val="both"/>
    </w:pPr>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D5BA-0180-43F7-BEDF-79779BD4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36</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Manager/>
  <Company>CSD</Company>
  <LinksUpToDate>false</LinksUpToDate>
  <CharactersWithSpaces>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4</cp:revision>
  <cp:lastPrinted>2019-11-26T15:29:00Z</cp:lastPrinted>
  <dcterms:created xsi:type="dcterms:W3CDTF">2019-11-26T15:16:00Z</dcterms:created>
  <dcterms:modified xsi:type="dcterms:W3CDTF">2019-11-26T16:01:00Z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