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3A77A3E" w14:textId="77777777" w:rsidTr="00FE646C">
        <w:trPr>
          <w:trHeight w:val="851"/>
        </w:trPr>
        <w:tc>
          <w:tcPr>
            <w:tcW w:w="1259" w:type="dxa"/>
            <w:tcBorders>
              <w:top w:val="nil"/>
              <w:left w:val="nil"/>
              <w:bottom w:val="single" w:sz="4" w:space="0" w:color="auto"/>
              <w:right w:val="nil"/>
            </w:tcBorders>
          </w:tcPr>
          <w:p w14:paraId="5A729380"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78916EA9"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7E4F4F70" w14:textId="5C090A6C" w:rsidR="0048539B" w:rsidRPr="006500BA" w:rsidRDefault="0048539B" w:rsidP="004F5B48">
            <w:pPr>
              <w:jc w:val="right"/>
            </w:pPr>
            <w:r w:rsidRPr="00FE646C">
              <w:rPr>
                <w:sz w:val="40"/>
              </w:rPr>
              <w:t>ST</w:t>
            </w:r>
            <w:r>
              <w:t>/SG/AC.10/C.3/</w:t>
            </w:r>
            <w:r w:rsidR="00FB0119">
              <w:t>201</w:t>
            </w:r>
            <w:r w:rsidR="003566AA">
              <w:t>9</w:t>
            </w:r>
            <w:r>
              <w:t>/</w:t>
            </w:r>
            <w:r w:rsidR="0019070F">
              <w:t>3</w:t>
            </w:r>
            <w:r w:rsidR="008F1252">
              <w:t>3</w:t>
            </w:r>
          </w:p>
        </w:tc>
      </w:tr>
      <w:tr w:rsidR="0048539B" w:rsidRPr="006500BA" w14:paraId="1DEEE0D7" w14:textId="77777777" w:rsidTr="00CA7D03">
        <w:trPr>
          <w:trHeight w:val="1835"/>
        </w:trPr>
        <w:tc>
          <w:tcPr>
            <w:tcW w:w="1259" w:type="dxa"/>
            <w:tcBorders>
              <w:top w:val="single" w:sz="4" w:space="0" w:color="auto"/>
              <w:left w:val="nil"/>
              <w:bottom w:val="single" w:sz="12" w:space="0" w:color="auto"/>
              <w:right w:val="nil"/>
            </w:tcBorders>
          </w:tcPr>
          <w:p w14:paraId="0B096E6C" w14:textId="77777777" w:rsidR="0048539B" w:rsidRPr="006500BA" w:rsidRDefault="00F17D83" w:rsidP="00FE646C">
            <w:pPr>
              <w:spacing w:before="120"/>
              <w:jc w:val="center"/>
            </w:pPr>
            <w:r>
              <w:rPr>
                <w:noProof/>
                <w:lang w:val="de-DE" w:eastAsia="de-DE"/>
              </w:rPr>
              <w:drawing>
                <wp:inline distT="0" distB="0" distL="0" distR="0" wp14:anchorId="0BE9BBE8" wp14:editId="20DA71C6">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3DDED2B"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3E04C7B" w14:textId="4911D21A" w:rsidR="0048539B" w:rsidRPr="00BC53AB" w:rsidRDefault="00E4094C" w:rsidP="00E4094C">
            <w:pPr>
              <w:spacing w:before="240" w:line="240" w:lineRule="exact"/>
            </w:pPr>
            <w:r>
              <w:t>Distr.: General</w:t>
            </w:r>
            <w:r w:rsidR="00934214">
              <w:br/>
            </w:r>
            <w:r w:rsidR="001B2110">
              <w:t>9</w:t>
            </w:r>
            <w:r w:rsidR="00BA51D2">
              <w:t xml:space="preserve"> </w:t>
            </w:r>
            <w:r w:rsidR="004F5B48">
              <w:t>April</w:t>
            </w:r>
            <w:r w:rsidR="00BC53AB" w:rsidRPr="00BC53AB">
              <w:t xml:space="preserve"> 201</w:t>
            </w:r>
            <w:r w:rsidR="003566AA">
              <w:t>9</w:t>
            </w:r>
          </w:p>
          <w:p w14:paraId="7EE2FDEB" w14:textId="77777777" w:rsidR="0048539B" w:rsidRPr="00BC53AB" w:rsidRDefault="0048539B" w:rsidP="00FE646C">
            <w:pPr>
              <w:spacing w:line="240" w:lineRule="exact"/>
            </w:pPr>
          </w:p>
          <w:p w14:paraId="65342EA8" w14:textId="77777777" w:rsidR="0048539B" w:rsidRPr="006500BA" w:rsidRDefault="0048539B" w:rsidP="00FE646C">
            <w:pPr>
              <w:spacing w:line="240" w:lineRule="exact"/>
            </w:pPr>
            <w:r>
              <w:t>Original: English</w:t>
            </w:r>
          </w:p>
        </w:tc>
      </w:tr>
    </w:tbl>
    <w:p w14:paraId="70344A9B"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1F067C"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3E48855C" w14:textId="77777777" w:rsidR="0048539B" w:rsidRPr="006500BA" w:rsidRDefault="00B9329E" w:rsidP="0048539B">
      <w:pPr>
        <w:spacing w:before="100"/>
        <w:rPr>
          <w:b/>
        </w:rPr>
      </w:pPr>
      <w:r>
        <w:rPr>
          <w:b/>
        </w:rPr>
        <w:t>Fifty-</w:t>
      </w:r>
      <w:r w:rsidR="003566AA">
        <w:rPr>
          <w:b/>
        </w:rPr>
        <w:t>fifth</w:t>
      </w:r>
      <w:r>
        <w:rPr>
          <w:b/>
        </w:rPr>
        <w:t xml:space="preserve"> session</w:t>
      </w:r>
    </w:p>
    <w:p w14:paraId="7F30EABE" w14:textId="225DFDE2" w:rsidR="009D3AC0" w:rsidRPr="009D3AC0" w:rsidRDefault="0048539B" w:rsidP="00A616D6">
      <w:pPr>
        <w:rPr>
          <w:b/>
        </w:rPr>
      </w:pPr>
      <w:r w:rsidRPr="006500BA">
        <w:t xml:space="preserve">Geneva, </w:t>
      </w:r>
      <w:r w:rsidR="003566AA">
        <w:t>1</w:t>
      </w:r>
      <w:r w:rsidR="003B5A52">
        <w:t>-</w:t>
      </w:r>
      <w:r w:rsidR="006152CB">
        <w:t>5</w:t>
      </w:r>
      <w:r w:rsidR="00AE3D03">
        <w:t xml:space="preserve"> </w:t>
      </w:r>
      <w:r w:rsidR="001C75FB">
        <w:t>July</w:t>
      </w:r>
      <w:r w:rsidR="00AE3D03">
        <w:t xml:space="preserve"> 201</w:t>
      </w:r>
      <w:r w:rsidR="003566AA">
        <w:t>9</w:t>
      </w:r>
      <w:r w:rsidR="00A616D6">
        <w:br/>
      </w:r>
      <w:r w:rsidR="00A45011">
        <w:t xml:space="preserve">Item </w:t>
      </w:r>
      <w:r w:rsidR="003804A7">
        <w:t>4</w:t>
      </w:r>
      <w:r w:rsidR="005F6A0E">
        <w:t xml:space="preserve"> (</w:t>
      </w:r>
      <w:r w:rsidR="001B2110">
        <w:t>a</w:t>
      </w:r>
      <w:r w:rsidR="005F6A0E">
        <w:t>)</w:t>
      </w:r>
      <w:r w:rsidR="009D3AC0" w:rsidRPr="009D3AC0">
        <w:t xml:space="preserve"> of the provisional agenda</w:t>
      </w:r>
    </w:p>
    <w:p w14:paraId="12AA7070" w14:textId="0A6E58D2" w:rsidR="00D363F7" w:rsidRPr="001B2110" w:rsidRDefault="003804A7" w:rsidP="00D363F7">
      <w:pPr>
        <w:rPr>
          <w:b/>
          <w:bCs/>
        </w:rPr>
      </w:pPr>
      <w:r w:rsidRPr="001B2110">
        <w:rPr>
          <w:b/>
          <w:bCs/>
        </w:rPr>
        <w:t xml:space="preserve">Electric storage systems: </w:t>
      </w:r>
      <w:r w:rsidR="001B2110" w:rsidRPr="001B2110">
        <w:rPr>
          <w:b/>
          <w:bCs/>
        </w:rPr>
        <w:t>t</w:t>
      </w:r>
      <w:r w:rsidR="001B2110" w:rsidRPr="001B2110">
        <w:rPr>
          <w:b/>
          <w:bCs/>
        </w:rPr>
        <w:t>esting of lithium batteries</w:t>
      </w:r>
    </w:p>
    <w:p w14:paraId="10A353BD" w14:textId="12F26232" w:rsidR="003804A7" w:rsidRPr="00D107A5" w:rsidRDefault="003804A7" w:rsidP="003804A7">
      <w:pPr>
        <w:pStyle w:val="HChG"/>
        <w:rPr>
          <w:lang w:val="en-US"/>
        </w:rPr>
      </w:pPr>
      <w:r>
        <w:tab/>
      </w:r>
      <w:r>
        <w:tab/>
        <w:t xml:space="preserve">Amendment to 38.3.3 </w:t>
      </w:r>
      <w:r w:rsidR="001B2110">
        <w:t xml:space="preserve">(d) and </w:t>
      </w:r>
      <w:r>
        <w:t>(g) of the Manual of Tests and Criteria</w:t>
      </w:r>
      <w:r w:rsidRPr="00D107A5">
        <w:rPr>
          <w:lang w:val="en-US"/>
        </w:rPr>
        <w:t xml:space="preserve"> </w:t>
      </w:r>
    </w:p>
    <w:p w14:paraId="64D033F4" w14:textId="12C40A66" w:rsidR="003804A7" w:rsidRPr="003F006C" w:rsidRDefault="003804A7" w:rsidP="003804A7">
      <w:pPr>
        <w:pStyle w:val="H1G"/>
      </w:pPr>
      <w:r w:rsidRPr="00DB656E">
        <w:tab/>
      </w:r>
      <w:r w:rsidRPr="00DB656E">
        <w:tab/>
        <w:t xml:space="preserve">Transmitted by </w:t>
      </w:r>
      <w:r>
        <w:t xml:space="preserve">the </w:t>
      </w:r>
      <w:r w:rsidRPr="008D3238">
        <w:t xml:space="preserve">European Association for Advanced Rechargeable Batteries </w:t>
      </w:r>
      <w:r>
        <w:t xml:space="preserve">(RECHARGE) and The </w:t>
      </w:r>
      <w:r w:rsidRPr="00DB656E">
        <w:t>R</w:t>
      </w:r>
      <w:r>
        <w:t>echargeable Battery Association</w:t>
      </w:r>
      <w:r w:rsidR="001B2110">
        <w:t xml:space="preserve"> (PRBA)</w:t>
      </w:r>
      <w:r>
        <w:rPr>
          <w:rStyle w:val="FootnoteReference"/>
        </w:rPr>
        <w:footnoteReference w:customMarkFollows="1" w:id="2"/>
        <w:t>*</w:t>
      </w:r>
    </w:p>
    <w:p w14:paraId="2265FD9F" w14:textId="77777777" w:rsidR="003804A7" w:rsidRPr="00AA5E6C" w:rsidRDefault="003804A7" w:rsidP="003804A7">
      <w:pPr>
        <w:pStyle w:val="HChG"/>
      </w:pPr>
      <w:r w:rsidRPr="003F006C">
        <w:tab/>
      </w:r>
      <w:r w:rsidRPr="003F006C">
        <w:tab/>
      </w:r>
      <w:r w:rsidRPr="00925F3C">
        <w:t>Introduction</w:t>
      </w:r>
    </w:p>
    <w:p w14:paraId="3DBF7868" w14:textId="1613938F" w:rsidR="003804A7" w:rsidRPr="00025A25" w:rsidRDefault="003804A7" w:rsidP="003804A7">
      <w:pPr>
        <w:pStyle w:val="SingleTxtG"/>
        <w:numPr>
          <w:ilvl w:val="0"/>
          <w:numId w:val="34"/>
        </w:numPr>
        <w:ind w:left="1134" w:firstLine="0"/>
        <w:rPr>
          <w:lang w:val="en-US"/>
        </w:rPr>
      </w:pPr>
      <w:r>
        <w:rPr>
          <w:lang w:val="en-US"/>
        </w:rPr>
        <w:t xml:space="preserve">This working document reflects first the </w:t>
      </w:r>
      <w:r>
        <w:t xml:space="preserve">discussion </w:t>
      </w:r>
      <w:r>
        <w:rPr>
          <w:lang w:val="en-US"/>
        </w:rPr>
        <w:t>and comments made in response to the proposed changes in</w:t>
      </w:r>
      <w:r>
        <w:t xml:space="preserve"> ST</w:t>
      </w:r>
      <w:r w:rsidRPr="00D107A5">
        <w:rPr>
          <w:lang w:val="en-US"/>
        </w:rPr>
        <w:t>/</w:t>
      </w:r>
      <w:r>
        <w:t>SG</w:t>
      </w:r>
      <w:r w:rsidRPr="00D107A5">
        <w:rPr>
          <w:lang w:val="en-US"/>
        </w:rPr>
        <w:t>/</w:t>
      </w:r>
      <w:r>
        <w:t>AC.10</w:t>
      </w:r>
      <w:r w:rsidRPr="00D107A5">
        <w:rPr>
          <w:lang w:val="en-US"/>
        </w:rPr>
        <w:t>/</w:t>
      </w:r>
      <w:r>
        <w:t>C.3</w:t>
      </w:r>
      <w:r w:rsidRPr="00D107A5">
        <w:rPr>
          <w:lang w:val="en-US"/>
        </w:rPr>
        <w:t>/</w:t>
      </w:r>
      <w:r>
        <w:t>2018</w:t>
      </w:r>
      <w:r w:rsidRPr="00D107A5">
        <w:rPr>
          <w:lang w:val="en-US"/>
        </w:rPr>
        <w:t>/</w:t>
      </w:r>
      <w:r>
        <w:t xml:space="preserve">84 </w:t>
      </w:r>
      <w:r w:rsidRPr="0052579D">
        <w:rPr>
          <w:lang w:val="en-US"/>
        </w:rPr>
        <w:t>an</w:t>
      </w:r>
      <w:r>
        <w:rPr>
          <w:lang w:val="en-US"/>
        </w:rPr>
        <w:t>d informal document INF</w:t>
      </w:r>
      <w:r w:rsidR="001B2110">
        <w:rPr>
          <w:lang w:val="en-US"/>
        </w:rPr>
        <w:t>.</w:t>
      </w:r>
      <w:r>
        <w:rPr>
          <w:lang w:val="en-US"/>
        </w:rPr>
        <w:t>53/Rev</w:t>
      </w:r>
      <w:r w:rsidR="001B2110">
        <w:rPr>
          <w:lang w:val="en-US"/>
        </w:rPr>
        <w:t>.</w:t>
      </w:r>
      <w:r>
        <w:rPr>
          <w:lang w:val="en-US"/>
        </w:rPr>
        <w:t>1 (fifty-fourth session)</w:t>
      </w:r>
      <w:r>
        <w:t xml:space="preserve">. </w:t>
      </w:r>
      <w:r w:rsidRPr="003255AA">
        <w:rPr>
          <w:lang w:val="en-US"/>
        </w:rPr>
        <w:t>Th</w:t>
      </w:r>
      <w:r>
        <w:rPr>
          <w:lang w:val="en-US"/>
        </w:rPr>
        <w:t xml:space="preserve">e purpose of the proposal discussed is to clarify the usage of </w:t>
      </w:r>
      <w:r w:rsidRPr="003255AA">
        <w:rPr>
          <w:lang w:val="en-US"/>
        </w:rPr>
        <w:t>paragraph 38.3.3 (g)</w:t>
      </w:r>
      <w:r>
        <w:rPr>
          <w:lang w:val="en-US"/>
        </w:rPr>
        <w:t xml:space="preserve"> of the </w:t>
      </w:r>
      <w:r w:rsidRPr="00540ED1">
        <w:rPr>
          <w:lang w:val="en-US"/>
        </w:rPr>
        <w:t>Manual of Tests and Criteria</w:t>
      </w:r>
      <w:r>
        <w:rPr>
          <w:lang w:val="en-US"/>
        </w:rPr>
        <w:t>, which addresses requirements for an “</w:t>
      </w:r>
      <w:r w:rsidRPr="003804A7">
        <w:t>assembled</w:t>
      </w:r>
      <w:r>
        <w:rPr>
          <w:lang w:val="en-US"/>
        </w:rPr>
        <w:t xml:space="preserve"> battery” (i.e., </w:t>
      </w:r>
      <w:r w:rsidRPr="000F357A">
        <w:rPr>
          <w:lang w:val="en-US"/>
        </w:rPr>
        <w:t xml:space="preserve">batteries that have passed all applicable </w:t>
      </w:r>
      <w:r>
        <w:rPr>
          <w:lang w:val="en-US"/>
        </w:rPr>
        <w:t xml:space="preserve">38.3 </w:t>
      </w:r>
      <w:r w:rsidRPr="000F357A">
        <w:rPr>
          <w:lang w:val="en-US"/>
        </w:rPr>
        <w:t xml:space="preserve">tests </w:t>
      </w:r>
      <w:r>
        <w:rPr>
          <w:lang w:val="en-US"/>
        </w:rPr>
        <w:t>and</w:t>
      </w:r>
      <w:r w:rsidRPr="000F357A">
        <w:rPr>
          <w:lang w:val="en-US"/>
        </w:rPr>
        <w:t xml:space="preserve"> electrically connected to form a </w:t>
      </w:r>
      <w:r>
        <w:rPr>
          <w:lang w:val="en-US"/>
        </w:rPr>
        <w:t xml:space="preserve">larger </w:t>
      </w:r>
      <w:r w:rsidRPr="000F357A">
        <w:rPr>
          <w:lang w:val="en-US"/>
        </w:rPr>
        <w:t>battery</w:t>
      </w:r>
      <w:r>
        <w:rPr>
          <w:lang w:val="en-US"/>
        </w:rPr>
        <w:t>). It is applicable particularly in the case of</w:t>
      </w:r>
      <w:r w:rsidRPr="003255AA">
        <w:t xml:space="preserve"> the assembly and maintenance of large assembled batteries used for </w:t>
      </w:r>
      <w:r>
        <w:rPr>
          <w:lang w:val="en-US"/>
        </w:rPr>
        <w:t xml:space="preserve">electric vehicles </w:t>
      </w:r>
      <w:r w:rsidRPr="003255AA">
        <w:t>or energy storage</w:t>
      </w:r>
      <w:r>
        <w:rPr>
          <w:lang w:val="en-US"/>
        </w:rPr>
        <w:t xml:space="preserve"> </w:t>
      </w:r>
      <w:proofErr w:type="spellStart"/>
      <w:r>
        <w:rPr>
          <w:lang w:val="en-US"/>
        </w:rPr>
        <w:t>requi</w:t>
      </w:r>
      <w:proofErr w:type="spellEnd"/>
      <w:r w:rsidRPr="003255AA">
        <w:t xml:space="preserve">ring the transport of parts of these large batteries. Although these parts of batteries can be large, they may not be equipped with battery overcharge protection, as these </w:t>
      </w:r>
      <w:r>
        <w:rPr>
          <w:lang w:val="en-US"/>
        </w:rPr>
        <w:t xml:space="preserve">safety components </w:t>
      </w:r>
      <w:r w:rsidRPr="003255AA">
        <w:t xml:space="preserve">are </w:t>
      </w:r>
      <w:r>
        <w:rPr>
          <w:lang w:val="en-US"/>
        </w:rPr>
        <w:t xml:space="preserve">now often </w:t>
      </w:r>
      <w:r w:rsidRPr="003255AA">
        <w:t xml:space="preserve">provided for in the hosting </w:t>
      </w:r>
      <w:r>
        <w:rPr>
          <w:lang w:val="en-US"/>
        </w:rPr>
        <w:t xml:space="preserve">vehicle, </w:t>
      </w:r>
      <w:r w:rsidRPr="003255AA">
        <w:t>equipment</w:t>
      </w:r>
      <w:r>
        <w:rPr>
          <w:lang w:val="en-US"/>
        </w:rPr>
        <w:t>,</w:t>
      </w:r>
      <w:r w:rsidRPr="003255AA">
        <w:t xml:space="preserve"> or battery</w:t>
      </w:r>
      <w:r w:rsidRPr="003255AA">
        <w:rPr>
          <w:lang w:val="en-US"/>
        </w:rPr>
        <w:t>.</w:t>
      </w:r>
      <w:r w:rsidRPr="003255AA">
        <w:t xml:space="preserve"> </w:t>
      </w:r>
      <w:r>
        <w:t xml:space="preserve">The </w:t>
      </w:r>
      <w:r>
        <w:rPr>
          <w:lang w:val="en-US"/>
        </w:rPr>
        <w:t xml:space="preserve">primary </w:t>
      </w:r>
      <w:r w:rsidRPr="003255AA">
        <w:rPr>
          <w:lang w:val="en-US"/>
        </w:rPr>
        <w:t>c</w:t>
      </w:r>
      <w:proofErr w:type="spellStart"/>
      <w:r>
        <w:t>oncern</w:t>
      </w:r>
      <w:proofErr w:type="spellEnd"/>
      <w:r>
        <w:t xml:space="preserve"> expressed</w:t>
      </w:r>
      <w:r w:rsidRPr="005D3871">
        <w:rPr>
          <w:lang w:val="en-US"/>
        </w:rPr>
        <w:t xml:space="preserve"> </w:t>
      </w:r>
      <w:r>
        <w:rPr>
          <w:lang w:val="en-US"/>
        </w:rPr>
        <w:t>during the initial proposal</w:t>
      </w:r>
      <w:r>
        <w:t xml:space="preserve"> was the need to clarify how the risk of overcharge</w:t>
      </w:r>
      <w:r w:rsidRPr="00841435">
        <w:t xml:space="preserve"> </w:t>
      </w:r>
      <w:r>
        <w:t>would be controlled, in the case of the assembled batteries transported without overcharge protection.</w:t>
      </w:r>
    </w:p>
    <w:p w14:paraId="757AF7BC" w14:textId="65E05C4E" w:rsidR="003804A7" w:rsidRDefault="001B2110" w:rsidP="003804A7">
      <w:pPr>
        <w:pStyle w:val="SingleTxtG"/>
        <w:numPr>
          <w:ilvl w:val="0"/>
          <w:numId w:val="34"/>
        </w:numPr>
        <w:tabs>
          <w:tab w:val="left" w:pos="1701"/>
        </w:tabs>
        <w:ind w:left="1134" w:firstLine="0"/>
        <w:rPr>
          <w:lang w:val="en-US"/>
        </w:rPr>
      </w:pPr>
      <w:r>
        <w:rPr>
          <w:lang w:val="en-US"/>
        </w:rPr>
        <w:t>P</w:t>
      </w:r>
      <w:r w:rsidR="003804A7">
        <w:rPr>
          <w:lang w:val="en-US"/>
        </w:rPr>
        <w:t xml:space="preserve">aragraph </w:t>
      </w:r>
      <w:r w:rsidR="003804A7" w:rsidRPr="00540ED1">
        <w:rPr>
          <w:lang w:val="en-US"/>
        </w:rPr>
        <w:t xml:space="preserve">38.3.3 (g) of the Manual of Tests and Criteria </w:t>
      </w:r>
      <w:r w:rsidR="003804A7">
        <w:rPr>
          <w:lang w:val="en-US"/>
        </w:rPr>
        <w:t>mandates verification of o</w:t>
      </w:r>
      <w:r w:rsidR="003804A7" w:rsidRPr="00540ED1">
        <w:rPr>
          <w:lang w:val="en-US"/>
        </w:rPr>
        <w:t>vercharge protection</w:t>
      </w:r>
      <w:r w:rsidR="003804A7">
        <w:rPr>
          <w:lang w:val="en-US"/>
        </w:rPr>
        <w:t>. It may</w:t>
      </w:r>
      <w:r w:rsidR="003804A7" w:rsidRPr="00540ED1">
        <w:rPr>
          <w:lang w:val="en-US"/>
        </w:rPr>
        <w:t xml:space="preserve"> </w:t>
      </w:r>
      <w:r w:rsidR="003804A7">
        <w:rPr>
          <w:lang w:val="en-US"/>
        </w:rPr>
        <w:t>imply,</w:t>
      </w:r>
      <w:r w:rsidR="003804A7" w:rsidRPr="00540ED1">
        <w:rPr>
          <w:lang w:val="en-US"/>
        </w:rPr>
        <w:t xml:space="preserve"> according to the text</w:t>
      </w:r>
      <w:r w:rsidR="003804A7">
        <w:rPr>
          <w:lang w:val="en-US"/>
        </w:rPr>
        <w:t>,</w:t>
      </w:r>
      <w:r w:rsidR="003804A7" w:rsidRPr="00540ED1">
        <w:rPr>
          <w:lang w:val="en-US"/>
        </w:rPr>
        <w:t xml:space="preserve"> that overcharge protection be </w:t>
      </w:r>
      <w:r w:rsidR="003804A7">
        <w:rPr>
          <w:lang w:val="en-US"/>
        </w:rPr>
        <w:t>part of</w:t>
      </w:r>
      <w:r w:rsidR="003804A7" w:rsidRPr="00540ED1">
        <w:rPr>
          <w:lang w:val="en-US"/>
        </w:rPr>
        <w:t xml:space="preserve"> the </w:t>
      </w:r>
      <w:r w:rsidR="003804A7">
        <w:rPr>
          <w:lang w:val="en-US"/>
        </w:rPr>
        <w:t>battery.</w:t>
      </w:r>
    </w:p>
    <w:p w14:paraId="097ECBDB" w14:textId="77777777" w:rsidR="003804A7" w:rsidRPr="00841435" w:rsidRDefault="003804A7" w:rsidP="003804A7">
      <w:pPr>
        <w:pStyle w:val="SingleTxtG"/>
        <w:numPr>
          <w:ilvl w:val="0"/>
          <w:numId w:val="34"/>
        </w:numPr>
        <w:tabs>
          <w:tab w:val="left" w:pos="1701"/>
        </w:tabs>
        <w:ind w:left="1134" w:firstLine="0"/>
        <w:rPr>
          <w:lang w:val="en-US"/>
        </w:rPr>
      </w:pPr>
      <w:proofErr w:type="gramStart"/>
      <w:r>
        <w:rPr>
          <w:lang w:val="en-US"/>
        </w:rPr>
        <w:t xml:space="preserve">It is clear that </w:t>
      </w:r>
      <w:r>
        <w:t>the</w:t>
      </w:r>
      <w:proofErr w:type="gramEnd"/>
      <w:r>
        <w:t xml:space="preserve"> risk of </w:t>
      </w:r>
      <w:r w:rsidRPr="00936CD5">
        <w:t xml:space="preserve">transporting </w:t>
      </w:r>
      <w:r w:rsidRPr="00936CD5">
        <w:rPr>
          <w:lang w:val="en-US"/>
        </w:rPr>
        <w:t xml:space="preserve">a </w:t>
      </w:r>
      <w:r w:rsidRPr="00936CD5">
        <w:t>batter</w:t>
      </w:r>
      <w:r w:rsidRPr="00936CD5">
        <w:rPr>
          <w:lang w:val="en-US"/>
        </w:rPr>
        <w:t>y or an assembled battery</w:t>
      </w:r>
      <w:r w:rsidRPr="00936CD5">
        <w:t xml:space="preserve"> in an overcharged state is linked to the charging of the batteries prior to transport.</w:t>
      </w:r>
      <w:r w:rsidRPr="00936CD5">
        <w:rPr>
          <w:lang w:val="en-US"/>
        </w:rPr>
        <w:t xml:space="preserve">  During the manufacturing process, batteries are protected from overcharge by the equipment employed. </w:t>
      </w:r>
      <w:r w:rsidRPr="00936CD5">
        <w:rPr>
          <w:lang w:val="en-US"/>
        </w:rPr>
        <w:lastRenderedPageBreak/>
        <w:t>And during transport batteries and assembled batteries, which are protected against short circuit and over discharge between the assembled batteries, cannot be overcharged because they are never connected to an active charging system.</w:t>
      </w:r>
    </w:p>
    <w:p w14:paraId="605F3B0B" w14:textId="6B41FC64" w:rsidR="003804A7" w:rsidRDefault="003804A7" w:rsidP="003804A7">
      <w:pPr>
        <w:pStyle w:val="SingleTxtG"/>
        <w:numPr>
          <w:ilvl w:val="0"/>
          <w:numId w:val="34"/>
        </w:numPr>
        <w:tabs>
          <w:tab w:val="left" w:pos="1701"/>
        </w:tabs>
        <w:ind w:left="1134" w:firstLine="0"/>
        <w:rPr>
          <w:lang w:val="en-US"/>
        </w:rPr>
      </w:pPr>
      <w:proofErr w:type="gramStart"/>
      <w:r>
        <w:rPr>
          <w:lang w:val="en-US"/>
        </w:rPr>
        <w:t>In order to</w:t>
      </w:r>
      <w:proofErr w:type="gramEnd"/>
      <w:r>
        <w:rPr>
          <w:lang w:val="en-US"/>
        </w:rPr>
        <w:t xml:space="preserve"> clarify the specific risk control of the overcharge, without requiring the assembled battery to be necessarily equipped with overcharge protection during transport, the addition of a new note is proposed at the end of 38.3.3 (g).</w:t>
      </w:r>
    </w:p>
    <w:p w14:paraId="4068EE76" w14:textId="77777777" w:rsidR="003804A7" w:rsidRDefault="003804A7" w:rsidP="003804A7">
      <w:pPr>
        <w:pStyle w:val="SingleTxtG"/>
        <w:numPr>
          <w:ilvl w:val="0"/>
          <w:numId w:val="34"/>
        </w:numPr>
        <w:tabs>
          <w:tab w:val="left" w:pos="1701"/>
        </w:tabs>
        <w:ind w:left="1152" w:hanging="9"/>
        <w:rPr>
          <w:lang w:val="en-US"/>
        </w:rPr>
      </w:pPr>
      <w:r w:rsidRPr="00457FBF">
        <w:rPr>
          <w:lang w:val="en-US"/>
        </w:rPr>
        <w:t>Related to this issue is the overcharge testing requirement found in 38.3.3</w:t>
      </w:r>
      <w:r>
        <w:rPr>
          <w:lang w:val="en-US"/>
        </w:rPr>
        <w:t xml:space="preserve"> </w:t>
      </w:r>
      <w:r w:rsidRPr="00457FBF">
        <w:rPr>
          <w:lang w:val="en-US"/>
        </w:rPr>
        <w:t>(d) and the relief provided fr</w:t>
      </w:r>
      <w:r>
        <w:rPr>
          <w:lang w:val="en-US"/>
        </w:rPr>
        <w:t>om this testing under the following conditions: “</w:t>
      </w:r>
      <w:r w:rsidRPr="00457FBF">
        <w:rPr>
          <w:lang w:val="en-US"/>
        </w:rPr>
        <w:t>Batteries or single cell batteries not equipped with battery overcharge protection that are designed for use only as a component in another battery or in equipment, which</w:t>
      </w:r>
      <w:r>
        <w:rPr>
          <w:lang w:val="en-US"/>
        </w:rPr>
        <w:t xml:space="preserve"> </w:t>
      </w:r>
      <w:r w:rsidRPr="00457FBF">
        <w:rPr>
          <w:lang w:val="en-US"/>
        </w:rPr>
        <w:t>affords such protection, are not subject to the requirements of this test.</w:t>
      </w:r>
      <w:r>
        <w:rPr>
          <w:lang w:val="en-US"/>
        </w:rPr>
        <w:t xml:space="preserve">”  We believe it was an oversight by the Lithium Battery Working Group to not account for “vehicles” in this provision recognizing that they now afford such overcharge protection as more fully described above.  We therefore propose to add “vehicle” to the last paragraph in 38.3.3(d).  </w:t>
      </w:r>
    </w:p>
    <w:p w14:paraId="1490FA10" w14:textId="77777777" w:rsidR="003804A7" w:rsidRPr="00037EDE" w:rsidRDefault="003804A7" w:rsidP="003804A7">
      <w:pPr>
        <w:pStyle w:val="SingleTxtG"/>
        <w:numPr>
          <w:ilvl w:val="0"/>
          <w:numId w:val="34"/>
        </w:numPr>
        <w:tabs>
          <w:tab w:val="left" w:pos="1701"/>
        </w:tabs>
        <w:ind w:left="1701" w:hanging="567"/>
        <w:rPr>
          <w:lang w:val="en-US"/>
        </w:rPr>
      </w:pPr>
      <w:r w:rsidRPr="00037EDE">
        <w:rPr>
          <w:lang w:val="en-US"/>
        </w:rPr>
        <w:t>The following proposals are submitted for approval by the Sub Committee.</w:t>
      </w:r>
    </w:p>
    <w:p w14:paraId="18D5FF72" w14:textId="77777777" w:rsidR="003804A7" w:rsidRPr="001E227D" w:rsidRDefault="003804A7" w:rsidP="003804A7">
      <w:pPr>
        <w:pStyle w:val="HChG"/>
        <w:rPr>
          <w:lang w:val="en-US"/>
        </w:rPr>
      </w:pPr>
      <w:bookmarkStart w:id="0" w:name="_Hlk531344555"/>
      <w:r>
        <w:rPr>
          <w:lang w:val="en-US"/>
        </w:rPr>
        <w:tab/>
      </w:r>
      <w:r>
        <w:rPr>
          <w:lang w:val="en-US"/>
        </w:rPr>
        <w:tab/>
      </w:r>
      <w:bookmarkStart w:id="1" w:name="_Hlk4089544"/>
      <w:r w:rsidRPr="001E227D">
        <w:rPr>
          <w:lang w:val="en-US"/>
        </w:rPr>
        <w:t>Proposal</w:t>
      </w:r>
    </w:p>
    <w:p w14:paraId="123BF0DD" w14:textId="77777777" w:rsidR="003804A7" w:rsidRDefault="003804A7" w:rsidP="003804A7">
      <w:pPr>
        <w:pStyle w:val="SingleTxtG"/>
        <w:numPr>
          <w:ilvl w:val="0"/>
          <w:numId w:val="37"/>
        </w:numPr>
        <w:ind w:left="1701" w:hanging="576"/>
        <w:rPr>
          <w:lang w:val="en-US"/>
        </w:rPr>
      </w:pPr>
      <w:bookmarkStart w:id="2" w:name="_Hlk531344609"/>
      <w:bookmarkEnd w:id="0"/>
      <w:bookmarkEnd w:id="1"/>
      <w:r>
        <w:rPr>
          <w:lang w:val="en-US"/>
        </w:rPr>
        <w:t>Add a note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14:paraId="64B584C4" w14:textId="7414D019" w:rsidR="003804A7" w:rsidRPr="004C68BF" w:rsidRDefault="001B2110" w:rsidP="003804A7">
      <w:pPr>
        <w:pStyle w:val="SingleTxtG"/>
        <w:ind w:left="1701"/>
        <w:rPr>
          <w:lang w:val="en-US"/>
        </w:rPr>
      </w:pPr>
      <w:r>
        <w:rPr>
          <w:lang w:val="en-US"/>
        </w:rPr>
        <w:t>“(g)</w:t>
      </w:r>
      <w:r>
        <w:rPr>
          <w:lang w:val="en-US"/>
        </w:rPr>
        <w:tab/>
      </w:r>
      <w:r w:rsidR="003804A7" w:rsidRPr="004C68BF">
        <w:rPr>
          <w:lang w:val="en-US"/>
        </w:rPr>
        <w:t xml:space="preserve">When </w:t>
      </w:r>
      <w:bookmarkStart w:id="3" w:name="_Hlk3957273"/>
      <w:r w:rsidR="003804A7" w:rsidRPr="004C68BF">
        <w:rPr>
          <w:lang w:val="en-US"/>
        </w:rPr>
        <w:t>batteries that have passed all applicable tests are electrically connected to form a battery</w:t>
      </w:r>
      <w:bookmarkEnd w:id="3"/>
      <w:r w:rsidR="003804A7" w:rsidRPr="004C68BF">
        <w:rPr>
          <w:lang w:val="en-US"/>
        </w:rPr>
        <w:t xml:space="preserve"> in which the aggregate lithium content of al anodes, when fully charged, is more than 500g, or in the case of lithium ion battery, with a Watt-hour rating of more than 6200 </w:t>
      </w:r>
      <w:proofErr w:type="spellStart"/>
      <w:r w:rsidR="003804A7" w:rsidRPr="004C68BF">
        <w:rPr>
          <w:lang w:val="en-US"/>
        </w:rPr>
        <w:t>Wh</w:t>
      </w:r>
      <w:proofErr w:type="spellEnd"/>
      <w:r w:rsidR="003804A7" w:rsidRPr="004C68BF">
        <w:rPr>
          <w:lang w:val="en-US"/>
        </w:rPr>
        <w:t>, the assembled battery does not need to be tested if the assembled battery is of a type that has been verified as preventing</w:t>
      </w:r>
      <w:r>
        <w:rPr>
          <w:lang w:val="en-US"/>
        </w:rPr>
        <w:t>:</w:t>
      </w:r>
    </w:p>
    <w:p w14:paraId="22B33091" w14:textId="6127498E" w:rsidR="003804A7" w:rsidRPr="004C68BF" w:rsidRDefault="001B2110" w:rsidP="001B2110">
      <w:pPr>
        <w:pStyle w:val="SingleTxtG"/>
        <w:ind w:left="1701"/>
        <w:rPr>
          <w:lang w:val="en-US"/>
        </w:rPr>
      </w:pPr>
      <w:r>
        <w:rPr>
          <w:lang w:val="en-US"/>
        </w:rPr>
        <w:tab/>
        <w:t>(</w:t>
      </w:r>
      <w:proofErr w:type="spellStart"/>
      <w:r>
        <w:rPr>
          <w:lang w:val="en-US"/>
        </w:rPr>
        <w:t>i</w:t>
      </w:r>
      <w:proofErr w:type="spellEnd"/>
      <w:r>
        <w:rPr>
          <w:lang w:val="en-US"/>
        </w:rPr>
        <w:t>)</w:t>
      </w:r>
      <w:r>
        <w:rPr>
          <w:lang w:val="en-US"/>
        </w:rPr>
        <w:tab/>
      </w:r>
      <w:r w:rsidR="003804A7" w:rsidRPr="004C68BF">
        <w:rPr>
          <w:lang w:val="en-US"/>
        </w:rPr>
        <w:t>Overcharge</w:t>
      </w:r>
      <w:r w:rsidR="003804A7">
        <w:rPr>
          <w:lang w:val="en-US"/>
        </w:rPr>
        <w:t>,</w:t>
      </w:r>
    </w:p>
    <w:p w14:paraId="4F5AEA97" w14:textId="07C24C33" w:rsidR="003804A7" w:rsidRPr="004C68BF" w:rsidRDefault="001B2110" w:rsidP="001B2110">
      <w:pPr>
        <w:pStyle w:val="SingleTxtG"/>
        <w:ind w:left="1701"/>
        <w:rPr>
          <w:lang w:val="en-US"/>
        </w:rPr>
      </w:pPr>
      <w:r>
        <w:rPr>
          <w:lang w:val="en-US"/>
        </w:rPr>
        <w:tab/>
        <w:t>(ii)</w:t>
      </w:r>
      <w:r>
        <w:rPr>
          <w:lang w:val="en-US"/>
        </w:rPr>
        <w:tab/>
      </w:r>
      <w:r w:rsidR="003804A7" w:rsidRPr="004C68BF">
        <w:rPr>
          <w:lang w:val="en-US"/>
        </w:rPr>
        <w:t>Short circuits, and</w:t>
      </w:r>
    </w:p>
    <w:p w14:paraId="6DE67A5F" w14:textId="640B28CC" w:rsidR="003804A7" w:rsidRPr="004C68BF" w:rsidRDefault="001B2110" w:rsidP="001B2110">
      <w:pPr>
        <w:pStyle w:val="SingleTxtG"/>
        <w:ind w:left="1701"/>
        <w:rPr>
          <w:lang w:val="en-US"/>
        </w:rPr>
      </w:pPr>
      <w:r>
        <w:rPr>
          <w:lang w:val="en-US"/>
        </w:rPr>
        <w:tab/>
        <w:t>(iii)</w:t>
      </w:r>
      <w:r>
        <w:rPr>
          <w:lang w:val="en-US"/>
        </w:rPr>
        <w:tab/>
      </w:r>
      <w:r w:rsidR="003804A7" w:rsidRPr="004C68BF">
        <w:rPr>
          <w:lang w:val="en-US"/>
        </w:rPr>
        <w:t>Over discharge between the batteries.</w:t>
      </w:r>
    </w:p>
    <w:p w14:paraId="3DF16E58" w14:textId="2F46D42D" w:rsidR="003804A7" w:rsidRPr="003804A7" w:rsidRDefault="003804A7" w:rsidP="003804A7">
      <w:pPr>
        <w:pStyle w:val="SingleTxtG"/>
        <w:ind w:left="1701"/>
        <w:rPr>
          <w:i/>
          <w:iCs/>
          <w:u w:val="single"/>
          <w:lang w:val="en-US"/>
        </w:rPr>
      </w:pPr>
      <w:r w:rsidRPr="003804A7">
        <w:rPr>
          <w:i/>
          <w:iCs/>
          <w:u w:val="single"/>
          <w:lang w:val="en-US"/>
        </w:rPr>
        <w:t>Note: For an assembled battery not equipped with overcharge protection that is designed for use only as a component in another battery, in equipment, or in a vehicle, which affords such protection, the overcharge protection may be verified at the battery, equipment or vehicle level, as appropriate.</w:t>
      </w:r>
      <w:r w:rsidR="001B2110">
        <w:rPr>
          <w:i/>
          <w:iCs/>
          <w:u w:val="single"/>
          <w:lang w:val="en-US"/>
        </w:rPr>
        <w:t>”.</w:t>
      </w:r>
    </w:p>
    <w:p w14:paraId="72230C18" w14:textId="77777777" w:rsidR="003804A7" w:rsidRPr="00FB485D" w:rsidRDefault="003804A7" w:rsidP="003804A7">
      <w:pPr>
        <w:pStyle w:val="SingleTxtG"/>
        <w:numPr>
          <w:ilvl w:val="0"/>
          <w:numId w:val="36"/>
        </w:numPr>
        <w:spacing w:before="240"/>
        <w:ind w:left="1701" w:hanging="621"/>
        <w:jc w:val="left"/>
        <w:rPr>
          <w:u w:val="single"/>
          <w:lang w:val="en-US"/>
        </w:rPr>
      </w:pPr>
      <w:r w:rsidRPr="00FB485D">
        <w:rPr>
          <w:lang w:val="en-US"/>
        </w:rPr>
        <w:t xml:space="preserve">Add “vehicle” in </w:t>
      </w:r>
      <w:r>
        <w:rPr>
          <w:lang w:val="en-US"/>
        </w:rPr>
        <w:t xml:space="preserve">the last paragraph in </w:t>
      </w:r>
      <w:r w:rsidRPr="00FB485D">
        <w:rPr>
          <w:lang w:val="en-US"/>
        </w:rPr>
        <w:t>38.3.3</w:t>
      </w:r>
      <w:r>
        <w:rPr>
          <w:lang w:val="en-US"/>
        </w:rPr>
        <w:t xml:space="preserve"> </w:t>
      </w:r>
      <w:r w:rsidRPr="00FB485D">
        <w:rPr>
          <w:lang w:val="en-US"/>
        </w:rPr>
        <w:t>(d)</w:t>
      </w:r>
      <w:bookmarkEnd w:id="2"/>
      <w:r>
        <w:rPr>
          <w:lang w:val="en-US"/>
        </w:rPr>
        <w:t>:</w:t>
      </w:r>
    </w:p>
    <w:p w14:paraId="55B80F9E" w14:textId="60BFA08C" w:rsidR="003804A7" w:rsidRPr="003804A7" w:rsidRDefault="001B2110" w:rsidP="003804A7">
      <w:pPr>
        <w:pStyle w:val="SingleTxtG"/>
        <w:ind w:left="1701"/>
        <w:rPr>
          <w:lang w:val="en-US"/>
        </w:rPr>
      </w:pPr>
      <w:r>
        <w:rPr>
          <w:lang w:val="en-US"/>
        </w:rPr>
        <w:t>“</w:t>
      </w:r>
      <w:r w:rsidR="003804A7" w:rsidRPr="00037EDE">
        <w:rPr>
          <w:lang w:val="en-US"/>
        </w:rPr>
        <w:t>Batteries or single cell batteries not equipped with battery overcharge protection that are designed for use only as a component in another battery</w:t>
      </w:r>
      <w:r w:rsidR="003804A7" w:rsidRPr="00037EDE">
        <w:rPr>
          <w:u w:val="single"/>
          <w:lang w:val="en-US"/>
        </w:rPr>
        <w:t>, vehicle,</w:t>
      </w:r>
      <w:r w:rsidR="003804A7" w:rsidRPr="00037EDE">
        <w:rPr>
          <w:lang w:val="en-US"/>
        </w:rPr>
        <w:t xml:space="preserve"> or in equipment, which affords such protection, are not subject to the requirements of this test.</w:t>
      </w:r>
      <w:r>
        <w:rPr>
          <w:lang w:val="en-US"/>
        </w:rPr>
        <w:t>”.</w:t>
      </w:r>
      <w:bookmarkStart w:id="4" w:name="_GoBack"/>
      <w:bookmarkEnd w:id="4"/>
    </w:p>
    <w:p w14:paraId="113C13A4" w14:textId="77777777" w:rsidR="003804A7" w:rsidRPr="00E47603" w:rsidRDefault="003804A7" w:rsidP="003804A7">
      <w:pPr>
        <w:spacing w:before="240"/>
        <w:ind w:left="1134" w:right="1134"/>
        <w:jc w:val="center"/>
        <w:rPr>
          <w:u w:val="single"/>
          <w:lang w:val="en-US"/>
        </w:rPr>
      </w:pPr>
      <w:r>
        <w:rPr>
          <w:u w:val="single"/>
          <w:lang w:val="en-US"/>
        </w:rPr>
        <w:tab/>
      </w:r>
      <w:r>
        <w:rPr>
          <w:u w:val="single"/>
          <w:lang w:val="en-US"/>
        </w:rPr>
        <w:tab/>
      </w:r>
      <w:r>
        <w:rPr>
          <w:u w:val="single"/>
          <w:lang w:val="en-US"/>
        </w:rPr>
        <w:tab/>
      </w:r>
    </w:p>
    <w:p w14:paraId="48CA3BFE" w14:textId="77777777" w:rsidR="003804A7" w:rsidRDefault="003804A7" w:rsidP="003804A7">
      <w:pPr>
        <w:rPr>
          <w:lang w:val="en-US"/>
        </w:rPr>
      </w:pPr>
    </w:p>
    <w:p w14:paraId="116C48B5" w14:textId="77777777" w:rsidR="003804A7" w:rsidRPr="00E47603" w:rsidRDefault="003804A7" w:rsidP="003804A7">
      <w:pPr>
        <w:rPr>
          <w:lang w:val="en-US"/>
        </w:rPr>
      </w:pPr>
    </w:p>
    <w:p w14:paraId="56A9F9D4" w14:textId="77777777" w:rsidR="003804A7" w:rsidRDefault="003804A7" w:rsidP="00D363F7">
      <w:pPr>
        <w:rPr>
          <w:b/>
          <w:bCs/>
        </w:rPr>
      </w:pPr>
    </w:p>
    <w:sectPr w:rsidR="003804A7" w:rsidSect="00D938D5">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97B3" w14:textId="77777777" w:rsidR="00143B50" w:rsidRDefault="00143B50"/>
  </w:endnote>
  <w:endnote w:type="continuationSeparator" w:id="0">
    <w:p w14:paraId="00251E1C" w14:textId="77777777" w:rsidR="00143B50" w:rsidRDefault="00143B50"/>
  </w:endnote>
  <w:endnote w:type="continuationNotice" w:id="1">
    <w:p w14:paraId="558F13A3" w14:textId="77777777" w:rsidR="00143B50" w:rsidRDefault="0014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E785" w14:textId="7777777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2C1FC7">
      <w:rPr>
        <w:b/>
        <w:noProof/>
      </w:rPr>
      <w:t>4</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0B7" w14:textId="77777777"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2C1FC7">
      <w:rPr>
        <w:b/>
        <w:noProof/>
      </w:rPr>
      <w:t>5</w:t>
    </w:r>
    <w:r w:rsidRPr="004D2B47">
      <w:rPr>
        <w:b/>
        <w:noProof/>
      </w:rPr>
      <w:fldChar w:fldCharType="end"/>
    </w:r>
  </w:p>
  <w:p w14:paraId="6E9BF860"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0CB1" w14:textId="77777777" w:rsidR="00143B50" w:rsidRPr="000B175B" w:rsidRDefault="00143B50" w:rsidP="000B175B">
      <w:pPr>
        <w:tabs>
          <w:tab w:val="right" w:pos="2155"/>
        </w:tabs>
        <w:spacing w:after="80"/>
        <w:ind w:left="680"/>
        <w:rPr>
          <w:u w:val="single"/>
        </w:rPr>
      </w:pPr>
      <w:r>
        <w:rPr>
          <w:u w:val="single"/>
        </w:rPr>
        <w:tab/>
      </w:r>
    </w:p>
  </w:footnote>
  <w:footnote w:type="continuationSeparator" w:id="0">
    <w:p w14:paraId="2D3212D8" w14:textId="77777777" w:rsidR="00143B50" w:rsidRPr="00FC68B7" w:rsidRDefault="00143B50" w:rsidP="00FC68B7">
      <w:pPr>
        <w:tabs>
          <w:tab w:val="left" w:pos="2155"/>
        </w:tabs>
        <w:spacing w:after="80"/>
        <w:ind w:left="680"/>
        <w:rPr>
          <w:u w:val="single"/>
        </w:rPr>
      </w:pPr>
      <w:r>
        <w:rPr>
          <w:u w:val="single"/>
        </w:rPr>
        <w:tab/>
      </w:r>
    </w:p>
  </w:footnote>
  <w:footnote w:type="continuationNotice" w:id="1">
    <w:p w14:paraId="1125913F" w14:textId="77777777" w:rsidR="00143B50" w:rsidRDefault="00143B50"/>
  </w:footnote>
  <w:footnote w:id="2">
    <w:p w14:paraId="2790D830" w14:textId="4F0694E4" w:rsidR="003804A7" w:rsidRPr="003804A7" w:rsidRDefault="003804A7" w:rsidP="003804A7">
      <w:pPr>
        <w:pStyle w:val="FootnoteText"/>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AFBF" w14:textId="67604274" w:rsidR="009D3AC0" w:rsidRPr="006C6A56" w:rsidRDefault="0020121B" w:rsidP="006C6A56">
    <w:pPr>
      <w:pStyle w:val="Header"/>
    </w:pPr>
    <w:r>
      <w:t>ST/SG/AC.10/C.3/</w:t>
    </w:r>
    <w:r w:rsidR="003C5896">
      <w:t>201</w:t>
    </w:r>
    <w:r w:rsidR="00265879">
      <w:t>9</w:t>
    </w:r>
    <w:r w:rsidR="00297F3D">
      <w:t>/</w:t>
    </w:r>
    <w:r w:rsidR="0019070F">
      <w:t>3</w:t>
    </w:r>
    <w:r w:rsidR="008F125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4862" w14:textId="397961EA" w:rsidR="009D3AC0" w:rsidRPr="001F676B" w:rsidRDefault="001A356B" w:rsidP="00B6691B">
    <w:pPr>
      <w:pStyle w:val="Header"/>
      <w:pBdr>
        <w:bottom w:val="single" w:sz="4" w:space="1" w:color="auto"/>
      </w:pBdr>
      <w:ind w:right="180"/>
      <w:jc w:val="right"/>
    </w:pPr>
    <w:r>
      <w:t>ST/SG/AC.10/C.3/201</w:t>
    </w:r>
    <w:r w:rsidR="00265879">
      <w:t>9</w:t>
    </w:r>
    <w:r>
      <w:t>/</w:t>
    </w:r>
    <w:r w:rsidR="004626EB">
      <w:t>2</w:t>
    </w:r>
    <w:r w:rsidR="00B6691B">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45FE" w14:textId="77777777" w:rsidR="004626EB" w:rsidRDefault="004626EB" w:rsidP="004626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257"/>
    <w:multiLevelType w:val="hybridMultilevel"/>
    <w:tmpl w:val="CBB69B26"/>
    <w:lvl w:ilvl="0" w:tplc="69F2CC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2"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1B28100E"/>
    <w:multiLevelType w:val="hybridMultilevel"/>
    <w:tmpl w:val="9998C97C"/>
    <w:lvl w:ilvl="0" w:tplc="D59AF3C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D701824"/>
    <w:multiLevelType w:val="hybridMultilevel"/>
    <w:tmpl w:val="2730D5D0"/>
    <w:lvl w:ilvl="0" w:tplc="CF102EF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D3C126A"/>
    <w:multiLevelType w:val="hybridMultilevel"/>
    <w:tmpl w:val="5FE0AE10"/>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BE741D9"/>
    <w:multiLevelType w:val="hybridMultilevel"/>
    <w:tmpl w:val="DC1A7560"/>
    <w:lvl w:ilvl="0" w:tplc="37FE7BDC">
      <w:start w:val="1"/>
      <w:numFmt w:val="bullet"/>
      <w:lvlText w:val=""/>
      <w:lvlJc w:val="left"/>
      <w:pPr>
        <w:ind w:left="1494" w:hanging="360"/>
      </w:pPr>
      <w:rPr>
        <w:rFonts w:ascii="Symbol" w:hAnsi="Symbol" w:hint="default"/>
        <w:color w:val="auto"/>
        <w:u w:color="FFFFFF" w:themeColor="background1"/>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5"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6"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4467953"/>
    <w:multiLevelType w:val="hybridMultilevel"/>
    <w:tmpl w:val="66727FEA"/>
    <w:lvl w:ilvl="0" w:tplc="444A5B92">
      <w:start w:val="3"/>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480D60D4"/>
    <w:multiLevelType w:val="hybridMultilevel"/>
    <w:tmpl w:val="EFBA3556"/>
    <w:lvl w:ilvl="0" w:tplc="495CC35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4A21A9"/>
    <w:multiLevelType w:val="hybridMultilevel"/>
    <w:tmpl w:val="49FEF7BE"/>
    <w:lvl w:ilvl="0" w:tplc="DF6A67C4">
      <w:start w:val="8"/>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2"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82A42"/>
    <w:multiLevelType w:val="hybridMultilevel"/>
    <w:tmpl w:val="796A3478"/>
    <w:lvl w:ilvl="0" w:tplc="DBBA2352">
      <w:start w:val="7"/>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15:restartNumberingAfterBreak="0">
    <w:nsid w:val="53871B7D"/>
    <w:multiLevelType w:val="hybridMultilevel"/>
    <w:tmpl w:val="1354BBB4"/>
    <w:lvl w:ilvl="0" w:tplc="EDA0AC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83B2AF0"/>
    <w:multiLevelType w:val="hybridMultilevel"/>
    <w:tmpl w:val="E396B7BC"/>
    <w:lvl w:ilvl="0" w:tplc="E8E09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88F3DE2"/>
    <w:multiLevelType w:val="hybridMultilevel"/>
    <w:tmpl w:val="83141FD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5CC77C50"/>
    <w:multiLevelType w:val="hybridMultilevel"/>
    <w:tmpl w:val="297275D8"/>
    <w:lvl w:ilvl="0" w:tplc="480C8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DBA7680"/>
    <w:multiLevelType w:val="hybridMultilevel"/>
    <w:tmpl w:val="5A189D9A"/>
    <w:lvl w:ilvl="0" w:tplc="D58A87B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F5047"/>
    <w:multiLevelType w:val="hybridMultilevel"/>
    <w:tmpl w:val="ED1E181A"/>
    <w:lvl w:ilvl="0" w:tplc="96C0C826">
      <w:start w:val="1"/>
      <w:numFmt w:val="lowerRoman"/>
      <w:lvlText w:val="(%1)"/>
      <w:lvlJc w:val="left"/>
      <w:pPr>
        <w:ind w:left="1854" w:hanging="72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2"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01542"/>
    <w:multiLevelType w:val="hybridMultilevel"/>
    <w:tmpl w:val="90C6745C"/>
    <w:lvl w:ilvl="0" w:tplc="37FE7BDC">
      <w:start w:val="1"/>
      <w:numFmt w:val="bullet"/>
      <w:lvlText w:val=""/>
      <w:lvlJc w:val="left"/>
      <w:pPr>
        <w:ind w:left="720" w:hanging="360"/>
      </w:pPr>
      <w:rPr>
        <w:rFonts w:ascii="Symbol" w:hAnsi="Symbol" w:hint="default"/>
        <w:color w:val="auto"/>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4647B1"/>
    <w:multiLevelType w:val="hybridMultilevel"/>
    <w:tmpl w:val="3CA85184"/>
    <w:lvl w:ilvl="0" w:tplc="47C6CEB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268482A"/>
    <w:multiLevelType w:val="hybridMultilevel"/>
    <w:tmpl w:val="7BEA4B10"/>
    <w:lvl w:ilvl="0" w:tplc="E7B48CC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7F5D6FEB"/>
    <w:multiLevelType w:val="hybridMultilevel"/>
    <w:tmpl w:val="9BBCE3DC"/>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33"/>
  </w:num>
  <w:num w:numId="3">
    <w:abstractNumId w:val="32"/>
  </w:num>
  <w:num w:numId="4">
    <w:abstractNumId w:val="22"/>
  </w:num>
  <w:num w:numId="5">
    <w:abstractNumId w:val="20"/>
  </w:num>
  <w:num w:numId="6">
    <w:abstractNumId w:val="13"/>
  </w:num>
  <w:num w:numId="7">
    <w:abstractNumId w:val="9"/>
  </w:num>
  <w:num w:numId="8">
    <w:abstractNumId w:val="30"/>
  </w:num>
  <w:num w:numId="9">
    <w:abstractNumId w:val="28"/>
  </w:num>
  <w:num w:numId="10">
    <w:abstractNumId w:val="15"/>
  </w:num>
  <w:num w:numId="11">
    <w:abstractNumId w:val="6"/>
  </w:num>
  <w:num w:numId="12">
    <w:abstractNumId w:val="1"/>
  </w:num>
  <w:num w:numId="13">
    <w:abstractNumId w:val="3"/>
  </w:num>
  <w:num w:numId="14">
    <w:abstractNumId w:val="16"/>
  </w:num>
  <w:num w:numId="15">
    <w:abstractNumId w:val="19"/>
  </w:num>
  <w:num w:numId="16">
    <w:abstractNumId w:val="12"/>
  </w:num>
  <w:num w:numId="17">
    <w:abstractNumId w:val="2"/>
  </w:num>
  <w:num w:numId="18">
    <w:abstractNumId w:val="7"/>
  </w:num>
  <w:num w:numId="19">
    <w:abstractNumId w:val="5"/>
  </w:num>
  <w:num w:numId="20">
    <w:abstractNumId w:val="25"/>
  </w:num>
  <w:num w:numId="21">
    <w:abstractNumId w:val="27"/>
  </w:num>
  <w:num w:numId="22">
    <w:abstractNumId w:val="8"/>
  </w:num>
  <w:num w:numId="23">
    <w:abstractNumId w:val="0"/>
  </w:num>
  <w:num w:numId="24">
    <w:abstractNumId w:val="14"/>
  </w:num>
  <w:num w:numId="25">
    <w:abstractNumId w:val="29"/>
  </w:num>
  <w:num w:numId="26">
    <w:abstractNumId w:val="26"/>
  </w:num>
  <w:num w:numId="27">
    <w:abstractNumId w:val="11"/>
  </w:num>
  <w:num w:numId="28">
    <w:abstractNumId w:val="34"/>
  </w:num>
  <w:num w:numId="29">
    <w:abstractNumId w:val="17"/>
  </w:num>
  <w:num w:numId="30">
    <w:abstractNumId w:val="35"/>
  </w:num>
  <w:num w:numId="31">
    <w:abstractNumId w:val="36"/>
  </w:num>
  <w:num w:numId="32">
    <w:abstractNumId w:val="24"/>
  </w:num>
  <w:num w:numId="33">
    <w:abstractNumId w:val="10"/>
  </w:num>
  <w:num w:numId="34">
    <w:abstractNumId w:val="37"/>
  </w:num>
  <w:num w:numId="35">
    <w:abstractNumId w:val="31"/>
  </w:num>
  <w:num w:numId="36">
    <w:abstractNumId w:val="21"/>
  </w:num>
  <w:num w:numId="37">
    <w:abstractNumId w:val="23"/>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5080"/>
    <w:rsid w:val="00067341"/>
    <w:rsid w:val="000676CC"/>
    <w:rsid w:val="00072C8C"/>
    <w:rsid w:val="0007325A"/>
    <w:rsid w:val="00074A4D"/>
    <w:rsid w:val="00076E96"/>
    <w:rsid w:val="00082670"/>
    <w:rsid w:val="00083A13"/>
    <w:rsid w:val="00086AB4"/>
    <w:rsid w:val="00090264"/>
    <w:rsid w:val="000918C2"/>
    <w:rsid w:val="00092B2E"/>
    <w:rsid w:val="000931C0"/>
    <w:rsid w:val="00094053"/>
    <w:rsid w:val="000A32D2"/>
    <w:rsid w:val="000A7A2F"/>
    <w:rsid w:val="000B0DCA"/>
    <w:rsid w:val="000B175B"/>
    <w:rsid w:val="000B3A0F"/>
    <w:rsid w:val="000B7257"/>
    <w:rsid w:val="000C2795"/>
    <w:rsid w:val="000C4459"/>
    <w:rsid w:val="000C5FE3"/>
    <w:rsid w:val="000C64FF"/>
    <w:rsid w:val="000C69A6"/>
    <w:rsid w:val="000C6E37"/>
    <w:rsid w:val="000D13B5"/>
    <w:rsid w:val="000D5550"/>
    <w:rsid w:val="000D5EB1"/>
    <w:rsid w:val="000D7320"/>
    <w:rsid w:val="000D7C1B"/>
    <w:rsid w:val="000E0415"/>
    <w:rsid w:val="000E143F"/>
    <w:rsid w:val="000E2262"/>
    <w:rsid w:val="000E2FEC"/>
    <w:rsid w:val="000E422C"/>
    <w:rsid w:val="000E6156"/>
    <w:rsid w:val="000F1AC1"/>
    <w:rsid w:val="000F225A"/>
    <w:rsid w:val="000F2C33"/>
    <w:rsid w:val="000F4524"/>
    <w:rsid w:val="000F46B1"/>
    <w:rsid w:val="000F570C"/>
    <w:rsid w:val="001009D0"/>
    <w:rsid w:val="00105FDD"/>
    <w:rsid w:val="00106D46"/>
    <w:rsid w:val="00111B8F"/>
    <w:rsid w:val="00112EEE"/>
    <w:rsid w:val="0011462A"/>
    <w:rsid w:val="0011529F"/>
    <w:rsid w:val="001156AA"/>
    <w:rsid w:val="00115ADB"/>
    <w:rsid w:val="001220B8"/>
    <w:rsid w:val="001223F7"/>
    <w:rsid w:val="00123154"/>
    <w:rsid w:val="001262C0"/>
    <w:rsid w:val="00126EA1"/>
    <w:rsid w:val="0012741E"/>
    <w:rsid w:val="00130E35"/>
    <w:rsid w:val="0013185E"/>
    <w:rsid w:val="00133C7A"/>
    <w:rsid w:val="00133ED6"/>
    <w:rsid w:val="001346AE"/>
    <w:rsid w:val="00135DFB"/>
    <w:rsid w:val="00137553"/>
    <w:rsid w:val="001418E8"/>
    <w:rsid w:val="00141EC8"/>
    <w:rsid w:val="00143B50"/>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74ECD"/>
    <w:rsid w:val="001811F3"/>
    <w:rsid w:val="0018298B"/>
    <w:rsid w:val="00182A9E"/>
    <w:rsid w:val="001832E3"/>
    <w:rsid w:val="001844FC"/>
    <w:rsid w:val="00184D49"/>
    <w:rsid w:val="0018528A"/>
    <w:rsid w:val="00186037"/>
    <w:rsid w:val="0019043C"/>
    <w:rsid w:val="0019070F"/>
    <w:rsid w:val="001A1256"/>
    <w:rsid w:val="001A1D2D"/>
    <w:rsid w:val="001A1EFF"/>
    <w:rsid w:val="001A356B"/>
    <w:rsid w:val="001A63BF"/>
    <w:rsid w:val="001B2110"/>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142A"/>
    <w:rsid w:val="00222C94"/>
    <w:rsid w:val="00227F88"/>
    <w:rsid w:val="00232E70"/>
    <w:rsid w:val="0023451F"/>
    <w:rsid w:val="002375CB"/>
    <w:rsid w:val="002405A7"/>
    <w:rsid w:val="00240C33"/>
    <w:rsid w:val="00241101"/>
    <w:rsid w:val="00241341"/>
    <w:rsid w:val="00246F3E"/>
    <w:rsid w:val="00251F6B"/>
    <w:rsid w:val="00260DAB"/>
    <w:rsid w:val="00265879"/>
    <w:rsid w:val="00266C4D"/>
    <w:rsid w:val="00267F1A"/>
    <w:rsid w:val="00270492"/>
    <w:rsid w:val="002719BF"/>
    <w:rsid w:val="00274E4B"/>
    <w:rsid w:val="00276A34"/>
    <w:rsid w:val="002775FB"/>
    <w:rsid w:val="00277A67"/>
    <w:rsid w:val="0028097F"/>
    <w:rsid w:val="00280C9A"/>
    <w:rsid w:val="00281563"/>
    <w:rsid w:val="0028523E"/>
    <w:rsid w:val="00291560"/>
    <w:rsid w:val="0029653B"/>
    <w:rsid w:val="00297F3D"/>
    <w:rsid w:val="002A46FB"/>
    <w:rsid w:val="002B1EF0"/>
    <w:rsid w:val="002B2B8E"/>
    <w:rsid w:val="002B4232"/>
    <w:rsid w:val="002B772A"/>
    <w:rsid w:val="002C1FC7"/>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5BA3"/>
    <w:rsid w:val="00317109"/>
    <w:rsid w:val="00317F52"/>
    <w:rsid w:val="00321C05"/>
    <w:rsid w:val="00321F07"/>
    <w:rsid w:val="003229D8"/>
    <w:rsid w:val="00326AA8"/>
    <w:rsid w:val="00330C63"/>
    <w:rsid w:val="00330D86"/>
    <w:rsid w:val="0033308E"/>
    <w:rsid w:val="00334089"/>
    <w:rsid w:val="00334241"/>
    <w:rsid w:val="003368A3"/>
    <w:rsid w:val="0033745A"/>
    <w:rsid w:val="0034235E"/>
    <w:rsid w:val="003476FF"/>
    <w:rsid w:val="0035173C"/>
    <w:rsid w:val="00352498"/>
    <w:rsid w:val="00353734"/>
    <w:rsid w:val="00355FB8"/>
    <w:rsid w:val="003566AA"/>
    <w:rsid w:val="00357453"/>
    <w:rsid w:val="00357B6F"/>
    <w:rsid w:val="003605F0"/>
    <w:rsid w:val="003606EC"/>
    <w:rsid w:val="00362C66"/>
    <w:rsid w:val="0036347F"/>
    <w:rsid w:val="00365502"/>
    <w:rsid w:val="003742FC"/>
    <w:rsid w:val="003804A7"/>
    <w:rsid w:val="00380BCF"/>
    <w:rsid w:val="00381E3F"/>
    <w:rsid w:val="00383E1A"/>
    <w:rsid w:val="00391104"/>
    <w:rsid w:val="0039277A"/>
    <w:rsid w:val="0039526D"/>
    <w:rsid w:val="00396BE5"/>
    <w:rsid w:val="003972E0"/>
    <w:rsid w:val="00397DE2"/>
    <w:rsid w:val="003A22F5"/>
    <w:rsid w:val="003A2B2B"/>
    <w:rsid w:val="003A2D25"/>
    <w:rsid w:val="003A347B"/>
    <w:rsid w:val="003A7C4B"/>
    <w:rsid w:val="003A7F0D"/>
    <w:rsid w:val="003B0241"/>
    <w:rsid w:val="003B54C5"/>
    <w:rsid w:val="003B5A52"/>
    <w:rsid w:val="003C0C5E"/>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1C18"/>
    <w:rsid w:val="00424A40"/>
    <w:rsid w:val="0043151B"/>
    <w:rsid w:val="004325CB"/>
    <w:rsid w:val="00435EE3"/>
    <w:rsid w:val="00436DEF"/>
    <w:rsid w:val="00436F0D"/>
    <w:rsid w:val="00442BB5"/>
    <w:rsid w:val="004445A1"/>
    <w:rsid w:val="00444AB1"/>
    <w:rsid w:val="00446DE4"/>
    <w:rsid w:val="00447058"/>
    <w:rsid w:val="004471D1"/>
    <w:rsid w:val="00447ACD"/>
    <w:rsid w:val="004501A7"/>
    <w:rsid w:val="00450210"/>
    <w:rsid w:val="0045275C"/>
    <w:rsid w:val="0045727E"/>
    <w:rsid w:val="004626EB"/>
    <w:rsid w:val="00462C74"/>
    <w:rsid w:val="00466172"/>
    <w:rsid w:val="0047179D"/>
    <w:rsid w:val="004735DE"/>
    <w:rsid w:val="0047798C"/>
    <w:rsid w:val="0048539B"/>
    <w:rsid w:val="004853F3"/>
    <w:rsid w:val="00486182"/>
    <w:rsid w:val="0049238A"/>
    <w:rsid w:val="004936EA"/>
    <w:rsid w:val="00493F35"/>
    <w:rsid w:val="004949D0"/>
    <w:rsid w:val="004A0699"/>
    <w:rsid w:val="004A0F33"/>
    <w:rsid w:val="004A41CA"/>
    <w:rsid w:val="004A6FCE"/>
    <w:rsid w:val="004A7278"/>
    <w:rsid w:val="004A7FFD"/>
    <w:rsid w:val="004B1385"/>
    <w:rsid w:val="004B40B2"/>
    <w:rsid w:val="004C3136"/>
    <w:rsid w:val="004C4490"/>
    <w:rsid w:val="004C5960"/>
    <w:rsid w:val="004C6784"/>
    <w:rsid w:val="004D015A"/>
    <w:rsid w:val="004D0265"/>
    <w:rsid w:val="004D2B47"/>
    <w:rsid w:val="004D4668"/>
    <w:rsid w:val="004E0E90"/>
    <w:rsid w:val="004E6063"/>
    <w:rsid w:val="004F471F"/>
    <w:rsid w:val="004F4928"/>
    <w:rsid w:val="004F5B48"/>
    <w:rsid w:val="004F721F"/>
    <w:rsid w:val="004F7E77"/>
    <w:rsid w:val="00501F03"/>
    <w:rsid w:val="005026D3"/>
    <w:rsid w:val="00503228"/>
    <w:rsid w:val="00505384"/>
    <w:rsid w:val="00510A10"/>
    <w:rsid w:val="00512AD1"/>
    <w:rsid w:val="00514641"/>
    <w:rsid w:val="0052529E"/>
    <w:rsid w:val="00530C1E"/>
    <w:rsid w:val="0053290B"/>
    <w:rsid w:val="0053591C"/>
    <w:rsid w:val="00540A06"/>
    <w:rsid w:val="005414C0"/>
    <w:rsid w:val="005420F2"/>
    <w:rsid w:val="00546CE7"/>
    <w:rsid w:val="005528AD"/>
    <w:rsid w:val="0055290C"/>
    <w:rsid w:val="005550A1"/>
    <w:rsid w:val="00557BBE"/>
    <w:rsid w:val="005602BC"/>
    <w:rsid w:val="00561935"/>
    <w:rsid w:val="00563AEA"/>
    <w:rsid w:val="00564A8C"/>
    <w:rsid w:val="005654A8"/>
    <w:rsid w:val="0056584E"/>
    <w:rsid w:val="00565EAC"/>
    <w:rsid w:val="00567492"/>
    <w:rsid w:val="00567738"/>
    <w:rsid w:val="005710FD"/>
    <w:rsid w:val="005725E1"/>
    <w:rsid w:val="00572F07"/>
    <w:rsid w:val="00581EFE"/>
    <w:rsid w:val="00582191"/>
    <w:rsid w:val="00583592"/>
    <w:rsid w:val="0058576C"/>
    <w:rsid w:val="00590B35"/>
    <w:rsid w:val="00592B8C"/>
    <w:rsid w:val="005964D7"/>
    <w:rsid w:val="00596940"/>
    <w:rsid w:val="005A6006"/>
    <w:rsid w:val="005B0078"/>
    <w:rsid w:val="005B11C6"/>
    <w:rsid w:val="005B12DD"/>
    <w:rsid w:val="005B1668"/>
    <w:rsid w:val="005B3DB3"/>
    <w:rsid w:val="005B5EDB"/>
    <w:rsid w:val="005B675E"/>
    <w:rsid w:val="005B793F"/>
    <w:rsid w:val="005B7D5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A0E"/>
    <w:rsid w:val="005F6C4E"/>
    <w:rsid w:val="0060091E"/>
    <w:rsid w:val="00603986"/>
    <w:rsid w:val="0060786E"/>
    <w:rsid w:val="00610339"/>
    <w:rsid w:val="00611FB1"/>
    <w:rsid w:val="00611FC4"/>
    <w:rsid w:val="00612594"/>
    <w:rsid w:val="00613135"/>
    <w:rsid w:val="00613225"/>
    <w:rsid w:val="006152CB"/>
    <w:rsid w:val="0061540F"/>
    <w:rsid w:val="0061649D"/>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57E0"/>
    <w:rsid w:val="00676646"/>
    <w:rsid w:val="006778FF"/>
    <w:rsid w:val="00680AF1"/>
    <w:rsid w:val="0068160A"/>
    <w:rsid w:val="00685BF2"/>
    <w:rsid w:val="00686869"/>
    <w:rsid w:val="00687EA5"/>
    <w:rsid w:val="00695A9B"/>
    <w:rsid w:val="006A4EF7"/>
    <w:rsid w:val="006A6F0C"/>
    <w:rsid w:val="006A7392"/>
    <w:rsid w:val="006A7A99"/>
    <w:rsid w:val="006B12CC"/>
    <w:rsid w:val="006B4ADA"/>
    <w:rsid w:val="006C2D7B"/>
    <w:rsid w:val="006C4388"/>
    <w:rsid w:val="006C52A3"/>
    <w:rsid w:val="006C582F"/>
    <w:rsid w:val="006C5A35"/>
    <w:rsid w:val="006C6888"/>
    <w:rsid w:val="006C6A56"/>
    <w:rsid w:val="006D255B"/>
    <w:rsid w:val="006D3B96"/>
    <w:rsid w:val="006D5429"/>
    <w:rsid w:val="006D7CD5"/>
    <w:rsid w:val="006E0290"/>
    <w:rsid w:val="006E07CD"/>
    <w:rsid w:val="006E564B"/>
    <w:rsid w:val="006F02D2"/>
    <w:rsid w:val="006F1EFF"/>
    <w:rsid w:val="006F530A"/>
    <w:rsid w:val="006F6B4F"/>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6A35"/>
    <w:rsid w:val="007C7FD5"/>
    <w:rsid w:val="007D1BCB"/>
    <w:rsid w:val="007D3861"/>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1C3"/>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D3D"/>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252"/>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36B4E"/>
    <w:rsid w:val="009402C2"/>
    <w:rsid w:val="00940685"/>
    <w:rsid w:val="00941D3C"/>
    <w:rsid w:val="009514AC"/>
    <w:rsid w:val="00951741"/>
    <w:rsid w:val="00955F9B"/>
    <w:rsid w:val="0095645B"/>
    <w:rsid w:val="009616A8"/>
    <w:rsid w:val="009619F2"/>
    <w:rsid w:val="00963CBA"/>
    <w:rsid w:val="009647D9"/>
    <w:rsid w:val="00965BB7"/>
    <w:rsid w:val="0096733F"/>
    <w:rsid w:val="009727E1"/>
    <w:rsid w:val="009748E0"/>
    <w:rsid w:val="009749CD"/>
    <w:rsid w:val="009749EA"/>
    <w:rsid w:val="00974A8D"/>
    <w:rsid w:val="00975AAB"/>
    <w:rsid w:val="0097645E"/>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170E"/>
    <w:rsid w:val="009C418B"/>
    <w:rsid w:val="009D1575"/>
    <w:rsid w:val="009D1BEF"/>
    <w:rsid w:val="009D3259"/>
    <w:rsid w:val="009D3AC0"/>
    <w:rsid w:val="009E0814"/>
    <w:rsid w:val="009E401E"/>
    <w:rsid w:val="009F25D3"/>
    <w:rsid w:val="009F2B82"/>
    <w:rsid w:val="009F3A17"/>
    <w:rsid w:val="009F4329"/>
    <w:rsid w:val="009F4AA8"/>
    <w:rsid w:val="009F5DAC"/>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C7DAA"/>
    <w:rsid w:val="00AD07CD"/>
    <w:rsid w:val="00AD3A50"/>
    <w:rsid w:val="00AD44F8"/>
    <w:rsid w:val="00AD701B"/>
    <w:rsid w:val="00AD7C47"/>
    <w:rsid w:val="00AE0162"/>
    <w:rsid w:val="00AE0565"/>
    <w:rsid w:val="00AE3D03"/>
    <w:rsid w:val="00AE52B5"/>
    <w:rsid w:val="00AF04A4"/>
    <w:rsid w:val="00AF0D0C"/>
    <w:rsid w:val="00AF2C25"/>
    <w:rsid w:val="00AF4A70"/>
    <w:rsid w:val="00AF4E86"/>
    <w:rsid w:val="00AF5976"/>
    <w:rsid w:val="00AF740A"/>
    <w:rsid w:val="00B0110F"/>
    <w:rsid w:val="00B0451C"/>
    <w:rsid w:val="00B0663F"/>
    <w:rsid w:val="00B109BD"/>
    <w:rsid w:val="00B10A66"/>
    <w:rsid w:val="00B12377"/>
    <w:rsid w:val="00B12EF7"/>
    <w:rsid w:val="00B16F5D"/>
    <w:rsid w:val="00B23B3C"/>
    <w:rsid w:val="00B263D6"/>
    <w:rsid w:val="00B26B6D"/>
    <w:rsid w:val="00B30179"/>
    <w:rsid w:val="00B30550"/>
    <w:rsid w:val="00B33696"/>
    <w:rsid w:val="00B33D93"/>
    <w:rsid w:val="00B33EC0"/>
    <w:rsid w:val="00B356B8"/>
    <w:rsid w:val="00B35B6B"/>
    <w:rsid w:val="00B35CB4"/>
    <w:rsid w:val="00B37624"/>
    <w:rsid w:val="00B37A59"/>
    <w:rsid w:val="00B438AD"/>
    <w:rsid w:val="00B44776"/>
    <w:rsid w:val="00B45CC5"/>
    <w:rsid w:val="00B50D1E"/>
    <w:rsid w:val="00B52A3E"/>
    <w:rsid w:val="00B55627"/>
    <w:rsid w:val="00B55F0B"/>
    <w:rsid w:val="00B56CD8"/>
    <w:rsid w:val="00B60BB9"/>
    <w:rsid w:val="00B6108E"/>
    <w:rsid w:val="00B65789"/>
    <w:rsid w:val="00B6691B"/>
    <w:rsid w:val="00B712CD"/>
    <w:rsid w:val="00B72447"/>
    <w:rsid w:val="00B73980"/>
    <w:rsid w:val="00B73E97"/>
    <w:rsid w:val="00B77650"/>
    <w:rsid w:val="00B77DD4"/>
    <w:rsid w:val="00B808DE"/>
    <w:rsid w:val="00B81E12"/>
    <w:rsid w:val="00B84F89"/>
    <w:rsid w:val="00B8571C"/>
    <w:rsid w:val="00B87468"/>
    <w:rsid w:val="00B879CC"/>
    <w:rsid w:val="00B91362"/>
    <w:rsid w:val="00B916AF"/>
    <w:rsid w:val="00B9329E"/>
    <w:rsid w:val="00B93300"/>
    <w:rsid w:val="00B97D02"/>
    <w:rsid w:val="00BA0EA4"/>
    <w:rsid w:val="00BA354E"/>
    <w:rsid w:val="00BA46E4"/>
    <w:rsid w:val="00BA51D2"/>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5749"/>
    <w:rsid w:val="00BE618E"/>
    <w:rsid w:val="00BF0594"/>
    <w:rsid w:val="00BF45E5"/>
    <w:rsid w:val="00BF5C71"/>
    <w:rsid w:val="00BF6291"/>
    <w:rsid w:val="00C04153"/>
    <w:rsid w:val="00C073B6"/>
    <w:rsid w:val="00C1186D"/>
    <w:rsid w:val="00C11909"/>
    <w:rsid w:val="00C1208C"/>
    <w:rsid w:val="00C12F7A"/>
    <w:rsid w:val="00C143B4"/>
    <w:rsid w:val="00C17699"/>
    <w:rsid w:val="00C21F49"/>
    <w:rsid w:val="00C27434"/>
    <w:rsid w:val="00C309A6"/>
    <w:rsid w:val="00C31B61"/>
    <w:rsid w:val="00C320BB"/>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A1D06"/>
    <w:rsid w:val="00CA3F9A"/>
    <w:rsid w:val="00CA4B0E"/>
    <w:rsid w:val="00CA5B67"/>
    <w:rsid w:val="00CA6F61"/>
    <w:rsid w:val="00CA7D03"/>
    <w:rsid w:val="00CC32B3"/>
    <w:rsid w:val="00CC4B70"/>
    <w:rsid w:val="00CD29E2"/>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15D8"/>
    <w:rsid w:val="00DF37FD"/>
    <w:rsid w:val="00DF6FDE"/>
    <w:rsid w:val="00E02C81"/>
    <w:rsid w:val="00E05851"/>
    <w:rsid w:val="00E05E6F"/>
    <w:rsid w:val="00E126AA"/>
    <w:rsid w:val="00E130AB"/>
    <w:rsid w:val="00E201CB"/>
    <w:rsid w:val="00E2103D"/>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A7ACA"/>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3F3321"/>
  <w15:docId w15:val="{4A4C284F-E0DF-4CD8-97EC-AD6EB196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 w:type="paragraph" w:customStyle="1" w:styleId="Default">
    <w:name w:val="Default"/>
    <w:rsid w:val="00297F3D"/>
    <w:pPr>
      <w:autoSpaceDE w:val="0"/>
      <w:autoSpaceDN w:val="0"/>
      <w:adjustRightInd w:val="0"/>
    </w:pPr>
    <w:rPr>
      <w:rFonts w:eastAsia="SimSu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460F-4586-430A-BFDC-F2D38152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730</Words>
  <Characters>3959</Characters>
  <Application>Microsoft Office Word</Application>
  <DocSecurity>0</DocSecurity>
  <Lines>79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2019-04-09T06:46:00Z</cp:lastPrinted>
  <dcterms:created xsi:type="dcterms:W3CDTF">2019-04-08T09:00:00Z</dcterms:created>
  <dcterms:modified xsi:type="dcterms:W3CDTF">2019-04-09T06:46:00Z</dcterms:modified>
</cp:coreProperties>
</file>