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46EA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46EAD" w:rsidP="00146EAD">
            <w:pPr>
              <w:jc w:val="right"/>
            </w:pPr>
            <w:r w:rsidRPr="00146EAD">
              <w:rPr>
                <w:sz w:val="40"/>
              </w:rPr>
              <w:t>ECE</w:t>
            </w:r>
            <w:r>
              <w:t>/TRANS/WP.29/GRVA/2018/11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46EAD" w:rsidP="00C97039">
            <w:pPr>
              <w:spacing w:before="240"/>
            </w:pPr>
            <w:r>
              <w:t>Distr. générale</w:t>
            </w:r>
          </w:p>
          <w:p w:rsidR="00146EAD" w:rsidRDefault="00146EAD" w:rsidP="00146EAD">
            <w:pPr>
              <w:spacing w:line="240" w:lineRule="exact"/>
            </w:pPr>
            <w:r>
              <w:t>17 juillet 2018</w:t>
            </w:r>
          </w:p>
          <w:p w:rsidR="00146EAD" w:rsidRDefault="00146EAD" w:rsidP="00146EAD">
            <w:pPr>
              <w:spacing w:line="240" w:lineRule="exact"/>
            </w:pPr>
            <w:r>
              <w:t>Français</w:t>
            </w:r>
          </w:p>
          <w:p w:rsidR="00146EAD" w:rsidRPr="00DB58B5" w:rsidRDefault="00146EAD" w:rsidP="00146EAD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46EAD" w:rsidRDefault="00146EA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46EAD" w:rsidRPr="00C21697" w:rsidRDefault="00146EAD" w:rsidP="00146EAD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>
        <w:rPr>
          <w:rFonts w:eastAsia="Times New Roman"/>
          <w:b/>
          <w:bCs/>
          <w:lang w:val="fr-FR"/>
        </w:rPr>
        <w:t xml:space="preserve">Groupe de travail des véhicules automatisés/autonomes </w:t>
      </w:r>
      <w:r w:rsidR="00AF0185">
        <w:rPr>
          <w:rFonts w:eastAsia="Times New Roman"/>
          <w:b/>
          <w:bCs/>
          <w:lang w:val="fr-FR"/>
        </w:rPr>
        <w:br/>
      </w:r>
      <w:r>
        <w:rPr>
          <w:rFonts w:eastAsia="Times New Roman"/>
          <w:b/>
          <w:bCs/>
          <w:lang w:val="fr-FR"/>
        </w:rPr>
        <w:t>et connectés</w:t>
      </w:r>
      <w:r w:rsidRPr="00146EAD">
        <w:rPr>
          <w:rStyle w:val="FootnoteReference"/>
          <w:rFonts w:eastAsia="Times New Roman"/>
          <w:bCs/>
          <w:sz w:val="20"/>
          <w:vertAlign w:val="baseline"/>
        </w:rPr>
        <w:footnoteReference w:customMarkFollows="1" w:id="2"/>
        <w:t>*</w:t>
      </w:r>
    </w:p>
    <w:p w:rsidR="00146EAD" w:rsidRPr="00EA37B6" w:rsidRDefault="00146EAD" w:rsidP="00146EAD">
      <w:pPr>
        <w:kinsoku/>
        <w:overflowPunct/>
        <w:autoSpaceDE/>
        <w:autoSpaceDN/>
        <w:adjustRightInd/>
        <w:snapToGrid/>
        <w:spacing w:before="120"/>
        <w:rPr>
          <w:b/>
        </w:rPr>
      </w:pPr>
      <w:r w:rsidRPr="00EA37B6">
        <w:rPr>
          <w:b/>
        </w:rPr>
        <w:t>Première session</w:t>
      </w:r>
    </w:p>
    <w:p w:rsidR="00146EAD" w:rsidRPr="00C21697" w:rsidRDefault="00146EAD" w:rsidP="00146EAD">
      <w:pPr>
        <w:kinsoku/>
        <w:overflowPunct/>
        <w:autoSpaceDE/>
        <w:autoSpaceDN/>
        <w:adjustRightInd/>
        <w:snapToGrid/>
        <w:rPr>
          <w:rFonts w:eastAsia="Times New Roman"/>
        </w:rPr>
      </w:pPr>
      <w:r w:rsidRPr="00B61F49">
        <w:rPr>
          <w:rFonts w:eastAsia="Times New Roman"/>
        </w:rPr>
        <w:t>Genève</w:t>
      </w:r>
      <w:r w:rsidRPr="00C21697">
        <w:rPr>
          <w:rFonts w:eastAsia="Times New Roman"/>
        </w:rPr>
        <w:t xml:space="preserve">, </w:t>
      </w:r>
      <w:r w:rsidRPr="00B61F49">
        <w:rPr>
          <w:rFonts w:eastAsia="Times New Roman"/>
        </w:rPr>
        <w:t>25</w:t>
      </w:r>
      <w:r>
        <w:rPr>
          <w:rFonts w:eastAsia="Times New Roman"/>
        </w:rPr>
        <w:t>-</w:t>
      </w:r>
      <w:r w:rsidRPr="00C21697">
        <w:rPr>
          <w:rFonts w:eastAsia="Times New Roman"/>
        </w:rPr>
        <w:t>28</w:t>
      </w:r>
      <w:r>
        <w:rPr>
          <w:rFonts w:eastAsia="Times New Roman"/>
        </w:rPr>
        <w:t> septembre</w:t>
      </w:r>
      <w:r w:rsidRPr="00C21697">
        <w:rPr>
          <w:rFonts w:eastAsia="Times New Roman"/>
        </w:rPr>
        <w:t xml:space="preserve"> 2018</w:t>
      </w:r>
    </w:p>
    <w:p w:rsidR="00146EAD" w:rsidRPr="00C21697" w:rsidRDefault="00146EAD" w:rsidP="00146EAD">
      <w:pPr>
        <w:kinsoku/>
        <w:overflowPunct/>
        <w:autoSpaceDE/>
        <w:autoSpaceDN/>
        <w:adjustRightInd/>
        <w:snapToGrid/>
        <w:rPr>
          <w:rFonts w:eastAsia="Times New Roman"/>
        </w:rPr>
      </w:pPr>
      <w:bookmarkStart w:id="1" w:name="OLE_LINK2"/>
      <w:r w:rsidRPr="00B61F49">
        <w:rPr>
          <w:rFonts w:eastAsia="Times New Roman"/>
        </w:rPr>
        <w:t xml:space="preserve">Point 14 </w:t>
      </w:r>
      <w:r w:rsidRPr="00C21697">
        <w:rPr>
          <w:rFonts w:eastAsia="Times New Roman"/>
        </w:rPr>
        <w:t>b)</w:t>
      </w:r>
      <w:r w:rsidRPr="00B61F49">
        <w:rPr>
          <w:rFonts w:eastAsia="Times New Roman"/>
        </w:rPr>
        <w:t xml:space="preserve"> de l’ordre du jour provisoire</w:t>
      </w:r>
    </w:p>
    <w:p w:rsidR="00146EAD" w:rsidRPr="007A2F6A" w:rsidRDefault="00146EAD" w:rsidP="00146EAD">
      <w:pPr>
        <w:kinsoku/>
        <w:overflowPunct/>
        <w:autoSpaceDE/>
        <w:autoSpaceDN/>
        <w:adjustRightInd/>
        <w:snapToGrid/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bCs/>
          <w:lang w:val="fr-FR"/>
        </w:rPr>
        <w:t xml:space="preserve">Activités restantes de </w:t>
      </w:r>
      <w:r w:rsidRPr="007A2F6A">
        <w:rPr>
          <w:rFonts w:eastAsia="Times New Roman"/>
          <w:b/>
          <w:bCs/>
          <w:lang w:val="fr-FR"/>
        </w:rPr>
        <w:t>l’ancien Groupe de travail</w:t>
      </w:r>
      <w:r>
        <w:rPr>
          <w:rFonts w:eastAsia="Times New Roman"/>
          <w:b/>
          <w:bCs/>
          <w:lang w:val="fr-FR"/>
        </w:rPr>
        <w:t xml:space="preserve"> </w:t>
      </w:r>
      <w:r w:rsidRPr="007A2F6A">
        <w:rPr>
          <w:rFonts w:eastAsia="Times New Roman"/>
          <w:b/>
          <w:bCs/>
          <w:lang w:val="fr-FR"/>
        </w:rPr>
        <w:t xml:space="preserve">en matière de </w:t>
      </w:r>
      <w:r w:rsidR="00D41BC0">
        <w:rPr>
          <w:rFonts w:eastAsia="Times New Roman"/>
          <w:b/>
          <w:bCs/>
          <w:lang w:val="fr-FR"/>
        </w:rPr>
        <w:br/>
      </w:r>
      <w:r w:rsidRPr="007A2F6A">
        <w:rPr>
          <w:rFonts w:eastAsia="Times New Roman"/>
          <w:b/>
          <w:bCs/>
          <w:lang w:val="fr-FR"/>
        </w:rPr>
        <w:t>roulement et de freinage (période de</w:t>
      </w:r>
      <w:r>
        <w:rPr>
          <w:rFonts w:eastAsia="Times New Roman"/>
          <w:b/>
          <w:bCs/>
          <w:lang w:val="fr-FR"/>
        </w:rPr>
        <w:t xml:space="preserve"> transfert de responsabilités</w:t>
      </w:r>
      <w:r w:rsidRPr="007A2F6A">
        <w:rPr>
          <w:rFonts w:eastAsia="Times New Roman"/>
          <w:b/>
          <w:bCs/>
          <w:lang w:val="fr-FR"/>
        </w:rPr>
        <w:t>) :</w:t>
      </w:r>
    </w:p>
    <w:p w:rsidR="00146EAD" w:rsidRPr="008E2666" w:rsidRDefault="00146EAD" w:rsidP="00146EAD">
      <w:pPr>
        <w:kinsoku/>
        <w:overflowPunct/>
        <w:autoSpaceDE/>
        <w:autoSpaceDN/>
        <w:adjustRightInd/>
        <w:snapToGrid/>
        <w:rPr>
          <w:rFonts w:eastAsia="Times New Roman"/>
          <w:b/>
          <w:bCs/>
          <w:lang w:val="fr-FR"/>
        </w:rPr>
      </w:pPr>
      <w:r w:rsidRPr="007A2F6A">
        <w:rPr>
          <w:rFonts w:eastAsia="Times New Roman"/>
          <w:b/>
          <w:bCs/>
          <w:lang w:val="fr-FR"/>
        </w:rPr>
        <w:t>Pièces mécaniques d’attelage</w:t>
      </w:r>
    </w:p>
    <w:p w:rsidR="00146EAD" w:rsidRPr="00C21697" w:rsidRDefault="00146EAD" w:rsidP="00146EAD">
      <w:pPr>
        <w:pStyle w:val="HChG"/>
        <w:rPr>
          <w:lang w:val="fr-FR"/>
        </w:rPr>
      </w:pPr>
      <w:r w:rsidRPr="00C21697">
        <w:rPr>
          <w:lang w:val="fr-FR"/>
        </w:rPr>
        <w:tab/>
      </w:r>
      <w:r w:rsidRPr="00C21697">
        <w:rPr>
          <w:lang w:val="fr-FR"/>
        </w:rPr>
        <w:tab/>
      </w:r>
      <w:bookmarkEnd w:id="1"/>
      <w:r w:rsidRPr="004D740E">
        <w:rPr>
          <w:lang w:val="fr-FR"/>
        </w:rPr>
        <w:t xml:space="preserve">Proposition de </w:t>
      </w:r>
      <w:r>
        <w:rPr>
          <w:lang w:val="fr-FR"/>
        </w:rPr>
        <w:t>complé</w:t>
      </w:r>
      <w:r w:rsidRPr="004D740E">
        <w:rPr>
          <w:lang w:val="fr-FR"/>
        </w:rPr>
        <w:t xml:space="preserve">ment </w:t>
      </w:r>
      <w:r>
        <w:rPr>
          <w:lang w:val="fr-FR"/>
        </w:rPr>
        <w:t>à la série </w:t>
      </w:r>
      <w:r w:rsidRPr="004D740E">
        <w:rPr>
          <w:lang w:val="fr-FR"/>
        </w:rPr>
        <w:t>01 d’amendements</w:t>
      </w:r>
      <w:r>
        <w:rPr>
          <w:lang w:val="fr-FR"/>
        </w:rPr>
        <w:t xml:space="preserve"> </w:t>
      </w:r>
      <w:r>
        <w:rPr>
          <w:lang w:val="fr-FR"/>
        </w:rPr>
        <w:br/>
        <w:t>au Règlement ONU No </w:t>
      </w:r>
      <w:r w:rsidRPr="004D740E">
        <w:rPr>
          <w:lang w:val="fr-FR"/>
        </w:rPr>
        <w:t>55</w:t>
      </w:r>
      <w:r>
        <w:rPr>
          <w:lang w:val="fr-FR"/>
        </w:rPr>
        <w:t xml:space="preserve"> (Pièces mécaniques d’attelage)</w:t>
      </w:r>
    </w:p>
    <w:p w:rsidR="00146EAD" w:rsidRPr="00C21697" w:rsidRDefault="00146EAD" w:rsidP="00146EAD">
      <w:pPr>
        <w:pStyle w:val="H1G"/>
        <w:rPr>
          <w:szCs w:val="24"/>
        </w:rPr>
      </w:pPr>
      <w:r w:rsidRPr="00C21697">
        <w:rPr>
          <w:lang w:val="fr-FR"/>
        </w:rPr>
        <w:tab/>
      </w:r>
      <w:r w:rsidRPr="00C21697">
        <w:rPr>
          <w:lang w:val="fr-FR"/>
        </w:rPr>
        <w:tab/>
      </w:r>
      <w:r>
        <w:rPr>
          <w:lang w:val="fr-FR"/>
        </w:rPr>
        <w:t>Communication de l’expert de la Pologne</w:t>
      </w:r>
      <w:r w:rsidRPr="00146EAD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146EAD" w:rsidRDefault="00146EAD" w:rsidP="00146EAD">
      <w:pPr>
        <w:pStyle w:val="SingleTxtG"/>
        <w:ind w:firstLine="567"/>
      </w:pPr>
      <w:r w:rsidRPr="00321758">
        <w:t>Le texte ci-après, établi par l’expert de la Pologne, vise à proposer</w:t>
      </w:r>
      <w:r>
        <w:t xml:space="preserve"> une </w:t>
      </w:r>
      <w:r w:rsidRPr="00321758">
        <w:t>modification d’ord</w:t>
      </w:r>
      <w:r>
        <w:t xml:space="preserve">re rédactionnel au Règlement ONU No 55. </w:t>
      </w:r>
      <w:r w:rsidRPr="00C52996">
        <w:t xml:space="preserve">La proposition est basée sur le document informel </w:t>
      </w:r>
      <w:r w:rsidRPr="00C21697">
        <w:t>GRRF-86-34</w:t>
      </w:r>
      <w:r w:rsidRPr="00C52996">
        <w:t>, qui clarifie le texte du Règlement.</w:t>
      </w:r>
      <w:r>
        <w:t xml:space="preserve"> Les modifications qu’il est proposé d’apporter au texte actuel du Règlement apparaissent en caractères gras pour les ajouts ou biffés pour les retraits.</w:t>
      </w:r>
    </w:p>
    <w:p w:rsidR="00146EAD" w:rsidRPr="00146EAD" w:rsidRDefault="00146EAD" w:rsidP="00146EAD">
      <w:pPr>
        <w:pStyle w:val="HChG"/>
      </w:pPr>
      <w:r>
        <w:br w:type="page"/>
      </w:r>
      <w:r w:rsidRPr="00146EAD">
        <w:lastRenderedPageBreak/>
        <w:tab/>
        <w:t>I.</w:t>
      </w:r>
      <w:r w:rsidRPr="00146EAD">
        <w:tab/>
        <w:t>Proposition</w:t>
      </w:r>
    </w:p>
    <w:p w:rsidR="00146EAD" w:rsidRPr="00C21697" w:rsidRDefault="00146EAD" w:rsidP="00732AE6">
      <w:pPr>
        <w:pStyle w:val="SingleTxtG"/>
        <w:rPr>
          <w:lang w:val="fr-FR"/>
        </w:rPr>
      </w:pPr>
      <w:bookmarkStart w:id="2" w:name="_Hlk517881726"/>
      <w:r w:rsidRPr="00732AE6">
        <w:rPr>
          <w:i/>
          <w:lang w:val="fr-FR"/>
        </w:rPr>
        <w:t>Annexe 1</w:t>
      </w:r>
      <w:r w:rsidR="00732AE6">
        <w:rPr>
          <w:lang w:val="fr-FR"/>
        </w:rPr>
        <w:t>,</w:t>
      </w:r>
    </w:p>
    <w:p w:rsidR="00146EAD" w:rsidRPr="00C21697" w:rsidRDefault="00146EAD" w:rsidP="00732AE6">
      <w:pPr>
        <w:pStyle w:val="SingleTxtG"/>
        <w:rPr>
          <w:i/>
          <w:lang w:val="fr-FR"/>
        </w:rPr>
      </w:pPr>
      <w:r>
        <w:rPr>
          <w:i/>
          <w:lang w:val="fr-FR"/>
        </w:rPr>
        <w:t>Point </w:t>
      </w:r>
      <w:r w:rsidRPr="00237082">
        <w:rPr>
          <w:i/>
          <w:lang w:val="fr-FR"/>
        </w:rPr>
        <w:t>9.3</w:t>
      </w:r>
      <w:r w:rsidRPr="00732AE6">
        <w:rPr>
          <w:lang w:val="fr-FR"/>
        </w:rPr>
        <w:t>,</w:t>
      </w:r>
      <w:r w:rsidRPr="00C21697">
        <w:rPr>
          <w:i/>
          <w:lang w:val="fr-FR"/>
        </w:rPr>
        <w:t xml:space="preserve"> </w:t>
      </w:r>
      <w:r w:rsidRPr="00237082">
        <w:rPr>
          <w:lang w:val="fr-FR"/>
        </w:rPr>
        <w:t>modifier comme suit</w:t>
      </w:r>
      <w:r>
        <w:rPr>
          <w:lang w:val="fr-FR"/>
        </w:rPr>
        <w:t> :</w:t>
      </w:r>
    </w:p>
    <w:p w:rsidR="00146EAD" w:rsidRPr="00C21697" w:rsidRDefault="00146EAD" w:rsidP="00732AE6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Pr="00C21697">
        <w:rPr>
          <w:lang w:val="fr-FR"/>
        </w:rPr>
        <w:t>9.3</w:t>
      </w:r>
      <w:r w:rsidRPr="00C21697">
        <w:rPr>
          <w:lang w:val="fr-FR"/>
        </w:rPr>
        <w:tab/>
      </w:r>
      <w:r w:rsidRPr="00237082">
        <w:rPr>
          <w:lang w:val="fr-FR"/>
        </w:rPr>
        <w:t>Pour les dispositifs et les pièces méc</w:t>
      </w:r>
      <w:r w:rsidR="00732AE6">
        <w:rPr>
          <w:lang w:val="fr-FR"/>
        </w:rPr>
        <w:t xml:space="preserve">aniques d’attelage de la classe </w:t>
      </w:r>
      <w:r w:rsidRPr="00237082">
        <w:rPr>
          <w:lang w:val="fr-FR"/>
        </w:rPr>
        <w:t>A, y</w:t>
      </w:r>
      <w:r>
        <w:rPr>
          <w:lang w:val="fr-FR"/>
        </w:rPr>
        <w:t> </w:t>
      </w:r>
      <w:r w:rsidRPr="00237082">
        <w:rPr>
          <w:lang w:val="fr-FR"/>
        </w:rPr>
        <w:t>compris les barres d’attelage</w:t>
      </w:r>
      <w:r w:rsidRPr="00D96D0B">
        <w:rPr>
          <w:b/>
          <w:lang w:val="fr-FR"/>
        </w:rPr>
        <w:t xml:space="preserve">, </w:t>
      </w:r>
      <w:r w:rsidRPr="00237082">
        <w:rPr>
          <w:b/>
          <w:lang w:val="fr-FR"/>
        </w:rPr>
        <w:t>le cas échéant</w:t>
      </w:r>
      <w:r>
        <w:rPr>
          <w:lang w:val="fr-FR"/>
        </w:rPr>
        <w:t> </w:t>
      </w:r>
      <w:r w:rsidRPr="00237082">
        <w:rPr>
          <w:lang w:val="fr-FR"/>
        </w:rPr>
        <w:t>:</w:t>
      </w:r>
    </w:p>
    <w:p w:rsidR="00146EAD" w:rsidRPr="00146EAD" w:rsidRDefault="00146EAD" w:rsidP="00146EAD">
      <w:pPr>
        <w:kinsoku/>
        <w:overflowPunct/>
        <w:autoSpaceDE/>
        <w:autoSpaceDN/>
        <w:adjustRightInd/>
        <w:snapToGrid/>
        <w:spacing w:after="120" w:line="240" w:lineRule="auto"/>
        <w:ind w:left="2268" w:right="1134"/>
        <w:jc w:val="both"/>
        <w:rPr>
          <w:rFonts w:eastAsia="Times New Roman"/>
        </w:rPr>
      </w:pPr>
      <w:r w:rsidRPr="00C21697">
        <w:rPr>
          <w:rFonts w:eastAsia="Times New Roman"/>
          <w:lang w:val="fr-FR"/>
        </w:rPr>
        <w:tab/>
      </w:r>
      <w:r w:rsidRPr="00146EAD">
        <w:rPr>
          <w:rFonts w:eastAsia="Times New Roman"/>
        </w:rPr>
        <w:t>…</w:t>
      </w:r>
      <w:r>
        <w:rPr>
          <w:rFonts w:eastAsia="Times New Roman"/>
          <w:lang w:val="fr-FR"/>
        </w:rPr>
        <w:t> </w:t>
      </w:r>
      <w:r w:rsidRPr="00E51576">
        <w:rPr>
          <w:rFonts w:eastAsia="Times New Roman"/>
          <w:lang w:val="fr-FR"/>
        </w:rPr>
        <w:t>»</w:t>
      </w:r>
      <w:r>
        <w:rPr>
          <w:rFonts w:eastAsia="Times New Roman"/>
          <w:lang w:val="fr-FR"/>
        </w:rPr>
        <w:t>.</w:t>
      </w:r>
    </w:p>
    <w:bookmarkEnd w:id="2"/>
    <w:p w:rsidR="00146EAD" w:rsidRPr="00146EAD" w:rsidRDefault="00146EAD" w:rsidP="00732AE6">
      <w:pPr>
        <w:pStyle w:val="HChG"/>
      </w:pPr>
      <w:r w:rsidRPr="00146EAD">
        <w:tab/>
        <w:t>II.</w:t>
      </w:r>
      <w:r w:rsidRPr="00146EAD">
        <w:tab/>
        <w:t>Justification</w:t>
      </w:r>
    </w:p>
    <w:p w:rsidR="00146EAD" w:rsidRPr="00CB2E39" w:rsidRDefault="00146EAD" w:rsidP="00732AE6">
      <w:pPr>
        <w:pStyle w:val="SingleTxtG"/>
      </w:pPr>
      <w:r w:rsidRPr="00C21697">
        <w:t>1.</w:t>
      </w:r>
      <w:r w:rsidRPr="00C21697">
        <w:tab/>
      </w:r>
      <w:r w:rsidRPr="0062335E">
        <w:t xml:space="preserve">Le Règlement </w:t>
      </w:r>
      <w:r>
        <w:t>prescrit</w:t>
      </w:r>
      <w:r w:rsidRPr="0062335E">
        <w:t xml:space="preserve"> de </w:t>
      </w:r>
      <w:r>
        <w:t>remplir</w:t>
      </w:r>
      <w:r w:rsidRPr="0062335E">
        <w:t xml:space="preserve"> le </w:t>
      </w:r>
      <w:r w:rsidR="00732AE6">
        <w:t xml:space="preserve">point </w:t>
      </w:r>
      <w:r w:rsidRPr="0062335E">
        <w:t>9.</w:t>
      </w:r>
      <w:r>
        <w:t>3 pour homologuer des</w:t>
      </w:r>
      <w:r w:rsidRPr="0062335E">
        <w:t xml:space="preserve"> dispositifs et </w:t>
      </w:r>
      <w:r>
        <w:t>d</w:t>
      </w:r>
      <w:r w:rsidRPr="0062335E">
        <w:t>es pièces mécaniques d’attelage de la classe</w:t>
      </w:r>
      <w:r>
        <w:t> </w:t>
      </w:r>
      <w:r w:rsidRPr="0062335E">
        <w:t>A.</w:t>
      </w:r>
      <w:r>
        <w:t xml:space="preserve"> Seulement, certaines pièces, comme les boules d’attelage, ne sont pas réservées à un véhicule en particulier. Il ne semble pas pertinent de remplir le point</w:t>
      </w:r>
      <w:r w:rsidR="00732AE6">
        <w:t xml:space="preserve"> </w:t>
      </w:r>
      <w:r>
        <w:t>9.3 dans le cadre de leur homologation, puisqu’une boule d’attelage homologuée doit être considérée de façon universelle et peut être utilisée sur différents véhicules.</w:t>
      </w:r>
    </w:p>
    <w:p w:rsidR="00F9573C" w:rsidRDefault="00146EAD" w:rsidP="00732AE6">
      <w:pPr>
        <w:pStyle w:val="SingleTxtG"/>
      </w:pPr>
      <w:r w:rsidRPr="00C21697">
        <w:t>2.</w:t>
      </w:r>
      <w:r w:rsidRPr="00C21697">
        <w:tab/>
      </w:r>
      <w:r>
        <w:t>La présente</w:t>
      </w:r>
      <w:r w:rsidRPr="00E61274">
        <w:t xml:space="preserve"> proposition suggère que le point 9.3 ne soit </w:t>
      </w:r>
      <w:r>
        <w:t>rempli</w:t>
      </w:r>
      <w:r w:rsidRPr="00E61274">
        <w:t xml:space="preserve"> qu’en cas d’homol</w:t>
      </w:r>
      <w:r>
        <w:t>o</w:t>
      </w:r>
      <w:r w:rsidRPr="00E61274">
        <w:t xml:space="preserve">gation d’un </w:t>
      </w:r>
      <w:r>
        <w:t>dispositif</w:t>
      </w:r>
      <w:r w:rsidRPr="00E61274">
        <w:t xml:space="preserve"> méc</w:t>
      </w:r>
      <w:r>
        <w:t>anique</w:t>
      </w:r>
      <w:r w:rsidRPr="00E61274">
        <w:t xml:space="preserve"> d’attelage </w:t>
      </w:r>
      <w:r>
        <w:t>entier</w:t>
      </w:r>
      <w:r w:rsidRPr="00E61274">
        <w:t>.</w:t>
      </w:r>
      <w:r>
        <w:t xml:space="preserve"> Il est donc proposé que la phrase soit modifiée en ajoutant « , le cas échéant ».</w:t>
      </w:r>
    </w:p>
    <w:p w:rsidR="00146EAD" w:rsidRPr="00146EAD" w:rsidRDefault="00146EAD" w:rsidP="00146E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46EAD" w:rsidRPr="00146EAD" w:rsidSect="00146EA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C9" w:rsidRDefault="00894EC9" w:rsidP="00F95C08">
      <w:pPr>
        <w:spacing w:line="240" w:lineRule="auto"/>
      </w:pPr>
    </w:p>
  </w:endnote>
  <w:endnote w:type="continuationSeparator" w:id="0">
    <w:p w:rsidR="00894EC9" w:rsidRPr="00AC3823" w:rsidRDefault="00894EC9" w:rsidP="00AC3823">
      <w:pPr>
        <w:pStyle w:val="Footer"/>
      </w:pPr>
    </w:p>
  </w:endnote>
  <w:endnote w:type="continuationNotice" w:id="1">
    <w:p w:rsidR="00894EC9" w:rsidRDefault="00894E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EAD" w:rsidRPr="00146EAD" w:rsidRDefault="00146EAD" w:rsidP="00146EAD">
    <w:pPr>
      <w:pStyle w:val="Footer"/>
      <w:tabs>
        <w:tab w:val="right" w:pos="9638"/>
      </w:tabs>
    </w:pPr>
    <w:r w:rsidRPr="00146EAD">
      <w:rPr>
        <w:b/>
        <w:sz w:val="18"/>
      </w:rPr>
      <w:fldChar w:fldCharType="begin"/>
    </w:r>
    <w:r w:rsidRPr="00146EAD">
      <w:rPr>
        <w:b/>
        <w:sz w:val="18"/>
      </w:rPr>
      <w:instrText xml:space="preserve"> PAGE  \* MERGEFORMAT </w:instrText>
    </w:r>
    <w:r w:rsidRPr="00146EAD">
      <w:rPr>
        <w:b/>
        <w:sz w:val="18"/>
      </w:rPr>
      <w:fldChar w:fldCharType="separate"/>
    </w:r>
    <w:r w:rsidR="00F33DA7">
      <w:rPr>
        <w:b/>
        <w:noProof/>
        <w:sz w:val="18"/>
      </w:rPr>
      <w:t>2</w:t>
    </w:r>
    <w:r w:rsidRPr="00146EAD">
      <w:rPr>
        <w:b/>
        <w:sz w:val="18"/>
      </w:rPr>
      <w:fldChar w:fldCharType="end"/>
    </w:r>
    <w:r>
      <w:rPr>
        <w:b/>
        <w:sz w:val="18"/>
      </w:rPr>
      <w:tab/>
    </w:r>
    <w:r>
      <w:t>GE.18-11816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EAD" w:rsidRPr="00146EAD" w:rsidRDefault="00146EAD" w:rsidP="00146EAD">
    <w:pPr>
      <w:pStyle w:val="Footer"/>
      <w:tabs>
        <w:tab w:val="right" w:pos="9638"/>
      </w:tabs>
      <w:rPr>
        <w:b/>
        <w:sz w:val="18"/>
      </w:rPr>
    </w:pPr>
    <w:r>
      <w:t>GE.18-11816</w:t>
    </w:r>
    <w:r>
      <w:tab/>
    </w:r>
    <w:r w:rsidRPr="00146EAD">
      <w:rPr>
        <w:b/>
        <w:sz w:val="18"/>
      </w:rPr>
      <w:fldChar w:fldCharType="begin"/>
    </w:r>
    <w:r w:rsidRPr="00146EAD">
      <w:rPr>
        <w:b/>
        <w:sz w:val="18"/>
      </w:rPr>
      <w:instrText xml:space="preserve"> PAGE  \* MERGEFORMAT </w:instrText>
    </w:r>
    <w:r w:rsidRPr="00146EAD">
      <w:rPr>
        <w:b/>
        <w:sz w:val="18"/>
      </w:rPr>
      <w:fldChar w:fldCharType="separate"/>
    </w:r>
    <w:r w:rsidR="009304EB">
      <w:rPr>
        <w:b/>
        <w:noProof/>
        <w:sz w:val="18"/>
      </w:rPr>
      <w:t>2</w:t>
    </w:r>
    <w:r w:rsidRPr="00146E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46EAD" w:rsidRDefault="00146EAD" w:rsidP="00146EA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18-11816  (F)    300718    090818</w:t>
    </w:r>
    <w:r>
      <w:rPr>
        <w:sz w:val="20"/>
      </w:rPr>
      <w:br/>
    </w:r>
    <w:r w:rsidRPr="00146EAD">
      <w:rPr>
        <w:rFonts w:ascii="C39T30Lfz" w:hAnsi="C39T30Lfz"/>
        <w:sz w:val="56"/>
      </w:rPr>
      <w:t></w:t>
    </w:r>
    <w:r w:rsidRPr="00146EAD">
      <w:rPr>
        <w:rFonts w:ascii="C39T30Lfz" w:hAnsi="C39T30Lfz"/>
        <w:sz w:val="56"/>
      </w:rPr>
      <w:t></w:t>
    </w:r>
    <w:r w:rsidRPr="00146EAD">
      <w:rPr>
        <w:rFonts w:ascii="C39T30Lfz" w:hAnsi="C39T30Lfz"/>
        <w:sz w:val="56"/>
      </w:rPr>
      <w:t></w:t>
    </w:r>
    <w:r w:rsidRPr="00146EAD">
      <w:rPr>
        <w:rFonts w:ascii="C39T30Lfz" w:hAnsi="C39T30Lfz"/>
        <w:sz w:val="56"/>
      </w:rPr>
      <w:t></w:t>
    </w:r>
    <w:r w:rsidRPr="00146EAD">
      <w:rPr>
        <w:rFonts w:ascii="C39T30Lfz" w:hAnsi="C39T30Lfz"/>
        <w:sz w:val="56"/>
      </w:rPr>
      <w:t></w:t>
    </w:r>
    <w:r w:rsidRPr="00146EAD">
      <w:rPr>
        <w:rFonts w:ascii="C39T30Lfz" w:hAnsi="C39T30Lfz"/>
        <w:sz w:val="56"/>
      </w:rPr>
      <w:t></w:t>
    </w:r>
    <w:r w:rsidRPr="00146EAD">
      <w:rPr>
        <w:rFonts w:ascii="C39T30Lfz" w:hAnsi="C39T30Lfz"/>
        <w:sz w:val="56"/>
      </w:rPr>
      <w:t></w:t>
    </w:r>
    <w:r w:rsidRPr="00146EAD">
      <w:rPr>
        <w:rFonts w:ascii="C39T30Lfz" w:hAnsi="C39T30Lfz"/>
        <w:sz w:val="56"/>
      </w:rPr>
      <w:t></w:t>
    </w:r>
    <w:r w:rsidRPr="00146EA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VA/2018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C9" w:rsidRPr="00AC3823" w:rsidRDefault="00894EC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4EC9" w:rsidRPr="00AC3823" w:rsidRDefault="00894EC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94EC9" w:rsidRPr="00AC3823" w:rsidRDefault="00894EC9">
      <w:pPr>
        <w:spacing w:line="240" w:lineRule="auto"/>
        <w:rPr>
          <w:sz w:val="2"/>
          <w:szCs w:val="2"/>
        </w:rPr>
      </w:pPr>
    </w:p>
  </w:footnote>
  <w:footnote w:id="2">
    <w:p w:rsidR="00146EAD" w:rsidRPr="00146EAD" w:rsidRDefault="00146EAD">
      <w:pPr>
        <w:pStyle w:val="FootnoteText"/>
      </w:pPr>
      <w:r>
        <w:rPr>
          <w:rStyle w:val="FootnoteReference"/>
        </w:rPr>
        <w:tab/>
      </w:r>
      <w:r w:rsidRPr="00146EAD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61F49">
        <w:rPr>
          <w:lang w:val="fr-FR"/>
        </w:rPr>
        <w:t>Anciennement</w:t>
      </w:r>
      <w:r>
        <w:rPr>
          <w:lang w:val="fr-FR"/>
        </w:rPr>
        <w:t>,</w:t>
      </w:r>
      <w:r w:rsidRPr="00B61F49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B61F49">
        <w:rPr>
          <w:b/>
          <w:lang w:val="fr-FR"/>
        </w:rPr>
        <w:t>Groupe de travail en matière de roulement et de freinage</w:t>
      </w:r>
      <w:r w:rsidRPr="00B61F49">
        <w:rPr>
          <w:b/>
          <w:bCs/>
          <w:lang w:val="fr-FR"/>
        </w:rPr>
        <w:t xml:space="preserve"> (GRRF)</w:t>
      </w:r>
      <w:r w:rsidRPr="00B61F49">
        <w:rPr>
          <w:lang w:val="fr-FR"/>
        </w:rPr>
        <w:t>.</w:t>
      </w:r>
    </w:p>
  </w:footnote>
  <w:footnote w:id="3">
    <w:p w:rsidR="00146EAD" w:rsidRPr="00146EAD" w:rsidRDefault="00146EAD">
      <w:pPr>
        <w:pStyle w:val="FootnoteText"/>
      </w:pPr>
      <w:r>
        <w:rPr>
          <w:rStyle w:val="FootnoteReference"/>
        </w:rPr>
        <w:tab/>
      </w:r>
      <w:r w:rsidRPr="00146EAD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7B0DF3">
        <w:t>Conformément au rapport ECE/TRANS/274, par. 52, au rapport ECE/TRANS/WP.29/1139, par</w:t>
      </w:r>
      <w:r>
        <w:t>. </w:t>
      </w:r>
      <w:r w:rsidRPr="007B0DF3">
        <w:t xml:space="preserve">33 et au programme de travail du Comité des transports intérieurs pour la période 2014-2018 </w:t>
      </w:r>
      <w:r>
        <w:t>(ECE/TRANS/240, par</w:t>
      </w:r>
      <w:r w:rsidRPr="007B0DF3">
        <w:t>.</w:t>
      </w:r>
      <w:r>
        <w:t> </w:t>
      </w:r>
      <w:r w:rsidRPr="007B0DF3">
        <w:t>105</w:t>
      </w:r>
      <w:r w:rsidR="009304EB">
        <w:t>,</w:t>
      </w:r>
      <w:r w:rsidRPr="007B0DF3">
        <w:t xml:space="preserve"> </w:t>
      </w:r>
      <w:r>
        <w:t>et</w:t>
      </w:r>
      <w:r w:rsidRPr="007B0DF3">
        <w:t xml:space="preserve"> ECE/TRANS/2014/26, </w:t>
      </w:r>
      <w:r>
        <w:t>activité 02.4)</w:t>
      </w:r>
      <w:r w:rsidRPr="007B0DF3">
        <w:t>,</w:t>
      </w:r>
      <w:r>
        <w:t xml:space="preserve"> le Forum mondial a pour mission d’élaborer, d’harmoniser et de mettre à jour les Règlements en vue d’améliorer les caractéristiques fonctionnelles des véhicules. Le présent document est soumis dans le cadre de ce</w:t>
      </w:r>
      <w:r w:rsidR="009304EB">
        <w:t> </w:t>
      </w:r>
      <w:r>
        <w:t>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EAD" w:rsidRPr="00146EAD" w:rsidRDefault="00283F1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304EB">
      <w:t>ECE/TRANS/WP.29/GRVA/2018/11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EAD" w:rsidRPr="00146EAD" w:rsidRDefault="00283F17" w:rsidP="00146EA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304EB">
      <w:t>ECE/TRANS/WP.29/GRVA/2018/11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C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46EAD"/>
    <w:rsid w:val="00176178"/>
    <w:rsid w:val="001F525A"/>
    <w:rsid w:val="00223272"/>
    <w:rsid w:val="0024779E"/>
    <w:rsid w:val="00257168"/>
    <w:rsid w:val="002744B8"/>
    <w:rsid w:val="002832AC"/>
    <w:rsid w:val="00283F17"/>
    <w:rsid w:val="002D7C93"/>
    <w:rsid w:val="00305801"/>
    <w:rsid w:val="003916DE"/>
    <w:rsid w:val="00441C3B"/>
    <w:rsid w:val="00446FE5"/>
    <w:rsid w:val="0045036C"/>
    <w:rsid w:val="00452396"/>
    <w:rsid w:val="004837D8"/>
    <w:rsid w:val="004E468C"/>
    <w:rsid w:val="005505B7"/>
    <w:rsid w:val="00573BE5"/>
    <w:rsid w:val="00586ED3"/>
    <w:rsid w:val="00596AA9"/>
    <w:rsid w:val="0071601D"/>
    <w:rsid w:val="00732AE6"/>
    <w:rsid w:val="007A62E6"/>
    <w:rsid w:val="007F20FA"/>
    <w:rsid w:val="0080684C"/>
    <w:rsid w:val="00871C75"/>
    <w:rsid w:val="008776DC"/>
    <w:rsid w:val="00894EC9"/>
    <w:rsid w:val="009304EB"/>
    <w:rsid w:val="009446C0"/>
    <w:rsid w:val="009605FF"/>
    <w:rsid w:val="009705C8"/>
    <w:rsid w:val="009C1CF4"/>
    <w:rsid w:val="009F6B74"/>
    <w:rsid w:val="00A30353"/>
    <w:rsid w:val="00AC3823"/>
    <w:rsid w:val="00AE323C"/>
    <w:rsid w:val="00AF0185"/>
    <w:rsid w:val="00AF0CB5"/>
    <w:rsid w:val="00B00181"/>
    <w:rsid w:val="00B00B0D"/>
    <w:rsid w:val="00B57674"/>
    <w:rsid w:val="00B765F7"/>
    <w:rsid w:val="00BA0CA9"/>
    <w:rsid w:val="00C02897"/>
    <w:rsid w:val="00C97039"/>
    <w:rsid w:val="00D3439C"/>
    <w:rsid w:val="00D41BC0"/>
    <w:rsid w:val="00DB1831"/>
    <w:rsid w:val="00DD3BFD"/>
    <w:rsid w:val="00DF6678"/>
    <w:rsid w:val="00E0299A"/>
    <w:rsid w:val="00E85C74"/>
    <w:rsid w:val="00EA6547"/>
    <w:rsid w:val="00EF2E22"/>
    <w:rsid w:val="00F33DA7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780E6B-39A4-46E1-BB3B-27BE3127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ECE/TRANS/WP.29/GRVA/2018/11</vt:lpstr>
      <vt:lpstr>ECE/TRANS/WP.29/GRVA/2018/11</vt:lpstr>
    </vt:vector>
  </TitlesOfParts>
  <Company>DCM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ECE/TRANS/WP.29/GRVA/2018/11</dc:title>
  <dc:subject/>
  <dc:creator>Fabienne CRELIER</dc:creator>
  <cp:keywords/>
  <cp:lastModifiedBy>Benedicte Boudol</cp:lastModifiedBy>
  <cp:revision>2</cp:revision>
  <cp:lastPrinted>2018-08-09T14:30:00Z</cp:lastPrinted>
  <dcterms:created xsi:type="dcterms:W3CDTF">2018-08-09T17:28:00Z</dcterms:created>
  <dcterms:modified xsi:type="dcterms:W3CDTF">2018-08-09T17:28:00Z</dcterms:modified>
</cp:coreProperties>
</file>