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B389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B3897" w:rsidP="00DB3897">
            <w:pPr>
              <w:jc w:val="right"/>
            </w:pPr>
            <w:r w:rsidRPr="00DB3897">
              <w:rPr>
                <w:sz w:val="40"/>
              </w:rPr>
              <w:t>ECE</w:t>
            </w:r>
            <w:r>
              <w:t>/TRANS/WP.29/GRSG/2018/3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B3897" w:rsidP="00C97039">
            <w:pPr>
              <w:spacing w:before="240"/>
            </w:pPr>
            <w:proofErr w:type="spellStart"/>
            <w:r>
              <w:t>Distr</w:t>
            </w:r>
            <w:proofErr w:type="spellEnd"/>
            <w:r>
              <w:t xml:space="preserve">. </w:t>
            </w:r>
            <w:proofErr w:type="gramStart"/>
            <w:r>
              <w:t>générale</w:t>
            </w:r>
            <w:proofErr w:type="gramEnd"/>
          </w:p>
          <w:p w:rsidR="00DB3897" w:rsidRDefault="00DB3897" w:rsidP="00DB3897">
            <w:pPr>
              <w:spacing w:line="240" w:lineRule="exact"/>
            </w:pPr>
            <w:r>
              <w:t>22 janvier 2018</w:t>
            </w:r>
          </w:p>
          <w:p w:rsidR="00DB3897" w:rsidRDefault="00DB3897" w:rsidP="00DB3897">
            <w:pPr>
              <w:spacing w:line="240" w:lineRule="exact"/>
            </w:pPr>
            <w:r>
              <w:t>Français</w:t>
            </w:r>
          </w:p>
          <w:p w:rsidR="00DB3897" w:rsidRPr="00DB58B5" w:rsidRDefault="00DB3897" w:rsidP="00DB389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B3897" w:rsidRPr="00DB3897" w:rsidRDefault="00DB3897" w:rsidP="00DB3897">
      <w:pPr>
        <w:spacing w:before="120" w:after="120"/>
        <w:rPr>
          <w:b/>
          <w:sz w:val="24"/>
          <w:szCs w:val="24"/>
        </w:rPr>
      </w:pPr>
      <w:r w:rsidRPr="00DB3897">
        <w:rPr>
          <w:b/>
          <w:sz w:val="24"/>
          <w:szCs w:val="24"/>
          <w:lang w:val="fr-FR"/>
        </w:rPr>
        <w:t>Forum mondial de l’</w:t>
      </w:r>
      <w:r>
        <w:rPr>
          <w:b/>
          <w:sz w:val="24"/>
          <w:szCs w:val="24"/>
          <w:lang w:val="fr-FR"/>
        </w:rPr>
        <w:t>harmonisation</w:t>
      </w:r>
      <w:r w:rsidR="00DE4A8E">
        <w:rPr>
          <w:b/>
          <w:sz w:val="24"/>
          <w:szCs w:val="24"/>
          <w:lang w:val="fr-FR"/>
        </w:rPr>
        <w:t xml:space="preserve"> des Règlements</w:t>
      </w:r>
      <w:r w:rsidR="00DE4A8E">
        <w:rPr>
          <w:b/>
          <w:sz w:val="24"/>
          <w:szCs w:val="24"/>
          <w:lang w:val="fr-FR"/>
        </w:rPr>
        <w:br/>
      </w:r>
      <w:r w:rsidRPr="00DB3897">
        <w:rPr>
          <w:b/>
          <w:sz w:val="24"/>
          <w:szCs w:val="24"/>
          <w:lang w:val="fr-FR"/>
        </w:rPr>
        <w:t>concernant les véhicules</w:t>
      </w:r>
    </w:p>
    <w:p w:rsidR="00DB3897" w:rsidRPr="00DB3897" w:rsidRDefault="00DB3897" w:rsidP="00DB3897">
      <w:pPr>
        <w:rPr>
          <w:b/>
        </w:rPr>
      </w:pPr>
      <w:r w:rsidRPr="00DB3897">
        <w:rPr>
          <w:b/>
          <w:lang w:val="fr-FR"/>
        </w:rPr>
        <w:t>Groupe de travail des dispositions générales de sécurité</w:t>
      </w:r>
    </w:p>
    <w:p w:rsidR="00DB3897" w:rsidRPr="00DB3897" w:rsidRDefault="00DB3897" w:rsidP="00DB3897">
      <w:pPr>
        <w:spacing w:before="120"/>
        <w:rPr>
          <w:b/>
        </w:rPr>
      </w:pPr>
      <w:r w:rsidRPr="00DB3897">
        <w:rPr>
          <w:b/>
        </w:rPr>
        <w:t>114</w:t>
      </w:r>
      <w:r w:rsidRPr="00DB3897">
        <w:rPr>
          <w:b/>
          <w:vertAlign w:val="superscript"/>
        </w:rPr>
        <w:t>e</w:t>
      </w:r>
      <w:r w:rsidRPr="00DB3897">
        <w:rPr>
          <w:b/>
        </w:rPr>
        <w:t xml:space="preserve"> session</w:t>
      </w:r>
    </w:p>
    <w:p w:rsidR="00DB3897" w:rsidRPr="00DB3897" w:rsidRDefault="00DB3897" w:rsidP="00DB3897">
      <w:r w:rsidRPr="00DB3897">
        <w:t>Genève, 9-13 avril 2018</w:t>
      </w:r>
    </w:p>
    <w:p w:rsidR="00DB3897" w:rsidRPr="00DB3897" w:rsidRDefault="00DB3897" w:rsidP="00DB3897">
      <w:r w:rsidRPr="00DB3897">
        <w:t>Point 6 b) de l’ordre du jour provisoire</w:t>
      </w:r>
    </w:p>
    <w:p w:rsidR="00DB3897" w:rsidRPr="00DB3897" w:rsidRDefault="00DB3897" w:rsidP="00DB3897">
      <w:pPr>
        <w:rPr>
          <w:b/>
        </w:rPr>
      </w:pPr>
      <w:r w:rsidRPr="00DB3897">
        <w:rPr>
          <w:b/>
          <w:lang w:val="fr-FR"/>
        </w:rPr>
        <w:t>Amendements aux Règl</w:t>
      </w:r>
      <w:r>
        <w:rPr>
          <w:b/>
          <w:lang w:val="fr-FR"/>
        </w:rPr>
        <w:t>ements concernant les véhicules</w:t>
      </w:r>
      <w:r>
        <w:rPr>
          <w:b/>
          <w:lang w:val="fr-FR"/>
        </w:rPr>
        <w:br/>
      </w:r>
      <w:r w:rsidRPr="00DB3897">
        <w:rPr>
          <w:b/>
          <w:lang w:val="fr-FR"/>
        </w:rPr>
        <w:t xml:space="preserve">fonctionnant au gaz </w:t>
      </w:r>
      <w:r>
        <w:rPr>
          <w:b/>
          <w:lang w:val="fr-FR"/>
        </w:rPr>
        <w:t>−</w:t>
      </w:r>
      <w:r w:rsidRPr="00DB3897">
        <w:rPr>
          <w:b/>
          <w:lang w:val="fr-FR"/>
        </w:rPr>
        <w:t xml:space="preserve"> Règlement n</w:t>
      </w:r>
      <w:r w:rsidRPr="00DB3897">
        <w:rPr>
          <w:b/>
          <w:vertAlign w:val="superscript"/>
          <w:lang w:val="fr-FR"/>
        </w:rPr>
        <w:t>o</w:t>
      </w:r>
      <w:r w:rsidRPr="00DB3897">
        <w:rPr>
          <w:b/>
          <w:lang w:val="fr-FR"/>
        </w:rPr>
        <w:t> </w:t>
      </w:r>
      <w:r>
        <w:rPr>
          <w:b/>
          <w:lang w:val="fr-FR"/>
        </w:rPr>
        <w:t>110</w:t>
      </w:r>
      <w:r>
        <w:rPr>
          <w:b/>
          <w:lang w:val="fr-FR"/>
        </w:rPr>
        <w:br/>
      </w:r>
      <w:r w:rsidRPr="00DB3897">
        <w:rPr>
          <w:b/>
          <w:lang w:val="fr-FR"/>
        </w:rPr>
        <w:t xml:space="preserve">(Véhicules alimentés au GNC/GNL) </w:t>
      </w:r>
    </w:p>
    <w:p w:rsidR="00DB3897" w:rsidRPr="00DB3897" w:rsidRDefault="00DB3897" w:rsidP="00DB3897">
      <w:pPr>
        <w:pStyle w:val="HChG"/>
        <w:rPr>
          <w:sz w:val="26"/>
          <w:szCs w:val="26"/>
        </w:rPr>
      </w:pPr>
      <w:r w:rsidRPr="00DB3897">
        <w:rPr>
          <w:lang w:val="fr-FR"/>
        </w:rPr>
        <w:tab/>
      </w:r>
      <w:r w:rsidRPr="00DB3897">
        <w:rPr>
          <w:lang w:val="fr-FR"/>
        </w:rPr>
        <w:tab/>
        <w:t>Proposition de rectificatif 1 à la révision 3 du Règlement n</w:t>
      </w:r>
      <w:r w:rsidRPr="00DB3897">
        <w:rPr>
          <w:vertAlign w:val="superscript"/>
          <w:lang w:val="fr-FR"/>
        </w:rPr>
        <w:t>o</w:t>
      </w:r>
      <w:r w:rsidRPr="00DB3897">
        <w:rPr>
          <w:lang w:val="fr-FR"/>
        </w:rPr>
        <w:t> 110 (Véhicules alimentés au GNC/GNL)</w:t>
      </w:r>
    </w:p>
    <w:p w:rsidR="00DB3897" w:rsidRPr="00DB3897" w:rsidRDefault="00DB3897" w:rsidP="00DB3897">
      <w:pPr>
        <w:pStyle w:val="H1G"/>
        <w:rPr>
          <w:vertAlign w:val="superscript"/>
        </w:rPr>
      </w:pPr>
      <w:r>
        <w:rPr>
          <w:lang w:val="fr-FR"/>
        </w:rPr>
        <w:tab/>
      </w:r>
      <w:r>
        <w:rPr>
          <w:lang w:val="fr-FR"/>
        </w:rPr>
        <w:tab/>
      </w:r>
      <w:r w:rsidRPr="00DB3897">
        <w:rPr>
          <w:lang w:val="fr-FR"/>
        </w:rPr>
        <w:t>Communication des experts de l’</w:t>
      </w:r>
      <w:r>
        <w:rPr>
          <w:lang w:val="fr-FR"/>
        </w:rPr>
        <w:t>Organisation internationale</w:t>
      </w:r>
      <w:r>
        <w:rPr>
          <w:lang w:val="fr-FR"/>
        </w:rPr>
        <w:br/>
      </w:r>
      <w:r w:rsidRPr="00DB3897">
        <w:rPr>
          <w:lang w:val="fr-FR"/>
        </w:rPr>
        <w:t>de normalisation et de l’</w:t>
      </w:r>
      <w:r w:rsidR="004C70D5">
        <w:rPr>
          <w:lang w:val="fr-FR"/>
        </w:rPr>
        <w:t>Association internationale</w:t>
      </w:r>
      <w:r w:rsidR="004C70D5">
        <w:rPr>
          <w:lang w:val="fr-FR"/>
        </w:rPr>
        <w:br/>
      </w:r>
      <w:r w:rsidRPr="00DB3897">
        <w:rPr>
          <w:lang w:val="fr-FR"/>
        </w:rPr>
        <w:t>des véhicules fonctionnant au gaz naturel</w:t>
      </w:r>
      <w:r w:rsidRPr="004C70D5">
        <w:rPr>
          <w:b w:val="0"/>
          <w:sz w:val="20"/>
          <w:lang w:val="fr-FR"/>
        </w:rPr>
        <w:footnoteReference w:customMarkFollows="1" w:id="2"/>
        <w:t>*</w:t>
      </w:r>
    </w:p>
    <w:p w:rsidR="00DB3897" w:rsidRPr="00DB3897" w:rsidRDefault="00DB3897" w:rsidP="00DB3897">
      <w:pPr>
        <w:pStyle w:val="SingleTxtG"/>
        <w:ind w:firstLine="567"/>
        <w:rPr>
          <w:lang w:val="fr-FR"/>
        </w:rPr>
      </w:pPr>
      <w:r w:rsidRPr="00DB3897">
        <w:rPr>
          <w:lang w:val="fr-FR"/>
        </w:rPr>
        <w:t>Le texte ci-après, établi par les experts de l’Organisation internationale de normalisation (ISO) et de l’Association internationale des véhicules fonctionnant au gaz naturel (NGV Global), vise à rectifier le tableau</w:t>
      </w:r>
      <w:r w:rsidR="004C70D5">
        <w:rPr>
          <w:lang w:val="fr-FR"/>
        </w:rPr>
        <w:t> </w:t>
      </w:r>
      <w:r w:rsidRPr="00DB3897">
        <w:rPr>
          <w:lang w:val="fr-FR"/>
        </w:rPr>
        <w:t>6.4 de l’annexe 3A. Il est fondé sur le document informel GRSG-113-06 tel que présenté à la 113</w:t>
      </w:r>
      <w:r w:rsidRPr="00DB3897">
        <w:rPr>
          <w:vertAlign w:val="superscript"/>
          <w:lang w:val="fr-FR"/>
        </w:rPr>
        <w:t>e</w:t>
      </w:r>
      <w:r w:rsidR="00AC1335">
        <w:rPr>
          <w:lang w:val="fr-FR"/>
        </w:rPr>
        <w:t> </w:t>
      </w:r>
      <w:r w:rsidRPr="00DB3897">
        <w:rPr>
          <w:lang w:val="fr-FR"/>
        </w:rPr>
        <w:t>session du Groupe de travail des dispositions générales de sécurité (GRSG) (voir le rapport ECE/TRANS/WP.29/</w:t>
      </w:r>
      <w:r>
        <w:rPr>
          <w:lang w:val="fr-FR"/>
        </w:rPr>
        <w:t xml:space="preserve"> </w:t>
      </w:r>
      <w:r w:rsidRPr="00DB3897">
        <w:rPr>
          <w:lang w:val="fr-FR"/>
        </w:rPr>
        <w:t>GRSG/92, par. 43). Les modifications qu’il est proposé d’apporter au texte actuel du Règlement n</w:t>
      </w:r>
      <w:r w:rsidRPr="00DB3897">
        <w:rPr>
          <w:vertAlign w:val="superscript"/>
          <w:lang w:val="fr-FR"/>
        </w:rPr>
        <w:t>o</w:t>
      </w:r>
      <w:r w:rsidRPr="00DB3897">
        <w:rPr>
          <w:lang w:val="fr-FR"/>
        </w:rPr>
        <w:t> 110 sont signalées en caractères gras.</w:t>
      </w:r>
    </w:p>
    <w:p w:rsidR="00DB3897" w:rsidRPr="00E938AC" w:rsidRDefault="00DB3897" w:rsidP="00703459">
      <w:pPr>
        <w:pStyle w:val="HChG"/>
        <w:rPr>
          <w:sz w:val="20"/>
        </w:rPr>
      </w:pPr>
      <w:r w:rsidRPr="00DB3897">
        <w:rPr>
          <w:lang w:val="fr-FR"/>
        </w:rPr>
        <w:br w:type="page"/>
      </w:r>
      <w:r w:rsidR="00703459">
        <w:rPr>
          <w:lang w:val="fr-FR"/>
        </w:rPr>
        <w:lastRenderedPageBreak/>
        <w:tab/>
      </w:r>
      <w:r w:rsidRPr="00DB3897">
        <w:rPr>
          <w:lang w:val="fr-FR"/>
        </w:rPr>
        <w:t>I.</w:t>
      </w:r>
      <w:r w:rsidRPr="00DB3897">
        <w:rPr>
          <w:lang w:val="fr-FR"/>
        </w:rPr>
        <w:tab/>
        <w:t>Proposition</w:t>
      </w:r>
    </w:p>
    <w:p w:rsidR="00DB3897" w:rsidRPr="00DB3897" w:rsidRDefault="00DB3897" w:rsidP="00703459">
      <w:pPr>
        <w:pStyle w:val="SingleTxtG"/>
        <w:rPr>
          <w:lang w:val="fr-FR"/>
        </w:rPr>
      </w:pPr>
      <w:r w:rsidRPr="00703459">
        <w:rPr>
          <w:i/>
          <w:lang w:val="fr-FR"/>
        </w:rPr>
        <w:t>Annexe 3A, tableau 6.4</w:t>
      </w:r>
      <w:r w:rsidR="00AC1335">
        <w:rPr>
          <w:lang w:val="fr-FR"/>
        </w:rPr>
        <w:t>, remplacer par </w:t>
      </w:r>
      <w:r w:rsidRPr="00DB3897">
        <w:rPr>
          <w:lang w:val="fr-FR"/>
        </w:rPr>
        <w:t>:</w:t>
      </w:r>
    </w:p>
    <w:p w:rsidR="00DB3897" w:rsidRPr="00DB3897" w:rsidRDefault="00703459" w:rsidP="00703459">
      <w:pPr>
        <w:pStyle w:val="Heading1"/>
        <w:spacing w:after="120" w:line="240" w:lineRule="atLeast"/>
        <w:rPr>
          <w:szCs w:val="24"/>
        </w:rPr>
      </w:pPr>
      <w:r>
        <w:rPr>
          <w:lang w:eastAsia="fr-FR"/>
        </w:rPr>
        <w:t>« </w:t>
      </w:r>
      <w:r w:rsidR="00DB3897" w:rsidRPr="00DB3897">
        <w:rPr>
          <w:lang w:eastAsia="fr-FR"/>
        </w:rPr>
        <w:t>Tableau 6.4</w:t>
      </w:r>
      <w:r w:rsidR="00DB3897" w:rsidRPr="00DB3897">
        <w:rPr>
          <w:szCs w:val="24"/>
        </w:rPr>
        <w:br/>
      </w:r>
      <w:r w:rsidR="00DB3897" w:rsidRPr="00703459">
        <w:rPr>
          <w:b/>
          <w:lang w:eastAsia="fr-FR"/>
        </w:rPr>
        <w:t>Essais de qualification des types de bouteilles</w:t>
      </w:r>
    </w:p>
    <w:tbl>
      <w:tblPr>
        <w:tblW w:w="7370" w:type="dxa"/>
        <w:tblInd w:w="1134" w:type="dxa"/>
        <w:tblLayout w:type="fixed"/>
        <w:tblCellMar>
          <w:left w:w="57" w:type="dxa"/>
          <w:right w:w="57" w:type="dxa"/>
        </w:tblCellMar>
        <w:tblLook w:val="0000" w:firstRow="0" w:lastRow="0" w:firstColumn="0" w:lastColumn="0" w:noHBand="0" w:noVBand="0"/>
      </w:tblPr>
      <w:tblGrid>
        <w:gridCol w:w="4026"/>
        <w:gridCol w:w="851"/>
        <w:gridCol w:w="709"/>
        <w:gridCol w:w="850"/>
        <w:gridCol w:w="934"/>
      </w:tblGrid>
      <w:tr w:rsidR="00AC1335" w:rsidRPr="00AC1335" w:rsidTr="00AC1335">
        <w:trPr>
          <w:tblHeader/>
        </w:trPr>
        <w:tc>
          <w:tcPr>
            <w:tcW w:w="4026" w:type="dxa"/>
            <w:vMerge w:val="restart"/>
            <w:tcBorders>
              <w:top w:val="single" w:sz="4" w:space="0" w:color="auto"/>
              <w:bottom w:val="single" w:sz="12" w:space="0" w:color="auto"/>
            </w:tcBorders>
            <w:shd w:val="clear" w:color="auto" w:fill="auto"/>
            <w:vAlign w:val="bottom"/>
          </w:tcPr>
          <w:p w:rsidR="00DB3897" w:rsidRPr="00AC1335" w:rsidRDefault="00DB3897" w:rsidP="00AC1335">
            <w:pPr>
              <w:spacing w:before="80" w:after="80" w:line="200" w:lineRule="exact"/>
              <w:ind w:right="113"/>
              <w:rPr>
                <w:i/>
                <w:sz w:val="16"/>
                <w:szCs w:val="16"/>
              </w:rPr>
            </w:pPr>
            <w:r w:rsidRPr="00AC1335">
              <w:rPr>
                <w:i/>
                <w:sz w:val="16"/>
                <w:szCs w:val="16"/>
              </w:rPr>
              <w:t>Référence correspondante</w:t>
            </w:r>
            <w:r w:rsidR="00AC1335" w:rsidRPr="00AC1335">
              <w:rPr>
                <w:i/>
                <w:sz w:val="16"/>
                <w:szCs w:val="16"/>
              </w:rPr>
              <w:t xml:space="preserve"> </w:t>
            </w:r>
            <w:r w:rsidRPr="00AC1335">
              <w:rPr>
                <w:i/>
                <w:sz w:val="16"/>
                <w:szCs w:val="16"/>
              </w:rPr>
              <w:t>dans la présente annexe</w:t>
            </w:r>
          </w:p>
        </w:tc>
        <w:tc>
          <w:tcPr>
            <w:tcW w:w="3344" w:type="dxa"/>
            <w:gridSpan w:val="4"/>
            <w:tcBorders>
              <w:top w:val="single" w:sz="4" w:space="0" w:color="auto"/>
              <w:bottom w:val="single" w:sz="4" w:space="0" w:color="auto"/>
            </w:tcBorders>
            <w:shd w:val="clear" w:color="auto" w:fill="auto"/>
            <w:vAlign w:val="bottom"/>
          </w:tcPr>
          <w:p w:rsidR="00DB3897" w:rsidRPr="00AC1335" w:rsidRDefault="00DB3897" w:rsidP="00AC1335">
            <w:pPr>
              <w:spacing w:before="80" w:after="80" w:line="200" w:lineRule="exact"/>
              <w:ind w:right="113"/>
              <w:jc w:val="center"/>
              <w:rPr>
                <w:i/>
                <w:sz w:val="16"/>
                <w:szCs w:val="16"/>
              </w:rPr>
            </w:pPr>
            <w:r w:rsidRPr="00AC1335">
              <w:rPr>
                <w:i/>
                <w:sz w:val="16"/>
                <w:szCs w:val="16"/>
              </w:rPr>
              <w:t>Type de bouteille</w:t>
            </w:r>
          </w:p>
        </w:tc>
      </w:tr>
      <w:tr w:rsidR="00AC1335" w:rsidRPr="00AC1335" w:rsidTr="00AC1335">
        <w:trPr>
          <w:tblHeader/>
        </w:trPr>
        <w:tc>
          <w:tcPr>
            <w:tcW w:w="4026" w:type="dxa"/>
            <w:vMerge/>
            <w:tcBorders>
              <w:bottom w:val="single" w:sz="12" w:space="0" w:color="auto"/>
            </w:tcBorders>
            <w:shd w:val="clear" w:color="auto" w:fill="auto"/>
          </w:tcPr>
          <w:p w:rsidR="00DB3897" w:rsidRPr="00AC1335" w:rsidRDefault="00DB3897" w:rsidP="00AC1335">
            <w:pPr>
              <w:spacing w:before="80" w:after="80" w:line="200" w:lineRule="exact"/>
              <w:ind w:right="113"/>
              <w:rPr>
                <w:sz w:val="16"/>
                <w:szCs w:val="16"/>
              </w:rPr>
            </w:pPr>
          </w:p>
        </w:tc>
        <w:tc>
          <w:tcPr>
            <w:tcW w:w="851" w:type="dxa"/>
            <w:tcBorders>
              <w:top w:val="single" w:sz="4" w:space="0" w:color="auto"/>
              <w:bottom w:val="single" w:sz="12" w:space="0" w:color="auto"/>
            </w:tcBorders>
            <w:shd w:val="clear" w:color="auto" w:fill="auto"/>
          </w:tcPr>
          <w:p w:rsidR="00DB3897" w:rsidRPr="00AC1335" w:rsidRDefault="00DB3897" w:rsidP="00AC1335">
            <w:pPr>
              <w:spacing w:before="80" w:after="80" w:line="200" w:lineRule="exact"/>
              <w:ind w:right="113"/>
              <w:jc w:val="center"/>
              <w:rPr>
                <w:i/>
                <w:sz w:val="16"/>
                <w:szCs w:val="16"/>
              </w:rPr>
            </w:pPr>
            <w:r w:rsidRPr="00AC1335">
              <w:rPr>
                <w:i/>
                <w:sz w:val="16"/>
                <w:szCs w:val="16"/>
              </w:rPr>
              <w:t>GNC-1</w:t>
            </w:r>
          </w:p>
        </w:tc>
        <w:tc>
          <w:tcPr>
            <w:tcW w:w="709" w:type="dxa"/>
            <w:tcBorders>
              <w:top w:val="single" w:sz="4" w:space="0" w:color="auto"/>
              <w:bottom w:val="single" w:sz="12" w:space="0" w:color="auto"/>
            </w:tcBorders>
            <w:shd w:val="clear" w:color="auto" w:fill="auto"/>
          </w:tcPr>
          <w:p w:rsidR="00DB3897" w:rsidRPr="00AC1335" w:rsidRDefault="00DB3897" w:rsidP="00AC1335">
            <w:pPr>
              <w:spacing w:before="80" w:after="80" w:line="200" w:lineRule="exact"/>
              <w:ind w:right="113"/>
              <w:jc w:val="center"/>
              <w:rPr>
                <w:i/>
                <w:sz w:val="16"/>
                <w:szCs w:val="16"/>
              </w:rPr>
            </w:pPr>
            <w:r w:rsidRPr="00AC1335">
              <w:rPr>
                <w:i/>
                <w:sz w:val="16"/>
                <w:szCs w:val="16"/>
              </w:rPr>
              <w:t>GNC-2</w:t>
            </w:r>
          </w:p>
        </w:tc>
        <w:tc>
          <w:tcPr>
            <w:tcW w:w="850" w:type="dxa"/>
            <w:tcBorders>
              <w:top w:val="single" w:sz="4" w:space="0" w:color="auto"/>
              <w:bottom w:val="single" w:sz="12" w:space="0" w:color="auto"/>
            </w:tcBorders>
            <w:shd w:val="clear" w:color="auto" w:fill="auto"/>
          </w:tcPr>
          <w:p w:rsidR="00DB3897" w:rsidRPr="00AC1335" w:rsidRDefault="00DB3897" w:rsidP="00AC1335">
            <w:pPr>
              <w:spacing w:before="80" w:after="80" w:line="200" w:lineRule="exact"/>
              <w:ind w:right="113"/>
              <w:jc w:val="center"/>
              <w:rPr>
                <w:i/>
                <w:sz w:val="16"/>
                <w:szCs w:val="16"/>
              </w:rPr>
            </w:pPr>
            <w:r w:rsidRPr="00AC1335">
              <w:rPr>
                <w:i/>
                <w:sz w:val="16"/>
                <w:szCs w:val="16"/>
              </w:rPr>
              <w:t>GNC-3</w:t>
            </w:r>
          </w:p>
        </w:tc>
        <w:tc>
          <w:tcPr>
            <w:tcW w:w="934" w:type="dxa"/>
            <w:tcBorders>
              <w:top w:val="single" w:sz="4" w:space="0" w:color="auto"/>
              <w:bottom w:val="single" w:sz="12" w:space="0" w:color="auto"/>
            </w:tcBorders>
            <w:shd w:val="clear" w:color="auto" w:fill="auto"/>
          </w:tcPr>
          <w:p w:rsidR="00DB3897" w:rsidRPr="00AC1335" w:rsidRDefault="00DB3897" w:rsidP="00AC1335">
            <w:pPr>
              <w:spacing w:before="80" w:after="80" w:line="200" w:lineRule="exact"/>
              <w:ind w:right="113"/>
              <w:jc w:val="center"/>
              <w:rPr>
                <w:i/>
                <w:sz w:val="16"/>
                <w:szCs w:val="16"/>
              </w:rPr>
            </w:pPr>
            <w:r w:rsidRPr="00AC1335">
              <w:rPr>
                <w:i/>
                <w:sz w:val="16"/>
                <w:szCs w:val="16"/>
              </w:rPr>
              <w:t>GNC-4</w:t>
            </w:r>
          </w:p>
        </w:tc>
      </w:tr>
      <w:tr w:rsidR="00AC1335" w:rsidRPr="00AC1335" w:rsidTr="00AC1335">
        <w:tc>
          <w:tcPr>
            <w:tcW w:w="4026" w:type="dxa"/>
            <w:tcBorders>
              <w:top w:val="single" w:sz="12" w:space="0" w:color="auto"/>
            </w:tcBorders>
            <w:shd w:val="clear" w:color="auto" w:fill="auto"/>
          </w:tcPr>
          <w:p w:rsidR="00DB3897" w:rsidRPr="00AC1335" w:rsidRDefault="00DB3897" w:rsidP="00AC1335">
            <w:pPr>
              <w:spacing w:before="40" w:after="120"/>
              <w:ind w:right="113"/>
              <w:rPr>
                <w:szCs w:val="24"/>
              </w:rPr>
            </w:pPr>
            <w:r w:rsidRPr="00AC1335">
              <w:t>A.12</w:t>
            </w:r>
            <w:r w:rsidRPr="00AC1335">
              <w:tab/>
              <w:t>Éclatement</w:t>
            </w:r>
          </w:p>
        </w:tc>
        <w:tc>
          <w:tcPr>
            <w:tcW w:w="851" w:type="dxa"/>
            <w:tcBorders>
              <w:top w:val="single" w:sz="12" w:space="0" w:color="auto"/>
            </w:tcBorders>
            <w:shd w:val="clear" w:color="auto" w:fill="auto"/>
          </w:tcPr>
          <w:p w:rsidR="00DB3897" w:rsidRPr="00AC1335" w:rsidRDefault="00DB3897" w:rsidP="00AC1335">
            <w:pPr>
              <w:spacing w:before="40" w:after="120"/>
              <w:ind w:right="113"/>
              <w:jc w:val="center"/>
              <w:rPr>
                <w:szCs w:val="24"/>
              </w:rPr>
            </w:pPr>
            <w:r w:rsidRPr="00AC1335">
              <w:t>X*</w:t>
            </w:r>
          </w:p>
        </w:tc>
        <w:tc>
          <w:tcPr>
            <w:tcW w:w="709" w:type="dxa"/>
            <w:tcBorders>
              <w:top w:val="single" w:sz="12" w:space="0" w:color="auto"/>
            </w:tcBorders>
            <w:shd w:val="clear" w:color="auto" w:fill="auto"/>
          </w:tcPr>
          <w:p w:rsidR="00DB3897" w:rsidRPr="00AC1335" w:rsidRDefault="00DB3897" w:rsidP="00AC1335">
            <w:pPr>
              <w:spacing w:before="40" w:after="120"/>
              <w:ind w:right="113"/>
              <w:jc w:val="center"/>
              <w:rPr>
                <w:szCs w:val="24"/>
              </w:rPr>
            </w:pPr>
            <w:r w:rsidRPr="00AC1335">
              <w:t>X</w:t>
            </w:r>
          </w:p>
        </w:tc>
        <w:tc>
          <w:tcPr>
            <w:tcW w:w="850" w:type="dxa"/>
            <w:tcBorders>
              <w:top w:val="single" w:sz="12" w:space="0" w:color="auto"/>
            </w:tcBorders>
            <w:shd w:val="clear" w:color="auto" w:fill="auto"/>
          </w:tcPr>
          <w:p w:rsidR="00DB3897" w:rsidRPr="00AC1335" w:rsidRDefault="00DB3897" w:rsidP="00AC1335">
            <w:pPr>
              <w:spacing w:before="40" w:after="120"/>
              <w:ind w:right="113"/>
              <w:jc w:val="center"/>
              <w:rPr>
                <w:szCs w:val="24"/>
              </w:rPr>
            </w:pPr>
            <w:r w:rsidRPr="00AC1335">
              <w:t>X</w:t>
            </w:r>
          </w:p>
        </w:tc>
        <w:tc>
          <w:tcPr>
            <w:tcW w:w="934" w:type="dxa"/>
            <w:tcBorders>
              <w:top w:val="single" w:sz="12" w:space="0" w:color="auto"/>
            </w:tcBorders>
            <w:shd w:val="clear" w:color="auto" w:fill="auto"/>
          </w:tcPr>
          <w:p w:rsidR="00DB3897" w:rsidRPr="00AC1335" w:rsidRDefault="00DB3897" w:rsidP="00AC1335">
            <w:pPr>
              <w:spacing w:before="40" w:after="120"/>
              <w:ind w:right="113"/>
              <w:jc w:val="center"/>
              <w:rPr>
                <w:szCs w:val="24"/>
              </w:rP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A.13</w:t>
            </w:r>
            <w:r w:rsidRPr="00AC1335">
              <w:tab/>
              <w:t>Température ambiante/cycle</w:t>
            </w:r>
          </w:p>
        </w:tc>
        <w:tc>
          <w:tcPr>
            <w:tcW w:w="851" w:type="dxa"/>
            <w:shd w:val="clear" w:color="auto" w:fill="auto"/>
          </w:tcPr>
          <w:p w:rsidR="00DB3897" w:rsidRPr="00AC1335" w:rsidRDefault="00DB3897" w:rsidP="00AC1335">
            <w:pPr>
              <w:spacing w:before="40" w:after="120"/>
              <w:ind w:right="113"/>
              <w:jc w:val="center"/>
              <w:rPr>
                <w:szCs w:val="24"/>
              </w:rPr>
            </w:pPr>
            <w:r w:rsidRPr="00AC1335">
              <w:t>X*</w:t>
            </w:r>
          </w:p>
        </w:tc>
        <w:tc>
          <w:tcPr>
            <w:tcW w:w="709" w:type="dxa"/>
            <w:shd w:val="clear" w:color="auto" w:fill="auto"/>
          </w:tcPr>
          <w:p w:rsidR="00DB3897" w:rsidRPr="00AC1335" w:rsidRDefault="00DB3897" w:rsidP="00AC1335">
            <w:pPr>
              <w:spacing w:before="40" w:after="120"/>
              <w:ind w:right="113"/>
              <w:jc w:val="center"/>
              <w:rPr>
                <w:szCs w:val="24"/>
              </w:rPr>
            </w:pPr>
            <w:r w:rsidRPr="00AC1335">
              <w:t>X</w:t>
            </w:r>
          </w:p>
        </w:tc>
        <w:tc>
          <w:tcPr>
            <w:tcW w:w="850" w:type="dxa"/>
            <w:shd w:val="clear" w:color="auto" w:fill="auto"/>
          </w:tcPr>
          <w:p w:rsidR="00DB3897" w:rsidRPr="00AC1335" w:rsidRDefault="00DB3897" w:rsidP="00AC1335">
            <w:pPr>
              <w:spacing w:before="40" w:after="120"/>
              <w:ind w:right="113"/>
              <w:jc w:val="center"/>
              <w:rPr>
                <w:szCs w:val="24"/>
              </w:rPr>
            </w:pPr>
            <w:r w:rsidRPr="00AC1335">
              <w:t>X</w:t>
            </w:r>
          </w:p>
        </w:tc>
        <w:tc>
          <w:tcPr>
            <w:tcW w:w="934" w:type="dxa"/>
            <w:shd w:val="clear" w:color="auto" w:fill="auto"/>
          </w:tcPr>
          <w:p w:rsidR="00DB3897" w:rsidRPr="00AC1335" w:rsidRDefault="00DB3897" w:rsidP="00AC1335">
            <w:pPr>
              <w:spacing w:before="40" w:after="120"/>
              <w:ind w:right="113"/>
              <w:jc w:val="center"/>
              <w:rPr>
                <w:szCs w:val="24"/>
              </w:rP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A.14</w:t>
            </w:r>
            <w:r w:rsidRPr="00AC1335">
              <w:tab/>
              <w:t>Essai en environnement acide</w:t>
            </w:r>
          </w:p>
        </w:tc>
        <w:tc>
          <w:tcPr>
            <w:tcW w:w="851" w:type="dxa"/>
            <w:shd w:val="clear" w:color="auto" w:fill="auto"/>
          </w:tcPr>
          <w:p w:rsidR="00DB3897" w:rsidRPr="00AC1335" w:rsidRDefault="00DB3897" w:rsidP="00AC1335">
            <w:pPr>
              <w:spacing w:before="40" w:after="120"/>
              <w:ind w:right="113"/>
              <w:jc w:val="center"/>
              <w:rPr>
                <w:szCs w:val="24"/>
              </w:rPr>
            </w:pPr>
          </w:p>
        </w:tc>
        <w:tc>
          <w:tcPr>
            <w:tcW w:w="709" w:type="dxa"/>
            <w:shd w:val="clear" w:color="auto" w:fill="auto"/>
          </w:tcPr>
          <w:p w:rsidR="00DB3897" w:rsidRPr="00AC1335" w:rsidRDefault="00DB3897" w:rsidP="00AC1335">
            <w:pPr>
              <w:spacing w:before="40" w:after="120"/>
              <w:ind w:right="113"/>
              <w:jc w:val="center"/>
              <w:rPr>
                <w:szCs w:val="24"/>
              </w:rPr>
            </w:pPr>
            <w:r w:rsidRPr="00AC1335">
              <w:t>X</w:t>
            </w:r>
          </w:p>
        </w:tc>
        <w:tc>
          <w:tcPr>
            <w:tcW w:w="850" w:type="dxa"/>
            <w:shd w:val="clear" w:color="auto" w:fill="auto"/>
          </w:tcPr>
          <w:p w:rsidR="00DB3897" w:rsidRPr="00AC1335" w:rsidRDefault="00DB3897" w:rsidP="00AC1335">
            <w:pPr>
              <w:spacing w:before="40" w:after="120"/>
              <w:ind w:right="113"/>
              <w:jc w:val="center"/>
              <w:rPr>
                <w:szCs w:val="24"/>
              </w:rPr>
            </w:pPr>
            <w:r w:rsidRPr="00AC1335">
              <w:t>X</w:t>
            </w:r>
          </w:p>
        </w:tc>
        <w:tc>
          <w:tcPr>
            <w:tcW w:w="934" w:type="dxa"/>
            <w:shd w:val="clear" w:color="auto" w:fill="auto"/>
          </w:tcPr>
          <w:p w:rsidR="00DB3897" w:rsidRPr="00AC1335" w:rsidRDefault="00DB3897" w:rsidP="00AC1335">
            <w:pPr>
              <w:spacing w:before="40" w:after="120"/>
              <w:ind w:right="113"/>
              <w:jc w:val="center"/>
              <w:rPr>
                <w:szCs w:val="24"/>
              </w:rP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A.15</w:t>
            </w:r>
            <w:r w:rsidRPr="00AC1335">
              <w:tab/>
              <w:t>Feu à l’air libre</w:t>
            </w:r>
          </w:p>
        </w:tc>
        <w:tc>
          <w:tcPr>
            <w:tcW w:w="851" w:type="dxa"/>
            <w:shd w:val="clear" w:color="auto" w:fill="auto"/>
          </w:tcPr>
          <w:p w:rsidR="00DB3897" w:rsidRPr="00AC1335" w:rsidRDefault="00DB3897" w:rsidP="00AC1335">
            <w:pPr>
              <w:spacing w:before="40" w:after="120"/>
              <w:ind w:right="113"/>
              <w:jc w:val="center"/>
            </w:pPr>
            <w:r w:rsidRPr="00AC1335">
              <w:t>X</w:t>
            </w: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A.16</w:t>
            </w:r>
            <w:r w:rsidRPr="00AC1335">
              <w:tab/>
              <w:t>Essai de pénétration</w:t>
            </w:r>
          </w:p>
        </w:tc>
        <w:tc>
          <w:tcPr>
            <w:tcW w:w="851" w:type="dxa"/>
            <w:shd w:val="clear" w:color="auto" w:fill="auto"/>
          </w:tcPr>
          <w:p w:rsidR="00DB3897" w:rsidRPr="00AC1335" w:rsidRDefault="00DB3897" w:rsidP="00AC1335">
            <w:pPr>
              <w:spacing w:before="40" w:after="120"/>
              <w:ind w:right="113"/>
              <w:jc w:val="center"/>
            </w:pPr>
            <w:r w:rsidRPr="00AC1335">
              <w:t>X</w:t>
            </w: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A.17</w:t>
            </w:r>
            <w:r w:rsidRPr="00AC1335">
              <w:tab/>
              <w:t>Tolérance aux défauts</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A.18</w:t>
            </w:r>
            <w:r w:rsidRPr="00AC1335">
              <w:tab/>
              <w:t>Fluage à haute température</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A.19</w:t>
            </w:r>
            <w:r w:rsidRPr="00AC1335">
              <w:tab/>
              <w:t>Rupture sous contrainte</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rPr>
                <w:szCs w:val="24"/>
              </w:rPr>
            </w:pPr>
            <w:r w:rsidRPr="00AC1335">
              <w:t>X</w:t>
            </w:r>
          </w:p>
        </w:tc>
        <w:tc>
          <w:tcPr>
            <w:tcW w:w="850" w:type="dxa"/>
            <w:shd w:val="clear" w:color="auto" w:fill="auto"/>
          </w:tcPr>
          <w:p w:rsidR="00DB3897" w:rsidRPr="00AC1335" w:rsidRDefault="00DB3897" w:rsidP="00AC1335">
            <w:pPr>
              <w:spacing w:before="40" w:after="120"/>
              <w:ind w:right="113"/>
              <w:jc w:val="center"/>
              <w:rPr>
                <w:szCs w:val="24"/>
              </w:rPr>
            </w:pPr>
            <w:r w:rsidRPr="00AC1335">
              <w:t>X</w:t>
            </w:r>
          </w:p>
        </w:tc>
        <w:tc>
          <w:tcPr>
            <w:tcW w:w="934" w:type="dxa"/>
            <w:shd w:val="clear" w:color="auto" w:fill="auto"/>
          </w:tcPr>
          <w:p w:rsidR="00DB3897" w:rsidRPr="00AC1335" w:rsidRDefault="00DB3897" w:rsidP="00AC1335">
            <w:pPr>
              <w:spacing w:before="40" w:after="120"/>
              <w:ind w:right="113"/>
              <w:jc w:val="center"/>
              <w:rPr>
                <w:szCs w:val="24"/>
              </w:rP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A.20</w:t>
            </w:r>
            <w:r w:rsidRPr="00AC1335">
              <w:tab/>
              <w:t>Essai de chute</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A.21</w:t>
            </w:r>
            <w:r w:rsidRPr="00AC1335">
              <w:tab/>
              <w:t>Perméabilité</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p>
        </w:tc>
        <w:tc>
          <w:tcPr>
            <w:tcW w:w="850" w:type="dxa"/>
            <w:shd w:val="clear" w:color="auto" w:fill="auto"/>
          </w:tcPr>
          <w:p w:rsidR="00DB3897" w:rsidRPr="00AC1335" w:rsidRDefault="00DB3897" w:rsidP="00AC1335">
            <w:pPr>
              <w:spacing w:before="40" w:after="120"/>
              <w:ind w:right="113"/>
              <w:jc w:val="center"/>
            </w:pP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A.24</w:t>
            </w:r>
            <w:r w:rsidRPr="00AC1335">
              <w:tab/>
              <w:t>Capacités du dispositif de</w:t>
            </w:r>
            <w:r w:rsidR="00AC1335" w:rsidRPr="00AC1335">
              <w:t xml:space="preserve"> </w:t>
            </w:r>
            <w:r w:rsidRPr="00AC1335">
              <w:t>surpression</w:t>
            </w:r>
          </w:p>
        </w:tc>
        <w:tc>
          <w:tcPr>
            <w:tcW w:w="851" w:type="dxa"/>
            <w:shd w:val="clear" w:color="auto" w:fill="auto"/>
          </w:tcPr>
          <w:p w:rsidR="00DB3897" w:rsidRPr="00AC1335" w:rsidRDefault="00DB3897" w:rsidP="00AC1335">
            <w:pPr>
              <w:spacing w:before="40" w:after="120"/>
              <w:ind w:right="113"/>
              <w:jc w:val="center"/>
            </w:pPr>
            <w:r w:rsidRPr="00AC1335">
              <w:t>X</w:t>
            </w: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A.25</w:t>
            </w:r>
            <w:r w:rsidRPr="00AC1335">
              <w:tab/>
              <w:t>Essai de couple sur l’ogive</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p>
        </w:tc>
        <w:tc>
          <w:tcPr>
            <w:tcW w:w="850" w:type="dxa"/>
            <w:shd w:val="clear" w:color="auto" w:fill="auto"/>
          </w:tcPr>
          <w:p w:rsidR="00DB3897" w:rsidRPr="00AC1335" w:rsidRDefault="00DB3897" w:rsidP="00AC1335">
            <w:pPr>
              <w:spacing w:before="40" w:after="120"/>
              <w:ind w:right="113"/>
              <w:jc w:val="center"/>
            </w:pP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pPr>
            <w:r w:rsidRPr="00AC1335">
              <w:t>A.27</w:t>
            </w:r>
            <w:r w:rsidRPr="00AC1335">
              <w:tab/>
              <w:t>Cyclage au gaz naturel</w:t>
            </w:r>
          </w:p>
        </w:tc>
        <w:tc>
          <w:tcPr>
            <w:tcW w:w="851" w:type="dxa"/>
            <w:shd w:val="clear" w:color="auto" w:fill="auto"/>
          </w:tcPr>
          <w:p w:rsidR="00DB3897" w:rsidRPr="00AC1335" w:rsidRDefault="00DB3897" w:rsidP="00AC1335">
            <w:pPr>
              <w:spacing w:before="40" w:after="120"/>
              <w:ind w:right="113"/>
              <w:jc w:val="center"/>
            </w:pPr>
          </w:p>
        </w:tc>
        <w:tc>
          <w:tcPr>
            <w:tcW w:w="709" w:type="dxa"/>
            <w:shd w:val="clear" w:color="auto" w:fill="auto"/>
          </w:tcPr>
          <w:p w:rsidR="00DB3897" w:rsidRPr="00AC1335" w:rsidRDefault="00DB3897" w:rsidP="00AC1335">
            <w:pPr>
              <w:spacing w:before="40" w:after="120"/>
              <w:ind w:right="113"/>
              <w:jc w:val="center"/>
            </w:pPr>
          </w:p>
        </w:tc>
        <w:tc>
          <w:tcPr>
            <w:tcW w:w="850" w:type="dxa"/>
            <w:shd w:val="clear" w:color="auto" w:fill="auto"/>
          </w:tcPr>
          <w:p w:rsidR="00DB3897" w:rsidRPr="00AC1335" w:rsidRDefault="00DB3897" w:rsidP="00AC1335">
            <w:pPr>
              <w:spacing w:before="40" w:after="120"/>
              <w:ind w:right="113"/>
              <w:jc w:val="center"/>
            </w:pPr>
          </w:p>
        </w:tc>
        <w:tc>
          <w:tcPr>
            <w:tcW w:w="934" w:type="dxa"/>
            <w:shd w:val="clear" w:color="auto" w:fill="auto"/>
          </w:tcPr>
          <w:p w:rsidR="00DB3897" w:rsidRPr="00AC1335" w:rsidRDefault="00DB3897" w:rsidP="00AC1335">
            <w:pPr>
              <w:spacing w:before="40" w:after="120"/>
              <w:ind w:right="113"/>
              <w:jc w:val="center"/>
            </w:pPr>
            <w:r w:rsidRPr="00AC1335">
              <w:t>X</w:t>
            </w:r>
          </w:p>
        </w:tc>
      </w:tr>
      <w:tr w:rsidR="00AC1335" w:rsidRPr="00AC1335" w:rsidTr="00AC1335">
        <w:tc>
          <w:tcPr>
            <w:tcW w:w="4026" w:type="dxa"/>
            <w:shd w:val="clear" w:color="auto" w:fill="auto"/>
          </w:tcPr>
          <w:p w:rsidR="00DB3897" w:rsidRPr="00AC1335" w:rsidRDefault="00DB3897" w:rsidP="00AC1335">
            <w:pPr>
              <w:spacing w:before="40" w:after="120"/>
              <w:ind w:right="113"/>
              <w:rPr>
                <w:szCs w:val="24"/>
              </w:rPr>
            </w:pPr>
            <w:r w:rsidRPr="00AC1335">
              <w:t>A.6</w:t>
            </w:r>
            <w:r w:rsidRPr="00AC1335">
              <w:tab/>
              <w:t>Capacité de fuite avant rupture</w:t>
            </w:r>
          </w:p>
        </w:tc>
        <w:tc>
          <w:tcPr>
            <w:tcW w:w="851" w:type="dxa"/>
            <w:shd w:val="clear" w:color="auto" w:fill="auto"/>
          </w:tcPr>
          <w:p w:rsidR="00DB3897" w:rsidRPr="00AC1335" w:rsidRDefault="00DB3897" w:rsidP="00AC1335">
            <w:pPr>
              <w:spacing w:before="40" w:after="120"/>
              <w:ind w:right="113"/>
              <w:jc w:val="center"/>
            </w:pPr>
            <w:r w:rsidRPr="00AC1335">
              <w:t>X</w:t>
            </w:r>
          </w:p>
        </w:tc>
        <w:tc>
          <w:tcPr>
            <w:tcW w:w="709" w:type="dxa"/>
            <w:shd w:val="clear" w:color="auto" w:fill="auto"/>
          </w:tcPr>
          <w:p w:rsidR="00DB3897" w:rsidRPr="00AC1335" w:rsidRDefault="00DB3897" w:rsidP="00AC1335">
            <w:pPr>
              <w:spacing w:before="40" w:after="120"/>
              <w:ind w:right="113"/>
              <w:jc w:val="center"/>
            </w:pPr>
            <w:r w:rsidRPr="00AC1335">
              <w:t>X</w:t>
            </w:r>
          </w:p>
        </w:tc>
        <w:tc>
          <w:tcPr>
            <w:tcW w:w="850" w:type="dxa"/>
            <w:shd w:val="clear" w:color="auto" w:fill="auto"/>
          </w:tcPr>
          <w:p w:rsidR="00DB3897" w:rsidRPr="00AC1335" w:rsidRDefault="00DB3897" w:rsidP="00AC1335">
            <w:pPr>
              <w:spacing w:before="40" w:after="120"/>
              <w:ind w:right="113"/>
              <w:jc w:val="center"/>
            </w:pPr>
            <w:r w:rsidRPr="00AC1335">
              <w:t>X</w:t>
            </w:r>
          </w:p>
        </w:tc>
        <w:tc>
          <w:tcPr>
            <w:tcW w:w="934" w:type="dxa"/>
            <w:shd w:val="clear" w:color="auto" w:fill="auto"/>
          </w:tcPr>
          <w:p w:rsidR="00DB3897" w:rsidRPr="00AC1335" w:rsidRDefault="00DB3897" w:rsidP="00AC1335">
            <w:pPr>
              <w:spacing w:before="40" w:after="120"/>
              <w:ind w:right="113"/>
              <w:jc w:val="center"/>
            </w:pPr>
          </w:p>
        </w:tc>
      </w:tr>
      <w:tr w:rsidR="00AC1335" w:rsidRPr="00AC1335" w:rsidTr="00AC1335">
        <w:tc>
          <w:tcPr>
            <w:tcW w:w="4026" w:type="dxa"/>
            <w:tcBorders>
              <w:bottom w:val="single" w:sz="12" w:space="0" w:color="auto"/>
            </w:tcBorders>
            <w:shd w:val="clear" w:color="auto" w:fill="auto"/>
          </w:tcPr>
          <w:p w:rsidR="00DB3897" w:rsidRPr="00AC1335" w:rsidRDefault="00DB3897" w:rsidP="00AC1335">
            <w:pPr>
              <w:spacing w:before="40" w:after="120"/>
              <w:ind w:right="113"/>
            </w:pPr>
            <w:r w:rsidRPr="00AC1335">
              <w:t>A.7</w:t>
            </w:r>
            <w:r w:rsidRPr="00AC1335">
              <w:tab/>
              <w:t>Température extrême/cycle</w:t>
            </w:r>
          </w:p>
        </w:tc>
        <w:tc>
          <w:tcPr>
            <w:tcW w:w="851" w:type="dxa"/>
            <w:tcBorders>
              <w:bottom w:val="single" w:sz="12" w:space="0" w:color="auto"/>
            </w:tcBorders>
            <w:shd w:val="clear" w:color="auto" w:fill="auto"/>
          </w:tcPr>
          <w:p w:rsidR="00DB3897" w:rsidRPr="00AC1335" w:rsidRDefault="00DB3897" w:rsidP="00AC1335">
            <w:pPr>
              <w:spacing w:before="40" w:after="120"/>
              <w:ind w:right="113"/>
              <w:jc w:val="center"/>
            </w:pPr>
          </w:p>
        </w:tc>
        <w:tc>
          <w:tcPr>
            <w:tcW w:w="709" w:type="dxa"/>
            <w:tcBorders>
              <w:bottom w:val="single" w:sz="12" w:space="0" w:color="auto"/>
            </w:tcBorders>
            <w:shd w:val="clear" w:color="auto" w:fill="auto"/>
          </w:tcPr>
          <w:p w:rsidR="00DB3897" w:rsidRPr="00AC1335" w:rsidRDefault="00DB3897" w:rsidP="00AC1335">
            <w:pPr>
              <w:spacing w:before="40" w:after="120"/>
              <w:ind w:right="113"/>
              <w:jc w:val="center"/>
            </w:pPr>
            <w:r w:rsidRPr="00AC1335">
              <w:t>X</w:t>
            </w:r>
          </w:p>
        </w:tc>
        <w:tc>
          <w:tcPr>
            <w:tcW w:w="850" w:type="dxa"/>
            <w:tcBorders>
              <w:bottom w:val="single" w:sz="12" w:space="0" w:color="auto"/>
            </w:tcBorders>
            <w:shd w:val="clear" w:color="auto" w:fill="auto"/>
          </w:tcPr>
          <w:p w:rsidR="00DB3897" w:rsidRPr="00AC1335" w:rsidRDefault="00DB3897" w:rsidP="00AC1335">
            <w:pPr>
              <w:spacing w:before="40" w:after="120"/>
              <w:ind w:right="113"/>
              <w:jc w:val="center"/>
            </w:pPr>
            <w:r w:rsidRPr="00AC1335">
              <w:t>X</w:t>
            </w:r>
          </w:p>
        </w:tc>
        <w:tc>
          <w:tcPr>
            <w:tcW w:w="934" w:type="dxa"/>
            <w:tcBorders>
              <w:bottom w:val="single" w:sz="12" w:space="0" w:color="auto"/>
            </w:tcBorders>
            <w:shd w:val="clear" w:color="auto" w:fill="auto"/>
          </w:tcPr>
          <w:p w:rsidR="00DB3897" w:rsidRPr="00AC1335" w:rsidRDefault="00DB3897" w:rsidP="00AC1335">
            <w:pPr>
              <w:spacing w:before="40" w:after="120"/>
              <w:ind w:right="113"/>
              <w:jc w:val="center"/>
            </w:pPr>
            <w:r w:rsidRPr="00AC1335">
              <w:t>X</w:t>
            </w:r>
          </w:p>
        </w:tc>
      </w:tr>
    </w:tbl>
    <w:p w:rsidR="00DB3897" w:rsidRPr="00703459" w:rsidRDefault="00DB3897" w:rsidP="00AC1335">
      <w:pPr>
        <w:pStyle w:val="SingleTxtG"/>
        <w:spacing w:before="120" w:after="0"/>
        <w:ind w:firstLine="170"/>
        <w:jc w:val="left"/>
        <w:rPr>
          <w:sz w:val="18"/>
          <w:szCs w:val="18"/>
          <w:lang w:val="en-GB"/>
        </w:rPr>
      </w:pPr>
      <w:r w:rsidRPr="00703459">
        <w:rPr>
          <w:sz w:val="18"/>
          <w:szCs w:val="18"/>
          <w:lang w:val="en-GB"/>
        </w:rPr>
        <w:t xml:space="preserve">X = </w:t>
      </w:r>
      <w:proofErr w:type="spellStart"/>
      <w:r w:rsidRPr="00703459">
        <w:rPr>
          <w:sz w:val="18"/>
          <w:szCs w:val="18"/>
          <w:lang w:val="en-GB"/>
        </w:rPr>
        <w:t>Requis</w:t>
      </w:r>
      <w:proofErr w:type="spellEnd"/>
      <w:r w:rsidRPr="00703459">
        <w:rPr>
          <w:sz w:val="18"/>
          <w:szCs w:val="18"/>
          <w:lang w:val="en-GB"/>
        </w:rPr>
        <w:t>.</w:t>
      </w:r>
    </w:p>
    <w:p w:rsidR="00DB3897" w:rsidRPr="00703459" w:rsidRDefault="00DB3897" w:rsidP="00AC1335">
      <w:pPr>
        <w:pStyle w:val="SingleTxtG"/>
        <w:spacing w:after="0"/>
        <w:ind w:firstLine="170"/>
        <w:jc w:val="left"/>
        <w:rPr>
          <w:sz w:val="18"/>
          <w:szCs w:val="18"/>
        </w:rPr>
      </w:pPr>
      <w:r w:rsidRPr="00703459">
        <w:rPr>
          <w:sz w:val="18"/>
          <w:szCs w:val="18"/>
        </w:rPr>
        <w:t>* = Non requis pour les bouteilles conçues selon la norme ISO 9809 (cette norme prévoit déjà ces essais).</w:t>
      </w:r>
      <w:r w:rsidR="00AC1335">
        <w:rPr>
          <w:sz w:val="18"/>
          <w:szCs w:val="18"/>
        </w:rPr>
        <w:t> ».</w:t>
      </w:r>
    </w:p>
    <w:p w:rsidR="00DB3897" w:rsidRPr="00DB3897" w:rsidRDefault="00703459" w:rsidP="00703459">
      <w:pPr>
        <w:pStyle w:val="HChG"/>
      </w:pPr>
      <w:r>
        <w:rPr>
          <w:lang w:val="fr-FR"/>
        </w:rPr>
        <w:tab/>
      </w:r>
      <w:r w:rsidR="00DB3897" w:rsidRPr="00DB3897">
        <w:rPr>
          <w:lang w:val="fr-FR"/>
        </w:rPr>
        <w:t>II.</w:t>
      </w:r>
      <w:r w:rsidR="00DB3897" w:rsidRPr="00DB3897">
        <w:rPr>
          <w:lang w:val="fr-FR"/>
        </w:rPr>
        <w:tab/>
        <w:t>Justification</w:t>
      </w:r>
    </w:p>
    <w:p w:rsidR="00DB3897" w:rsidRPr="00DB3897" w:rsidRDefault="00DB3897" w:rsidP="004C70D5">
      <w:pPr>
        <w:pStyle w:val="SingleTxtG"/>
        <w:ind w:firstLine="567"/>
      </w:pPr>
      <w:r w:rsidRPr="00DB3897">
        <w:rPr>
          <w:lang w:val="fr-FR"/>
        </w:rPr>
        <w:t xml:space="preserve">Il est peu probable que le GRSG accepte une harmonisation totale avec la norme ISO 11439. Il est donc recommandé d’apporter les modifications suivantes dans la colonne </w:t>
      </w:r>
      <w:r w:rsidR="00AC1335">
        <w:rPr>
          <w:lang w:val="fr-FR"/>
        </w:rPr>
        <w:t>« </w:t>
      </w:r>
      <w:r w:rsidRPr="00DB3897">
        <w:rPr>
          <w:lang w:val="fr-FR"/>
        </w:rPr>
        <w:t>GNC-1</w:t>
      </w:r>
      <w:r w:rsidR="00AC1335">
        <w:rPr>
          <w:lang w:val="fr-FR"/>
        </w:rPr>
        <w:t> »</w:t>
      </w:r>
      <w:r w:rsidRPr="00DB3897">
        <w:rPr>
          <w:lang w:val="fr-FR"/>
        </w:rPr>
        <w:t xml:space="preserve"> du tableau 6.4 :</w:t>
      </w:r>
    </w:p>
    <w:p w:rsidR="00DB3897" w:rsidRPr="00DB3897" w:rsidRDefault="00DB3897" w:rsidP="00AC1335">
      <w:pPr>
        <w:pStyle w:val="SingleTxtG"/>
        <w:ind w:firstLine="567"/>
      </w:pPr>
      <w:r w:rsidRPr="00DB3897">
        <w:rPr>
          <w:lang w:val="fr-FR"/>
        </w:rPr>
        <w:t>a)</w:t>
      </w:r>
      <w:r w:rsidRPr="00DB3897">
        <w:rPr>
          <w:lang w:val="fr-FR"/>
        </w:rPr>
        <w:tab/>
        <w:t>Décocher les cases correspondant aux rubriques A.17, A.25, et A.7, l’information étant de toute évidence erronée puisqu’elle ne correspond pas</w:t>
      </w:r>
      <w:r w:rsidR="00AC1335">
        <w:rPr>
          <w:lang w:val="fr-FR"/>
        </w:rPr>
        <w:t xml:space="preserve"> aux dispositions du paragraphe </w:t>
      </w:r>
      <w:r w:rsidRPr="00DB3897">
        <w:rPr>
          <w:lang w:val="fr-FR"/>
        </w:rPr>
        <w:t>7.5 (Essais de qualification des types de bouteilles) ;</w:t>
      </w:r>
    </w:p>
    <w:p w:rsidR="00DB3897" w:rsidRPr="00DB3897" w:rsidRDefault="00DB3897" w:rsidP="00AC1335">
      <w:pPr>
        <w:pStyle w:val="SingleTxtG"/>
        <w:ind w:firstLine="567"/>
      </w:pPr>
      <w:r w:rsidRPr="00DB3897">
        <w:rPr>
          <w:lang w:val="fr-FR"/>
        </w:rPr>
        <w:t>b)</w:t>
      </w:r>
      <w:r w:rsidRPr="00DB3897">
        <w:rPr>
          <w:lang w:val="fr-FR"/>
        </w:rPr>
        <w:tab/>
        <w:t>Cocher les cases correspondant aux rubriques A.15 et A.6, puisque l’information donnée ne correspond pas</w:t>
      </w:r>
      <w:r w:rsidR="004C70D5">
        <w:rPr>
          <w:lang w:val="fr-FR"/>
        </w:rPr>
        <w:t xml:space="preserve"> aux dispositions du paragraphe </w:t>
      </w:r>
      <w:r w:rsidRPr="00DB3897">
        <w:rPr>
          <w:lang w:val="fr-FR"/>
        </w:rPr>
        <w:t>7.5 (Essais de qualification des types de bouteilles) ;</w:t>
      </w:r>
    </w:p>
    <w:p w:rsidR="00DB3897" w:rsidRPr="00DB3897" w:rsidRDefault="00DB3897" w:rsidP="00AC1335">
      <w:pPr>
        <w:pStyle w:val="SingleTxtG"/>
        <w:ind w:firstLine="567"/>
      </w:pPr>
      <w:r w:rsidRPr="00DB3897">
        <w:rPr>
          <w:lang w:val="fr-FR"/>
        </w:rPr>
        <w:t>c)</w:t>
      </w:r>
      <w:r w:rsidRPr="00DB3897">
        <w:rPr>
          <w:lang w:val="fr-FR"/>
        </w:rPr>
        <w:tab/>
        <w:t>Cocher la case correspondant à la rubrique A.24, puisqu’il est bien prévu au paragraphe 6.9 (Protection contre le feu) que tous les dispositifs de décompression doivent satisfaire aux prescriptions du A.24, quel que soit le type de bouteille.</w:t>
      </w:r>
    </w:p>
    <w:p w:rsidR="00F9573C" w:rsidRPr="00AC1335" w:rsidRDefault="00AC1335" w:rsidP="00AC1335">
      <w:pPr>
        <w:pStyle w:val="SingleTxtG"/>
        <w:spacing w:before="240" w:after="0"/>
        <w:jc w:val="center"/>
        <w:rPr>
          <w:u w:val="single"/>
        </w:rPr>
      </w:pPr>
      <w:r>
        <w:rPr>
          <w:u w:val="single"/>
        </w:rPr>
        <w:tab/>
      </w:r>
      <w:r>
        <w:rPr>
          <w:u w:val="single"/>
        </w:rPr>
        <w:tab/>
      </w:r>
      <w:r>
        <w:rPr>
          <w:u w:val="single"/>
        </w:rPr>
        <w:tab/>
      </w:r>
    </w:p>
    <w:sectPr w:rsidR="00F9573C" w:rsidRPr="00AC1335" w:rsidSect="00DB38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EA" w:rsidRDefault="00C126EA" w:rsidP="00F95C08">
      <w:pPr>
        <w:spacing w:line="240" w:lineRule="auto"/>
      </w:pPr>
    </w:p>
  </w:endnote>
  <w:endnote w:type="continuationSeparator" w:id="0">
    <w:p w:rsidR="00C126EA" w:rsidRPr="00AC3823" w:rsidRDefault="00C126EA" w:rsidP="00AC3823">
      <w:pPr>
        <w:pStyle w:val="Footer"/>
      </w:pPr>
    </w:p>
  </w:endnote>
  <w:endnote w:type="continuationNotice" w:id="1">
    <w:p w:rsidR="00C126EA" w:rsidRDefault="00C126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7" w:rsidRPr="00DB3897" w:rsidRDefault="00DB3897" w:rsidP="00DB3897">
    <w:pPr>
      <w:pStyle w:val="Footer"/>
      <w:tabs>
        <w:tab w:val="right" w:pos="9638"/>
      </w:tabs>
    </w:pPr>
    <w:r w:rsidRPr="00DB3897">
      <w:rPr>
        <w:b/>
        <w:sz w:val="18"/>
      </w:rPr>
      <w:fldChar w:fldCharType="begin"/>
    </w:r>
    <w:r w:rsidRPr="00DB3897">
      <w:rPr>
        <w:b/>
        <w:sz w:val="18"/>
      </w:rPr>
      <w:instrText xml:space="preserve"> PAGE  \* MERGEFORMAT </w:instrText>
    </w:r>
    <w:r w:rsidRPr="00DB3897">
      <w:rPr>
        <w:b/>
        <w:sz w:val="18"/>
      </w:rPr>
      <w:fldChar w:fldCharType="separate"/>
    </w:r>
    <w:r w:rsidR="0091594B">
      <w:rPr>
        <w:b/>
        <w:noProof/>
        <w:sz w:val="18"/>
      </w:rPr>
      <w:t>2</w:t>
    </w:r>
    <w:r w:rsidRPr="00DB3897">
      <w:rPr>
        <w:b/>
        <w:sz w:val="18"/>
      </w:rPr>
      <w:fldChar w:fldCharType="end"/>
    </w:r>
    <w:r>
      <w:rPr>
        <w:b/>
        <w:sz w:val="18"/>
      </w:rPr>
      <w:tab/>
    </w:r>
    <w:r>
      <w:t>GE.18-00941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7" w:rsidRPr="00DB3897" w:rsidRDefault="00DB3897" w:rsidP="00DB3897">
    <w:pPr>
      <w:pStyle w:val="Footer"/>
      <w:tabs>
        <w:tab w:val="right" w:pos="9638"/>
      </w:tabs>
      <w:rPr>
        <w:b/>
        <w:sz w:val="18"/>
      </w:rPr>
    </w:pPr>
    <w:r>
      <w:t>GE.18-00941</w:t>
    </w:r>
    <w:r>
      <w:tab/>
    </w:r>
    <w:r w:rsidRPr="00DB3897">
      <w:rPr>
        <w:b/>
        <w:sz w:val="18"/>
      </w:rPr>
      <w:fldChar w:fldCharType="begin"/>
    </w:r>
    <w:r w:rsidRPr="00DB3897">
      <w:rPr>
        <w:b/>
        <w:sz w:val="18"/>
      </w:rPr>
      <w:instrText xml:space="preserve"> PAGE  \* MERGEFORMAT </w:instrText>
    </w:r>
    <w:r w:rsidRPr="00DB3897">
      <w:rPr>
        <w:b/>
        <w:sz w:val="18"/>
      </w:rPr>
      <w:fldChar w:fldCharType="separate"/>
    </w:r>
    <w:r w:rsidR="00AC1335">
      <w:rPr>
        <w:b/>
        <w:noProof/>
        <w:sz w:val="18"/>
      </w:rPr>
      <w:t>3</w:t>
    </w:r>
    <w:r w:rsidRPr="00DB38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DB3897" w:rsidRDefault="00DB3897" w:rsidP="00DB389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00941  (</w:t>
    </w:r>
    <w:proofErr w:type="gramEnd"/>
    <w:r>
      <w:rPr>
        <w:sz w:val="20"/>
      </w:rPr>
      <w:t>F)    130218    130218</w:t>
    </w:r>
    <w:r>
      <w:rPr>
        <w:sz w:val="20"/>
      </w:rPr>
      <w:br/>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sidRPr="00DB389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EA" w:rsidRPr="00AC3823" w:rsidRDefault="00C126EA" w:rsidP="00AC3823">
      <w:pPr>
        <w:pStyle w:val="Footer"/>
        <w:tabs>
          <w:tab w:val="right" w:pos="2155"/>
        </w:tabs>
        <w:spacing w:after="80" w:line="240" w:lineRule="atLeast"/>
        <w:ind w:left="680"/>
        <w:rPr>
          <w:u w:val="single"/>
        </w:rPr>
      </w:pPr>
      <w:r>
        <w:rPr>
          <w:u w:val="single"/>
        </w:rPr>
        <w:tab/>
      </w:r>
    </w:p>
  </w:footnote>
  <w:footnote w:type="continuationSeparator" w:id="0">
    <w:p w:rsidR="00C126EA" w:rsidRPr="00AC3823" w:rsidRDefault="00C126EA" w:rsidP="00AC3823">
      <w:pPr>
        <w:pStyle w:val="Footer"/>
        <w:tabs>
          <w:tab w:val="right" w:pos="2155"/>
        </w:tabs>
        <w:spacing w:after="80" w:line="240" w:lineRule="atLeast"/>
        <w:ind w:left="680"/>
        <w:rPr>
          <w:u w:val="single"/>
        </w:rPr>
      </w:pPr>
      <w:r>
        <w:rPr>
          <w:u w:val="single"/>
        </w:rPr>
        <w:tab/>
      </w:r>
    </w:p>
  </w:footnote>
  <w:footnote w:type="continuationNotice" w:id="1">
    <w:p w:rsidR="00C126EA" w:rsidRPr="00AC3823" w:rsidRDefault="00C126EA">
      <w:pPr>
        <w:spacing w:line="240" w:lineRule="auto"/>
        <w:rPr>
          <w:sz w:val="2"/>
          <w:szCs w:val="2"/>
        </w:rPr>
      </w:pPr>
    </w:p>
  </w:footnote>
  <w:footnote w:id="2">
    <w:p w:rsidR="00DB3897" w:rsidRPr="003B4879" w:rsidRDefault="00DB3897" w:rsidP="00DB3897">
      <w:pPr>
        <w:pStyle w:val="FootnoteText"/>
      </w:pPr>
      <w:r>
        <w:rPr>
          <w:lang w:val="fr-FR"/>
        </w:rPr>
        <w:tab/>
        <w:t>*</w:t>
      </w:r>
      <w:r>
        <w:rPr>
          <w:lang w:val="fr-FR"/>
        </w:rPr>
        <w:tab/>
        <w:t>Conformément au programme de travail du Comité des transports intérieurs pour la période 2014</w:t>
      </w:r>
      <w:r>
        <w:rPr>
          <w:lang w:val="fr-FR"/>
        </w:rPr>
        <w:noBreakHyphen/>
        <w:t>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7" w:rsidRPr="00DB3897" w:rsidRDefault="0091594B">
    <w:pPr>
      <w:pStyle w:val="Header"/>
    </w:pPr>
    <w:r>
      <w:fldChar w:fldCharType="begin"/>
    </w:r>
    <w:r>
      <w:instrText xml:space="preserve"> TITLE  \* MERGEFORMAT </w:instrText>
    </w:r>
    <w:r>
      <w:fldChar w:fldCharType="separate"/>
    </w:r>
    <w:r w:rsidR="004E0746">
      <w:t>ECE/TRANS/WP.29/GRSG/2018/3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97" w:rsidRPr="00DB3897" w:rsidRDefault="0091594B" w:rsidP="00DB3897">
    <w:pPr>
      <w:pStyle w:val="Header"/>
      <w:jc w:val="right"/>
    </w:pPr>
    <w:r>
      <w:fldChar w:fldCharType="begin"/>
    </w:r>
    <w:r>
      <w:instrText xml:space="preserve"> TITLE  \* MERGEFORMAT </w:instrText>
    </w:r>
    <w:r>
      <w:fldChar w:fldCharType="separate"/>
    </w:r>
    <w:r w:rsidR="004E0746">
      <w:t>ECE/TRANS/WP.29/GRSG/2018/3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EA"/>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C70D5"/>
    <w:rsid w:val="004E0746"/>
    <w:rsid w:val="004E468C"/>
    <w:rsid w:val="005505B7"/>
    <w:rsid w:val="00573BE5"/>
    <w:rsid w:val="00586ED3"/>
    <w:rsid w:val="00596AA9"/>
    <w:rsid w:val="00703459"/>
    <w:rsid w:val="0071601D"/>
    <w:rsid w:val="007A62E6"/>
    <w:rsid w:val="007F20FA"/>
    <w:rsid w:val="0080684C"/>
    <w:rsid w:val="00871C75"/>
    <w:rsid w:val="008776DC"/>
    <w:rsid w:val="0091594B"/>
    <w:rsid w:val="009446C0"/>
    <w:rsid w:val="009705C8"/>
    <w:rsid w:val="009C1CF4"/>
    <w:rsid w:val="009F6B74"/>
    <w:rsid w:val="00A30353"/>
    <w:rsid w:val="00AC1335"/>
    <w:rsid w:val="00AC3823"/>
    <w:rsid w:val="00AE323C"/>
    <w:rsid w:val="00AF0CB5"/>
    <w:rsid w:val="00B00181"/>
    <w:rsid w:val="00B00B0D"/>
    <w:rsid w:val="00B765F7"/>
    <w:rsid w:val="00BA0CA9"/>
    <w:rsid w:val="00C02897"/>
    <w:rsid w:val="00C126EA"/>
    <w:rsid w:val="00C97039"/>
    <w:rsid w:val="00D3439C"/>
    <w:rsid w:val="00DB1831"/>
    <w:rsid w:val="00DB3897"/>
    <w:rsid w:val="00DD3BFD"/>
    <w:rsid w:val="00DE4A8E"/>
    <w:rsid w:val="00DF6678"/>
    <w:rsid w:val="00E0299A"/>
    <w:rsid w:val="00E85C74"/>
    <w:rsid w:val="00E938AC"/>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978BE5-0113-4409-BBAE-D4A2550F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ECE/TRANS/WP.29/GRSG/2018/3</vt:lpstr>
      <vt:lpstr>ECE/TRANS/WP.29/GRSG/2018/3</vt:lpstr>
    </vt:vector>
  </TitlesOfParts>
  <Company>DCM</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ECE/TRANS/WP.29/GRSG/2018/3</dc:title>
  <dc:subject/>
  <dc:creator>Annie BEAUNEE</dc:creator>
  <cp:keywords/>
  <cp:lastModifiedBy>Benedicte Boudol</cp:lastModifiedBy>
  <cp:revision>2</cp:revision>
  <cp:lastPrinted>2018-02-13T09:53:00Z</cp:lastPrinted>
  <dcterms:created xsi:type="dcterms:W3CDTF">2018-02-13T14:43:00Z</dcterms:created>
  <dcterms:modified xsi:type="dcterms:W3CDTF">2018-02-13T14:43:00Z</dcterms:modified>
</cp:coreProperties>
</file>