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AA622B">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AA622B" w:rsidP="00AA622B">
            <w:pPr>
              <w:jc w:val="right"/>
            </w:pPr>
            <w:r w:rsidRPr="00AA622B">
              <w:rPr>
                <w:sz w:val="40"/>
              </w:rPr>
              <w:t>ECE</w:t>
            </w:r>
            <w:r>
              <w:t>/TRANS/WP.29/GRSG/2018/2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AA622B" w:rsidP="00C97039">
            <w:pPr>
              <w:spacing w:before="240"/>
            </w:pPr>
            <w:r>
              <w:t>Distr. générale</w:t>
            </w:r>
          </w:p>
          <w:p w:rsidR="00AA622B" w:rsidRDefault="00AA622B" w:rsidP="00AA622B">
            <w:pPr>
              <w:spacing w:line="240" w:lineRule="exact"/>
            </w:pPr>
            <w:r>
              <w:t>22 janvier 2018</w:t>
            </w:r>
          </w:p>
          <w:p w:rsidR="00AA622B" w:rsidRDefault="00AA622B" w:rsidP="00AA622B">
            <w:pPr>
              <w:spacing w:line="240" w:lineRule="exact"/>
            </w:pPr>
            <w:r>
              <w:t>Français</w:t>
            </w:r>
          </w:p>
          <w:p w:rsidR="00AA622B" w:rsidRPr="00DB58B5" w:rsidRDefault="00AA622B" w:rsidP="00AA622B">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AA622B" w:rsidRDefault="00AA622B" w:rsidP="00AF0CB5">
      <w:pPr>
        <w:spacing w:before="120"/>
        <w:rPr>
          <w:b/>
          <w:sz w:val="24"/>
          <w:szCs w:val="24"/>
        </w:rPr>
      </w:pPr>
      <w:r w:rsidRPr="00685843">
        <w:rPr>
          <w:b/>
          <w:sz w:val="24"/>
          <w:szCs w:val="24"/>
        </w:rPr>
        <w:t>Forum mondial de l’harmonisation</w:t>
      </w:r>
      <w:r>
        <w:rPr>
          <w:b/>
          <w:sz w:val="24"/>
          <w:szCs w:val="24"/>
        </w:rPr>
        <w:t xml:space="preserve"> </w:t>
      </w:r>
      <w:r w:rsidRPr="00685843">
        <w:rPr>
          <w:b/>
          <w:sz w:val="24"/>
          <w:szCs w:val="24"/>
        </w:rPr>
        <w:t>des Règlements</w:t>
      </w:r>
      <w:r>
        <w:rPr>
          <w:b/>
          <w:sz w:val="24"/>
          <w:szCs w:val="24"/>
        </w:rPr>
        <w:t xml:space="preserve"> </w:t>
      </w:r>
      <w:r w:rsidR="00436FC5">
        <w:rPr>
          <w:b/>
          <w:sz w:val="24"/>
          <w:szCs w:val="24"/>
        </w:rPr>
        <w:br/>
      </w:r>
      <w:r w:rsidRPr="00685843">
        <w:rPr>
          <w:b/>
          <w:sz w:val="24"/>
          <w:szCs w:val="24"/>
        </w:rPr>
        <w:t>concernant les véhicules</w:t>
      </w:r>
    </w:p>
    <w:p w:rsidR="00AA622B" w:rsidRDefault="00AA622B" w:rsidP="00257168">
      <w:pPr>
        <w:spacing w:before="120" w:after="120" w:line="240" w:lineRule="exact"/>
        <w:rPr>
          <w:b/>
        </w:rPr>
      </w:pPr>
      <w:r>
        <w:rPr>
          <w:b/>
        </w:rPr>
        <w:t>Groupe de travail des dispositions générales de sécurité</w:t>
      </w:r>
    </w:p>
    <w:p w:rsidR="00AA622B" w:rsidRDefault="00AA622B" w:rsidP="00257168">
      <w:pPr>
        <w:spacing w:before="120" w:line="240" w:lineRule="exact"/>
        <w:rPr>
          <w:b/>
        </w:rPr>
      </w:pPr>
      <w:r>
        <w:rPr>
          <w:b/>
        </w:rPr>
        <w:t>114</w:t>
      </w:r>
      <w:r w:rsidRPr="00AA622B">
        <w:rPr>
          <w:b/>
          <w:vertAlign w:val="superscript"/>
        </w:rPr>
        <w:t>e</w:t>
      </w:r>
      <w:r>
        <w:rPr>
          <w:b/>
        </w:rPr>
        <w:t> session</w:t>
      </w:r>
    </w:p>
    <w:p w:rsidR="00AA622B" w:rsidRDefault="00AA622B" w:rsidP="00257168">
      <w:pPr>
        <w:spacing w:line="240" w:lineRule="exact"/>
      </w:pPr>
      <w:r>
        <w:t>Genève, 9-13 avril 2018</w:t>
      </w:r>
    </w:p>
    <w:p w:rsidR="00AA622B" w:rsidRDefault="00AA622B" w:rsidP="00257168">
      <w:pPr>
        <w:spacing w:line="240" w:lineRule="exact"/>
      </w:pPr>
      <w:r>
        <w:t>Point 6 a) de l’ordre du jour provisoire</w:t>
      </w:r>
    </w:p>
    <w:p w:rsidR="00AA622B" w:rsidRPr="00AA622B" w:rsidRDefault="00AA622B" w:rsidP="00AA622B">
      <w:pPr>
        <w:rPr>
          <w:b/>
          <w:lang w:val="fr-FR"/>
        </w:rPr>
      </w:pPr>
      <w:bookmarkStart w:id="1" w:name="bookmark_17"/>
      <w:r w:rsidRPr="00AA622B">
        <w:rPr>
          <w:b/>
        </w:rPr>
        <w:t xml:space="preserve">Amendements aux Règlements concernant les véhicules </w:t>
      </w:r>
      <w:r w:rsidR="00436FC5">
        <w:rPr>
          <w:b/>
        </w:rPr>
        <w:br/>
      </w:r>
      <w:r w:rsidRPr="00AA622B">
        <w:rPr>
          <w:b/>
        </w:rPr>
        <w:t xml:space="preserve">fonctionnant au gaz : </w:t>
      </w:r>
      <w:bookmarkStart w:id="2" w:name="bookmark_18"/>
      <w:bookmarkEnd w:id="1"/>
      <w:r w:rsidRPr="00AA622B">
        <w:rPr>
          <w:b/>
        </w:rPr>
        <w:t>Règlement</w:t>
      </w:r>
      <w:r w:rsidRPr="00AA622B">
        <w:rPr>
          <w:b/>
          <w:lang w:val="fr-FR"/>
        </w:rPr>
        <w:t xml:space="preserve"> </w:t>
      </w:r>
      <w:r w:rsidRPr="00AA622B">
        <w:rPr>
          <w:rFonts w:eastAsia="MS Mincho"/>
          <w:b/>
          <w:szCs w:val="22"/>
          <w:lang w:val="fr-FR"/>
        </w:rPr>
        <w:t>n</w:t>
      </w:r>
      <w:r w:rsidRPr="00AA622B">
        <w:rPr>
          <w:rFonts w:eastAsia="MS Mincho"/>
          <w:b/>
          <w:szCs w:val="22"/>
          <w:vertAlign w:val="superscript"/>
          <w:lang w:val="fr-FR"/>
        </w:rPr>
        <w:t>o</w:t>
      </w:r>
      <w:r w:rsidRPr="00AA622B">
        <w:rPr>
          <w:b/>
          <w:lang w:val="fr-FR"/>
        </w:rPr>
        <w:t> 67 (Véhicules alimentés au GPL)</w:t>
      </w:r>
      <w:bookmarkEnd w:id="2"/>
    </w:p>
    <w:p w:rsidR="00AA622B" w:rsidRPr="00441C0D" w:rsidRDefault="00AA622B" w:rsidP="00AA622B">
      <w:pPr>
        <w:pStyle w:val="HChG"/>
        <w:rPr>
          <w:lang w:val="fr-FR"/>
        </w:rPr>
      </w:pPr>
      <w:bookmarkStart w:id="3" w:name="bookmark_19"/>
      <w:r w:rsidRPr="00441C0D">
        <w:rPr>
          <w:lang w:val="fr-FR"/>
        </w:rPr>
        <w:tab/>
      </w:r>
      <w:r w:rsidRPr="00441C0D">
        <w:rPr>
          <w:lang w:val="fr-FR"/>
        </w:rPr>
        <w:tab/>
        <w:t>Proposition de complément 16 à la série 01 d</w:t>
      </w:r>
      <w:r>
        <w:rPr>
          <w:lang w:val="fr-FR"/>
        </w:rPr>
        <w:t>’</w:t>
      </w:r>
      <w:r w:rsidRPr="00441C0D">
        <w:rPr>
          <w:lang w:val="fr-FR"/>
        </w:rPr>
        <w:t xml:space="preserve">amendements au Règlement </w:t>
      </w:r>
      <w:r w:rsidRPr="00AA622B">
        <w:rPr>
          <w:rFonts w:eastAsia="MS Mincho"/>
          <w:szCs w:val="22"/>
          <w:lang w:val="fr-FR"/>
        </w:rPr>
        <w:t>n</w:t>
      </w:r>
      <w:r w:rsidRPr="00AA622B">
        <w:rPr>
          <w:rFonts w:eastAsia="MS Mincho"/>
          <w:szCs w:val="22"/>
          <w:vertAlign w:val="superscript"/>
          <w:lang w:val="fr-FR"/>
        </w:rPr>
        <w:t>o</w:t>
      </w:r>
      <w:r>
        <w:rPr>
          <w:lang w:val="fr-FR"/>
        </w:rPr>
        <w:t> </w:t>
      </w:r>
      <w:r w:rsidRPr="00441C0D">
        <w:rPr>
          <w:lang w:val="fr-FR"/>
        </w:rPr>
        <w:t>67 (Véhicules alimentés au GPL)</w:t>
      </w:r>
      <w:bookmarkEnd w:id="3"/>
    </w:p>
    <w:p w:rsidR="00AA622B" w:rsidRPr="00441C0D" w:rsidRDefault="00AA622B" w:rsidP="00AA622B">
      <w:pPr>
        <w:pStyle w:val="H1G"/>
        <w:rPr>
          <w:vertAlign w:val="superscript"/>
          <w:lang w:val="fr-FR"/>
        </w:rPr>
      </w:pPr>
      <w:bookmarkStart w:id="4" w:name="bookmark_20"/>
      <w:r>
        <w:rPr>
          <w:lang w:val="fr-FR"/>
        </w:rPr>
        <w:tab/>
      </w:r>
      <w:r>
        <w:rPr>
          <w:lang w:val="fr-FR"/>
        </w:rPr>
        <w:tab/>
      </w:r>
      <w:r w:rsidRPr="00441C0D">
        <w:rPr>
          <w:lang w:val="fr-FR"/>
        </w:rPr>
        <w:t>Communication de l</w:t>
      </w:r>
      <w:r>
        <w:rPr>
          <w:lang w:val="fr-FR"/>
        </w:rPr>
        <w:t>’</w:t>
      </w:r>
      <w:r w:rsidRPr="00441C0D">
        <w:rPr>
          <w:lang w:val="fr-FR"/>
        </w:rPr>
        <w:t>expert de l</w:t>
      </w:r>
      <w:r>
        <w:rPr>
          <w:lang w:val="fr-FR"/>
        </w:rPr>
        <w:t>’</w:t>
      </w:r>
      <w:r w:rsidRPr="00441C0D">
        <w:rPr>
          <w:lang w:val="fr-FR"/>
        </w:rPr>
        <w:t xml:space="preserve">Organisation internationale </w:t>
      </w:r>
      <w:r>
        <w:rPr>
          <w:lang w:val="fr-FR"/>
        </w:rPr>
        <w:br/>
      </w:r>
      <w:r w:rsidRPr="00441C0D">
        <w:rPr>
          <w:lang w:val="fr-FR"/>
        </w:rPr>
        <w:t>des constructeurs d</w:t>
      </w:r>
      <w:r>
        <w:rPr>
          <w:lang w:val="fr-FR"/>
        </w:rPr>
        <w:t>’</w:t>
      </w:r>
      <w:r w:rsidRPr="00441C0D">
        <w:rPr>
          <w:lang w:val="fr-FR"/>
        </w:rPr>
        <w:t>automobiles</w:t>
      </w:r>
      <w:bookmarkEnd w:id="4"/>
      <w:r w:rsidRPr="00AA622B">
        <w:rPr>
          <w:rStyle w:val="FootnoteReference"/>
          <w:b w:val="0"/>
          <w:sz w:val="20"/>
          <w:vertAlign w:val="baseline"/>
        </w:rPr>
        <w:footnoteReference w:customMarkFollows="1" w:id="2"/>
        <w:t>*</w:t>
      </w:r>
    </w:p>
    <w:p w:rsidR="00AA622B" w:rsidRDefault="00AA622B" w:rsidP="00AA622B">
      <w:pPr>
        <w:pStyle w:val="SingleTxtG"/>
        <w:ind w:firstLine="567"/>
        <w:rPr>
          <w:lang w:val="fr-FR"/>
        </w:rPr>
      </w:pPr>
      <w:bookmarkStart w:id="5" w:name="bookmark_22"/>
      <w:r w:rsidRPr="00441C0D">
        <w:rPr>
          <w:lang w:val="fr-FR"/>
        </w:rPr>
        <w:t xml:space="preserve">Le texte ci-après, qui vise à modifier les prescriptions relatives aux essais de vieillissement prévues dans le Règlement </w:t>
      </w:r>
      <w:r w:rsidRPr="00AA622B">
        <w:rPr>
          <w:rFonts w:eastAsia="MS Mincho"/>
          <w:szCs w:val="22"/>
          <w:lang w:val="fr-FR"/>
        </w:rPr>
        <w:t>n</w:t>
      </w:r>
      <w:r w:rsidRPr="00AA622B">
        <w:rPr>
          <w:rFonts w:eastAsia="MS Mincho"/>
          <w:szCs w:val="22"/>
          <w:vertAlign w:val="superscript"/>
          <w:lang w:val="fr-FR"/>
        </w:rPr>
        <w:t>o</w:t>
      </w:r>
      <w:r>
        <w:rPr>
          <w:lang w:val="fr-FR"/>
        </w:rPr>
        <w:t> </w:t>
      </w:r>
      <w:r w:rsidRPr="00441C0D">
        <w:rPr>
          <w:lang w:val="fr-FR"/>
        </w:rPr>
        <w:t>67 sur les véhicules alimentés au gaz de pétrole liquéfié (GPL), a été établi par l</w:t>
      </w:r>
      <w:r>
        <w:rPr>
          <w:lang w:val="fr-FR"/>
        </w:rPr>
        <w:t>’</w:t>
      </w:r>
      <w:r w:rsidRPr="00441C0D">
        <w:rPr>
          <w:lang w:val="fr-FR"/>
        </w:rPr>
        <w:t>expert de l</w:t>
      </w:r>
      <w:r>
        <w:rPr>
          <w:lang w:val="fr-FR"/>
        </w:rPr>
        <w:t>’</w:t>
      </w:r>
      <w:r w:rsidRPr="00441C0D">
        <w:rPr>
          <w:lang w:val="fr-FR"/>
        </w:rPr>
        <w:t>Organisation internationale des constructeurs d</w:t>
      </w:r>
      <w:r>
        <w:rPr>
          <w:lang w:val="fr-FR"/>
        </w:rPr>
        <w:t>’</w:t>
      </w:r>
      <w:r w:rsidRPr="00441C0D">
        <w:rPr>
          <w:lang w:val="fr-FR"/>
        </w:rPr>
        <w:t>automobiles (OICA) en tant que contre-proposition au document ECE/TRANS/WP.29/GRSG/2017/16 soumis par l</w:t>
      </w:r>
      <w:r>
        <w:rPr>
          <w:lang w:val="fr-FR"/>
        </w:rPr>
        <w:t>’</w:t>
      </w:r>
      <w:r w:rsidRPr="00441C0D">
        <w:rPr>
          <w:lang w:val="fr-FR"/>
        </w:rPr>
        <w:t>Allemagne. Il est fondé sur le document informel GRSG-113-18, présenté à la 113</w:t>
      </w:r>
      <w:r w:rsidRPr="00AA622B">
        <w:rPr>
          <w:vertAlign w:val="superscript"/>
          <w:lang w:val="fr-FR"/>
        </w:rPr>
        <w:t>e</w:t>
      </w:r>
      <w:r w:rsidRPr="00441C0D">
        <w:rPr>
          <w:lang w:val="fr-FR"/>
        </w:rPr>
        <w:t xml:space="preserve"> session du Groupe de travail des dispositions générales de sécurité (GRSG) (voir le rapport </w:t>
      </w:r>
      <w:r>
        <w:rPr>
          <w:lang w:val="fr-FR"/>
        </w:rPr>
        <w:t>ECE/TRANS/WP.29/GRSG/92, par. </w:t>
      </w:r>
      <w:r w:rsidRPr="00441C0D">
        <w:rPr>
          <w:lang w:val="fr-FR"/>
        </w:rPr>
        <w:t>29). L</w:t>
      </w:r>
      <w:r>
        <w:rPr>
          <w:lang w:val="fr-FR"/>
        </w:rPr>
        <w:t>es </w:t>
      </w:r>
      <w:r w:rsidRPr="00441C0D">
        <w:rPr>
          <w:lang w:val="fr-FR"/>
        </w:rPr>
        <w:t>modifications qu</w:t>
      </w:r>
      <w:r>
        <w:rPr>
          <w:lang w:val="fr-FR"/>
        </w:rPr>
        <w:t>’</w:t>
      </w:r>
      <w:r w:rsidRPr="00441C0D">
        <w:rPr>
          <w:lang w:val="fr-FR"/>
        </w:rPr>
        <w:t>il est proposé d</w:t>
      </w:r>
      <w:r>
        <w:rPr>
          <w:lang w:val="fr-FR"/>
        </w:rPr>
        <w:t>’</w:t>
      </w:r>
      <w:r w:rsidRPr="00441C0D">
        <w:rPr>
          <w:lang w:val="fr-FR"/>
        </w:rPr>
        <w:t xml:space="preserve">apporter au texte actuel du Règlement </w:t>
      </w:r>
      <w:r w:rsidRPr="00AA622B">
        <w:rPr>
          <w:rFonts w:eastAsia="MS Mincho"/>
          <w:szCs w:val="22"/>
          <w:lang w:val="fr-FR"/>
        </w:rPr>
        <w:t>n</w:t>
      </w:r>
      <w:r w:rsidRPr="00AA622B">
        <w:rPr>
          <w:rFonts w:eastAsia="MS Mincho"/>
          <w:szCs w:val="22"/>
          <w:vertAlign w:val="superscript"/>
          <w:lang w:val="fr-FR"/>
        </w:rPr>
        <w:t>o</w:t>
      </w:r>
      <w:r>
        <w:rPr>
          <w:lang w:val="fr-FR"/>
        </w:rPr>
        <w:t> </w:t>
      </w:r>
      <w:r w:rsidRPr="00441C0D">
        <w:rPr>
          <w:lang w:val="fr-FR"/>
        </w:rPr>
        <w:t>67 figurent en caractères gras pour les ajouts.</w:t>
      </w:r>
      <w:bookmarkEnd w:id="5"/>
    </w:p>
    <w:p w:rsidR="00AA622B" w:rsidRPr="00441C0D" w:rsidRDefault="00436FC5" w:rsidP="00436FC5">
      <w:pPr>
        <w:pStyle w:val="HChG"/>
        <w:rPr>
          <w:lang w:val="fr-FR"/>
        </w:rPr>
      </w:pPr>
      <w:r>
        <w:rPr>
          <w:lang w:val="fr-FR"/>
        </w:rPr>
        <w:br w:type="page"/>
      </w:r>
      <w:bookmarkStart w:id="6" w:name="bookmark_23"/>
      <w:r w:rsidR="00AA622B">
        <w:rPr>
          <w:lang w:val="fr-FR"/>
        </w:rPr>
        <w:lastRenderedPageBreak/>
        <w:tab/>
      </w:r>
      <w:r w:rsidR="00AA622B" w:rsidRPr="00441C0D">
        <w:rPr>
          <w:lang w:val="fr-FR"/>
        </w:rPr>
        <w:t>I.</w:t>
      </w:r>
      <w:r w:rsidR="00AA622B" w:rsidRPr="00441C0D">
        <w:rPr>
          <w:lang w:val="fr-FR"/>
        </w:rPr>
        <w:tab/>
        <w:t>Proposition</w:t>
      </w:r>
      <w:bookmarkEnd w:id="6"/>
    </w:p>
    <w:p w:rsidR="00AA622B" w:rsidRPr="00441C0D" w:rsidRDefault="00AA622B" w:rsidP="00AA622B">
      <w:pPr>
        <w:pStyle w:val="SingleTxtG"/>
        <w:rPr>
          <w:lang w:val="fr-FR"/>
        </w:rPr>
      </w:pPr>
      <w:bookmarkStart w:id="7" w:name="bookmark_24"/>
      <w:r w:rsidRPr="00441C0D">
        <w:rPr>
          <w:i/>
          <w:iCs/>
          <w:lang w:val="fr-FR"/>
        </w:rPr>
        <w:t>Paragraphe 17.1.6, ajouter un nouveau paragraphe 17.1.6.1</w:t>
      </w:r>
      <w:r w:rsidRPr="00436FC5">
        <w:rPr>
          <w:iCs/>
          <w:lang w:val="fr-FR"/>
        </w:rPr>
        <w:t>, libellé comme suit :</w:t>
      </w:r>
      <w:bookmarkEnd w:id="7"/>
    </w:p>
    <w:p w:rsidR="00AA622B" w:rsidRPr="00441C0D" w:rsidRDefault="00AA622B" w:rsidP="00AA622B">
      <w:pPr>
        <w:pStyle w:val="SingleTxtG"/>
        <w:ind w:left="2268" w:hanging="1134"/>
        <w:rPr>
          <w:lang w:val="fr-FR"/>
        </w:rPr>
      </w:pPr>
      <w:bookmarkStart w:id="8" w:name="bookmark_25"/>
      <w:r>
        <w:rPr>
          <w:lang w:val="fr-FR"/>
        </w:rPr>
        <w:t>« </w:t>
      </w:r>
      <w:r w:rsidR="00436FC5">
        <w:rPr>
          <w:lang w:val="fr-FR"/>
        </w:rPr>
        <w:t>17.1.6</w:t>
      </w:r>
      <w:r w:rsidRPr="00441C0D">
        <w:rPr>
          <w:lang w:val="fr-FR"/>
        </w:rPr>
        <w:tab/>
        <w:t>L</w:t>
      </w:r>
      <w:r>
        <w:rPr>
          <w:lang w:val="fr-FR"/>
        </w:rPr>
        <w:t>’</w:t>
      </w:r>
      <w:r w:rsidRPr="00441C0D">
        <w:rPr>
          <w:lang w:val="fr-FR"/>
        </w:rPr>
        <w:t>équipement GPL doit être installé de telle manière qu</w:t>
      </w:r>
      <w:r>
        <w:rPr>
          <w:lang w:val="fr-FR"/>
        </w:rPr>
        <w:t>’</w:t>
      </w:r>
      <w:r w:rsidRPr="00441C0D">
        <w:rPr>
          <w:lang w:val="fr-FR"/>
        </w:rPr>
        <w:t>il soit le mieux possible protégé contre les détériorations dues par exemple au déplacement d</w:t>
      </w:r>
      <w:r>
        <w:rPr>
          <w:lang w:val="fr-FR"/>
        </w:rPr>
        <w:t>’</w:t>
      </w:r>
      <w:r w:rsidRPr="00441C0D">
        <w:rPr>
          <w:lang w:val="fr-FR"/>
        </w:rPr>
        <w:t>éléments du véhicule, aux chocs, à la poussière de la route ou aux opérations de chargement et déchargement des véhicules ou à des mouvements de la charge transportée.</w:t>
      </w:r>
      <w:bookmarkEnd w:id="8"/>
    </w:p>
    <w:p w:rsidR="00AA622B" w:rsidRPr="00EA14CE" w:rsidRDefault="00AA622B" w:rsidP="00AA622B">
      <w:pPr>
        <w:pStyle w:val="SingleTxtG"/>
        <w:ind w:left="2268" w:hanging="1134"/>
        <w:rPr>
          <w:b/>
          <w:lang w:val="fr-FR"/>
        </w:rPr>
      </w:pPr>
      <w:bookmarkStart w:id="9" w:name="bookmark_26"/>
      <w:r w:rsidRPr="00EA14CE">
        <w:rPr>
          <w:b/>
          <w:lang w:val="fr-FR"/>
        </w:rPr>
        <w:t>17.1.</w:t>
      </w:r>
      <w:r w:rsidR="00436FC5">
        <w:rPr>
          <w:b/>
          <w:lang w:val="fr-FR"/>
        </w:rPr>
        <w:t>6.1</w:t>
      </w:r>
      <w:r w:rsidRPr="00EA14CE">
        <w:rPr>
          <w:b/>
          <w:lang w:val="fr-FR"/>
        </w:rPr>
        <w:tab/>
        <w:t>Nonobstant les dispositions du paragraphe</w:t>
      </w:r>
      <w:r w:rsidR="008C1003">
        <w:rPr>
          <w:b/>
          <w:lang w:val="fr-FR"/>
        </w:rPr>
        <w:t> </w:t>
      </w:r>
      <w:r w:rsidRPr="00EA14CE">
        <w:rPr>
          <w:b/>
          <w:lang w:val="fr-FR"/>
        </w:rPr>
        <w:t>17.1.6, il faut veiller à ce qu</w:t>
      </w:r>
      <w:r>
        <w:rPr>
          <w:b/>
          <w:lang w:val="fr-FR"/>
        </w:rPr>
        <w:t>’</w:t>
      </w:r>
      <w:r w:rsidRPr="00EA14CE">
        <w:rPr>
          <w:b/>
          <w:lang w:val="fr-FR"/>
        </w:rPr>
        <w:t>un accès suffisant au réservoir à GPL et à ses accessoires, lorsqu</w:t>
      </w:r>
      <w:r>
        <w:rPr>
          <w:b/>
          <w:lang w:val="fr-FR"/>
        </w:rPr>
        <w:t>’</w:t>
      </w:r>
      <w:r w:rsidRPr="00EA14CE">
        <w:rPr>
          <w:b/>
          <w:lang w:val="fr-FR"/>
        </w:rPr>
        <w:t>ils sont situés à l</w:t>
      </w:r>
      <w:r>
        <w:rPr>
          <w:b/>
          <w:lang w:val="fr-FR"/>
        </w:rPr>
        <w:t>’</w:t>
      </w:r>
      <w:r w:rsidRPr="00EA14CE">
        <w:rPr>
          <w:b/>
          <w:lang w:val="fr-FR"/>
        </w:rPr>
        <w:t>extérieur du véhicule, permette une inspection visuelle (périodique) sans qu</w:t>
      </w:r>
      <w:r>
        <w:rPr>
          <w:b/>
          <w:lang w:val="fr-FR"/>
        </w:rPr>
        <w:t>’</w:t>
      </w:r>
      <w:r w:rsidRPr="00EA14CE">
        <w:rPr>
          <w:b/>
          <w:lang w:val="fr-FR"/>
        </w:rPr>
        <w:t>il soit nécessaire de démonter un organe ou un élément du capot de protection</w:t>
      </w:r>
      <w:bookmarkEnd w:id="9"/>
      <w:r>
        <w:rPr>
          <w:b/>
          <w:lang w:val="fr-FR"/>
        </w:rPr>
        <w:t>.</w:t>
      </w:r>
      <w:r w:rsidRPr="008C1003">
        <w:rPr>
          <w:lang w:val="fr-FR"/>
        </w:rPr>
        <w:t> ».</w:t>
      </w:r>
    </w:p>
    <w:p w:rsidR="00AA622B" w:rsidRPr="008C1003" w:rsidRDefault="00AA622B" w:rsidP="00AA622B">
      <w:pPr>
        <w:pStyle w:val="SingleTxtG"/>
        <w:rPr>
          <w:lang w:val="fr-FR"/>
        </w:rPr>
      </w:pPr>
      <w:bookmarkStart w:id="10" w:name="bookmark_27"/>
      <w:r w:rsidRPr="00441C0D">
        <w:rPr>
          <w:i/>
          <w:iCs/>
          <w:lang w:val="fr-FR"/>
        </w:rPr>
        <w:t>Ajouter de nouveaux paragraphes 22</w:t>
      </w:r>
      <w:r w:rsidR="008C1003">
        <w:rPr>
          <w:i/>
          <w:iCs/>
          <w:lang w:val="fr-FR"/>
        </w:rPr>
        <w:t>.6 à 22.12</w:t>
      </w:r>
      <w:r w:rsidR="008C1003" w:rsidRPr="00C5080B">
        <w:rPr>
          <w:iCs/>
          <w:lang w:val="fr-FR"/>
        </w:rPr>
        <w:t>, libellés comme suit</w:t>
      </w:r>
      <w:bookmarkEnd w:id="10"/>
      <w:r w:rsidR="008C1003" w:rsidRPr="00C5080B">
        <w:rPr>
          <w:iCs/>
          <w:lang w:val="fr-FR"/>
        </w:rPr>
        <w:t> :</w:t>
      </w:r>
    </w:p>
    <w:p w:rsidR="00AA622B" w:rsidRPr="00EA14CE" w:rsidRDefault="00AA622B" w:rsidP="00AA622B">
      <w:pPr>
        <w:pStyle w:val="SingleTxtG"/>
        <w:ind w:left="2268" w:hanging="1134"/>
        <w:rPr>
          <w:b/>
          <w:lang w:val="fr-FR"/>
        </w:rPr>
      </w:pPr>
      <w:bookmarkStart w:id="11" w:name="bookmark_28"/>
      <w:r>
        <w:rPr>
          <w:lang w:val="fr-FR"/>
        </w:rPr>
        <w:t>« </w:t>
      </w:r>
      <w:r w:rsidRPr="00EA14CE">
        <w:rPr>
          <w:b/>
          <w:lang w:val="fr-FR"/>
        </w:rPr>
        <w:t>22.6</w:t>
      </w:r>
      <w:r w:rsidRPr="00EA14CE">
        <w:rPr>
          <w:b/>
          <w:lang w:val="fr-FR"/>
        </w:rPr>
        <w:tab/>
        <w:t>À compter de la date officielle d</w:t>
      </w:r>
      <w:r>
        <w:rPr>
          <w:b/>
          <w:lang w:val="fr-FR"/>
        </w:rPr>
        <w:t>’</w:t>
      </w:r>
      <w:r w:rsidR="008C1003">
        <w:rPr>
          <w:b/>
          <w:lang w:val="fr-FR"/>
        </w:rPr>
        <w:t>entrée en vigueur de la série </w:t>
      </w:r>
      <w:r w:rsidRPr="00EA14CE">
        <w:rPr>
          <w:b/>
          <w:lang w:val="fr-FR"/>
        </w:rPr>
        <w:t>02 d</w:t>
      </w:r>
      <w:r>
        <w:rPr>
          <w:b/>
          <w:lang w:val="fr-FR"/>
        </w:rPr>
        <w:t>’</w:t>
      </w:r>
      <w:r w:rsidRPr="00EA14CE">
        <w:rPr>
          <w:b/>
          <w:lang w:val="fr-FR"/>
        </w:rPr>
        <w:t>amendements, aucune Partie contractante appliquant le présent Règlement ne pourra refuser d</w:t>
      </w:r>
      <w:r>
        <w:rPr>
          <w:b/>
          <w:lang w:val="fr-FR"/>
        </w:rPr>
        <w:t>’</w:t>
      </w:r>
      <w:r w:rsidRPr="00EA14CE">
        <w:rPr>
          <w:b/>
          <w:lang w:val="fr-FR"/>
        </w:rPr>
        <w:t>accorder ou d</w:t>
      </w:r>
      <w:r>
        <w:rPr>
          <w:b/>
          <w:lang w:val="fr-FR"/>
        </w:rPr>
        <w:t>’</w:t>
      </w:r>
      <w:r w:rsidRPr="00EA14CE">
        <w:rPr>
          <w:b/>
          <w:lang w:val="fr-FR"/>
        </w:rPr>
        <w:t>accepter une homologation de type en vertu du présent Règlement tel que modifié par la série</w:t>
      </w:r>
      <w:r w:rsidR="008C1003">
        <w:rPr>
          <w:b/>
          <w:lang w:val="fr-FR"/>
        </w:rPr>
        <w:t> </w:t>
      </w:r>
      <w:r w:rsidRPr="00EA14CE">
        <w:rPr>
          <w:b/>
          <w:lang w:val="fr-FR"/>
        </w:rPr>
        <w:t>02 d</w:t>
      </w:r>
      <w:r>
        <w:rPr>
          <w:b/>
          <w:lang w:val="fr-FR"/>
        </w:rPr>
        <w:t>’</w:t>
      </w:r>
      <w:r w:rsidRPr="00EA14CE">
        <w:rPr>
          <w:b/>
          <w:lang w:val="fr-FR"/>
        </w:rPr>
        <w:t>amendements.</w:t>
      </w:r>
      <w:bookmarkEnd w:id="11"/>
    </w:p>
    <w:p w:rsidR="00AA622B" w:rsidRPr="00EA14CE" w:rsidRDefault="00436FC5" w:rsidP="00AA622B">
      <w:pPr>
        <w:pStyle w:val="SingleTxtG"/>
        <w:ind w:left="2268" w:hanging="1134"/>
        <w:rPr>
          <w:rFonts w:eastAsia="MS Mincho"/>
          <w:b/>
          <w:lang w:val="fr-FR"/>
        </w:rPr>
      </w:pPr>
      <w:bookmarkStart w:id="12" w:name="bookmark_29"/>
      <w:r>
        <w:rPr>
          <w:b/>
          <w:lang w:val="fr-FR"/>
        </w:rPr>
        <w:t>22.7</w:t>
      </w:r>
      <w:r w:rsidR="00AA622B" w:rsidRPr="00EA14CE">
        <w:rPr>
          <w:b/>
          <w:lang w:val="fr-FR"/>
        </w:rPr>
        <w:tab/>
        <w:t>À compter du 1</w:t>
      </w:r>
      <w:r w:rsidR="00AA622B" w:rsidRPr="008C1003">
        <w:rPr>
          <w:b/>
          <w:vertAlign w:val="superscript"/>
          <w:lang w:val="fr-FR"/>
        </w:rPr>
        <w:t>er</w:t>
      </w:r>
      <w:r w:rsidR="008C1003">
        <w:rPr>
          <w:b/>
          <w:lang w:val="fr-FR"/>
        </w:rPr>
        <w:t> </w:t>
      </w:r>
      <w:r w:rsidR="00AA622B" w:rsidRPr="00EA14CE">
        <w:rPr>
          <w:b/>
          <w:lang w:val="fr-FR"/>
        </w:rPr>
        <w:t>septembre 2019, les Parties contractantes appliquant le présent Règlement ne seront plus tenues d</w:t>
      </w:r>
      <w:r w:rsidR="00AA622B">
        <w:rPr>
          <w:b/>
          <w:lang w:val="fr-FR"/>
        </w:rPr>
        <w:t>’</w:t>
      </w:r>
      <w:r w:rsidR="00AA622B" w:rsidRPr="00EA14CE">
        <w:rPr>
          <w:b/>
          <w:lang w:val="fr-FR"/>
        </w:rPr>
        <w:t>accepter les homologations de type délivrées en vertu des précédentes séries d</w:t>
      </w:r>
      <w:r w:rsidR="00AA622B">
        <w:rPr>
          <w:b/>
          <w:lang w:val="fr-FR"/>
        </w:rPr>
        <w:t>’</w:t>
      </w:r>
      <w:r w:rsidR="008C1003">
        <w:rPr>
          <w:b/>
          <w:lang w:val="fr-FR"/>
        </w:rPr>
        <w:t>amendements après le 1</w:t>
      </w:r>
      <w:r w:rsidR="008C1003" w:rsidRPr="008C1003">
        <w:rPr>
          <w:b/>
          <w:vertAlign w:val="superscript"/>
          <w:lang w:val="fr-FR"/>
        </w:rPr>
        <w:t>er</w:t>
      </w:r>
      <w:r w:rsidR="008C1003">
        <w:rPr>
          <w:b/>
          <w:lang w:val="fr-FR"/>
        </w:rPr>
        <w:t> </w:t>
      </w:r>
      <w:r w:rsidR="00AA622B" w:rsidRPr="00EA14CE">
        <w:rPr>
          <w:b/>
          <w:lang w:val="fr-FR"/>
        </w:rPr>
        <w:t>septembre [2019].</w:t>
      </w:r>
      <w:bookmarkEnd w:id="12"/>
    </w:p>
    <w:p w:rsidR="00AA622B" w:rsidRPr="00EA14CE" w:rsidRDefault="00436FC5" w:rsidP="00AA622B">
      <w:pPr>
        <w:pStyle w:val="SingleTxtG"/>
        <w:ind w:left="2268" w:hanging="1134"/>
        <w:rPr>
          <w:rFonts w:eastAsia="MS Mincho"/>
          <w:b/>
          <w:lang w:val="fr-FR"/>
        </w:rPr>
      </w:pPr>
      <w:bookmarkStart w:id="13" w:name="bookmark_30"/>
      <w:r>
        <w:rPr>
          <w:b/>
          <w:lang w:val="fr-FR"/>
        </w:rPr>
        <w:t>22.8</w:t>
      </w:r>
      <w:r w:rsidR="00AA622B" w:rsidRPr="00EA14CE">
        <w:rPr>
          <w:b/>
          <w:lang w:val="fr-FR"/>
        </w:rPr>
        <w:tab/>
        <w:t>Jusqu</w:t>
      </w:r>
      <w:r w:rsidR="00AA622B">
        <w:rPr>
          <w:b/>
          <w:lang w:val="fr-FR"/>
        </w:rPr>
        <w:t>’</w:t>
      </w:r>
      <w:r w:rsidR="00AA622B" w:rsidRPr="00EA14CE">
        <w:rPr>
          <w:b/>
          <w:lang w:val="fr-FR"/>
        </w:rPr>
        <w:t>au 1</w:t>
      </w:r>
      <w:r w:rsidR="00AA622B" w:rsidRPr="008C1003">
        <w:rPr>
          <w:b/>
          <w:vertAlign w:val="superscript"/>
          <w:lang w:val="fr-FR"/>
        </w:rPr>
        <w:t>er</w:t>
      </w:r>
      <w:r w:rsidR="008C1003">
        <w:rPr>
          <w:b/>
          <w:lang w:val="fr-FR"/>
        </w:rPr>
        <w:t> </w:t>
      </w:r>
      <w:r w:rsidR="00AA622B" w:rsidRPr="00EA14CE">
        <w:rPr>
          <w:b/>
          <w:lang w:val="fr-FR"/>
        </w:rPr>
        <w:t>septembre 2020, les Parties contractantes appliquant le présent Règlement devront accepter les homologations de type délivrées en vertu des précédentes séries d</w:t>
      </w:r>
      <w:r w:rsidR="00AA622B">
        <w:rPr>
          <w:b/>
          <w:lang w:val="fr-FR"/>
        </w:rPr>
        <w:t>’</w:t>
      </w:r>
      <w:r w:rsidR="00AA622B" w:rsidRPr="00EA14CE">
        <w:rPr>
          <w:b/>
          <w:lang w:val="fr-FR"/>
        </w:rPr>
        <w:t>amendements avant le 1</w:t>
      </w:r>
      <w:r w:rsidR="00AA622B" w:rsidRPr="008C1003">
        <w:rPr>
          <w:b/>
          <w:vertAlign w:val="superscript"/>
          <w:lang w:val="fr-FR"/>
        </w:rPr>
        <w:t>er</w:t>
      </w:r>
      <w:r w:rsidR="008C1003">
        <w:rPr>
          <w:b/>
          <w:lang w:val="fr-FR"/>
        </w:rPr>
        <w:t> </w:t>
      </w:r>
      <w:r w:rsidR="00AA622B" w:rsidRPr="00EA14CE">
        <w:rPr>
          <w:b/>
          <w:lang w:val="fr-FR"/>
        </w:rPr>
        <w:t>septembre [2019].</w:t>
      </w:r>
      <w:bookmarkEnd w:id="13"/>
    </w:p>
    <w:p w:rsidR="00AA622B" w:rsidRPr="00EA14CE" w:rsidRDefault="00436FC5" w:rsidP="00AA622B">
      <w:pPr>
        <w:pStyle w:val="SingleTxtG"/>
        <w:ind w:left="2268" w:hanging="1134"/>
        <w:rPr>
          <w:b/>
          <w:lang w:val="fr-FR"/>
        </w:rPr>
      </w:pPr>
      <w:bookmarkStart w:id="14" w:name="bookmark_31"/>
      <w:r>
        <w:rPr>
          <w:b/>
          <w:lang w:val="fr-FR"/>
        </w:rPr>
        <w:t>22.9</w:t>
      </w:r>
      <w:r w:rsidR="00AA622B" w:rsidRPr="00EA14CE">
        <w:rPr>
          <w:b/>
          <w:lang w:val="fr-FR"/>
        </w:rPr>
        <w:tab/>
        <w:t>À compter du 1</w:t>
      </w:r>
      <w:r w:rsidR="00AA622B" w:rsidRPr="008C1003">
        <w:rPr>
          <w:b/>
          <w:vertAlign w:val="superscript"/>
          <w:lang w:val="fr-FR"/>
        </w:rPr>
        <w:t>er</w:t>
      </w:r>
      <w:r w:rsidR="008C1003">
        <w:rPr>
          <w:b/>
          <w:lang w:val="fr-FR"/>
        </w:rPr>
        <w:t> </w:t>
      </w:r>
      <w:r w:rsidR="00AA622B" w:rsidRPr="00EA14CE">
        <w:rPr>
          <w:b/>
          <w:lang w:val="fr-FR"/>
        </w:rPr>
        <w:t>septembre 2020, les Parties contractantes appliquant le présent Règlement ne seront plus tenues d</w:t>
      </w:r>
      <w:r w:rsidR="00AA622B">
        <w:rPr>
          <w:b/>
          <w:lang w:val="fr-FR"/>
        </w:rPr>
        <w:t>’</w:t>
      </w:r>
      <w:r w:rsidR="00AA622B" w:rsidRPr="00EA14CE">
        <w:rPr>
          <w:b/>
          <w:lang w:val="fr-FR"/>
        </w:rPr>
        <w:t>accepter les homologations de type délivrées en vertu des précédentes séries d</w:t>
      </w:r>
      <w:r w:rsidR="00AA622B">
        <w:rPr>
          <w:b/>
          <w:lang w:val="fr-FR"/>
        </w:rPr>
        <w:t>’</w:t>
      </w:r>
      <w:r w:rsidR="00AA622B" w:rsidRPr="00EA14CE">
        <w:rPr>
          <w:b/>
          <w:lang w:val="fr-FR"/>
        </w:rPr>
        <w:t>amendements audit Règlement.</w:t>
      </w:r>
      <w:bookmarkEnd w:id="14"/>
    </w:p>
    <w:p w:rsidR="00AA622B" w:rsidRPr="00EA14CE" w:rsidRDefault="00436FC5" w:rsidP="00AA622B">
      <w:pPr>
        <w:pStyle w:val="SingleTxtG"/>
        <w:ind w:left="2268" w:hanging="1134"/>
        <w:rPr>
          <w:rFonts w:eastAsia="MS Mincho"/>
          <w:b/>
          <w:iCs/>
          <w:strike/>
          <w:spacing w:val="-4"/>
          <w:lang w:val="fr-FR"/>
        </w:rPr>
      </w:pPr>
      <w:bookmarkStart w:id="15" w:name="bookmark_32"/>
      <w:r>
        <w:rPr>
          <w:b/>
          <w:lang w:val="fr-FR"/>
        </w:rPr>
        <w:t>22.10</w:t>
      </w:r>
      <w:r w:rsidR="00AA622B" w:rsidRPr="00EA14CE">
        <w:rPr>
          <w:b/>
          <w:lang w:val="fr-FR"/>
        </w:rPr>
        <w:tab/>
        <w:t>Nonobstant les dispositions du paragraphe</w:t>
      </w:r>
      <w:r w:rsidR="008C1003">
        <w:rPr>
          <w:b/>
          <w:lang w:val="fr-FR"/>
        </w:rPr>
        <w:t> </w:t>
      </w:r>
      <w:r w:rsidR="00AA622B" w:rsidRPr="00EA14CE">
        <w:rPr>
          <w:b/>
          <w:lang w:val="fr-FR"/>
        </w:rPr>
        <w:t>22.9, les Parties contractantes appliquant le présent Règlement continueront de reconnaître les homologations de type délivrées pour des équipements ou des pièces au titre des précédentes séries d</w:t>
      </w:r>
      <w:r w:rsidR="00AA622B">
        <w:rPr>
          <w:b/>
          <w:lang w:val="fr-FR"/>
        </w:rPr>
        <w:t>’</w:t>
      </w:r>
      <w:r w:rsidR="00AA622B" w:rsidRPr="00EA14CE">
        <w:rPr>
          <w:b/>
          <w:lang w:val="fr-FR"/>
        </w:rPr>
        <w:t>amendements audit Règlement.</w:t>
      </w:r>
      <w:bookmarkEnd w:id="15"/>
    </w:p>
    <w:p w:rsidR="00AA622B" w:rsidRPr="00EA14CE" w:rsidRDefault="00436FC5" w:rsidP="00AA622B">
      <w:pPr>
        <w:pStyle w:val="SingleTxtG"/>
        <w:ind w:left="2268" w:hanging="1134"/>
        <w:rPr>
          <w:rFonts w:eastAsia="MS Mincho"/>
          <w:b/>
          <w:snapToGrid w:val="0"/>
          <w:lang w:val="fr-FR"/>
        </w:rPr>
      </w:pPr>
      <w:bookmarkStart w:id="16" w:name="bookmark_33"/>
      <w:r>
        <w:rPr>
          <w:b/>
          <w:lang w:val="fr-FR"/>
        </w:rPr>
        <w:t>22.11</w:t>
      </w:r>
      <w:r w:rsidR="00AA622B" w:rsidRPr="00EA14CE">
        <w:rPr>
          <w:b/>
          <w:lang w:val="fr-FR"/>
        </w:rPr>
        <w:tab/>
        <w:t>Nonobstant les dispositions du paragraphe 22.9, les Parties contractantes appliquant le présent Règlement continueront de reconnaître les homologations de type délivrées au titre des précédentes séries d</w:t>
      </w:r>
      <w:r w:rsidR="00AA622B">
        <w:rPr>
          <w:b/>
          <w:lang w:val="fr-FR"/>
        </w:rPr>
        <w:t>’</w:t>
      </w:r>
      <w:r w:rsidR="00AA622B" w:rsidRPr="00EA14CE">
        <w:rPr>
          <w:b/>
          <w:lang w:val="fr-FR"/>
        </w:rPr>
        <w:t>amendements audit Règlement pour les véhicules ou les systèmes pour véhicules non concernés par les modifications apportées par la série 02 d</w:t>
      </w:r>
      <w:r w:rsidR="00AA622B">
        <w:rPr>
          <w:b/>
          <w:lang w:val="fr-FR"/>
        </w:rPr>
        <w:t>’</w:t>
      </w:r>
      <w:r w:rsidR="00AA622B" w:rsidRPr="00EA14CE">
        <w:rPr>
          <w:b/>
          <w:lang w:val="fr-FR"/>
        </w:rPr>
        <w:t>amendements.</w:t>
      </w:r>
      <w:bookmarkEnd w:id="16"/>
    </w:p>
    <w:p w:rsidR="00AA622B" w:rsidRPr="00EA14CE" w:rsidRDefault="00436FC5" w:rsidP="00AA622B">
      <w:pPr>
        <w:pStyle w:val="SingleTxtG"/>
        <w:ind w:left="2268" w:hanging="1134"/>
        <w:rPr>
          <w:rFonts w:eastAsia="MS Mincho"/>
          <w:lang w:val="fr-FR"/>
        </w:rPr>
      </w:pPr>
      <w:bookmarkStart w:id="17" w:name="bookmark_34"/>
      <w:r>
        <w:rPr>
          <w:b/>
          <w:lang w:val="fr-FR"/>
        </w:rPr>
        <w:t>22.12</w:t>
      </w:r>
      <w:r w:rsidR="00AA622B" w:rsidRPr="00EA14CE">
        <w:rPr>
          <w:b/>
          <w:lang w:val="fr-FR"/>
        </w:rPr>
        <w:tab/>
        <w:t>Les Parties contractantes appliquant le présent Règlement ne pourront refuser d</w:t>
      </w:r>
      <w:r w:rsidR="00AA622B">
        <w:rPr>
          <w:b/>
          <w:lang w:val="fr-FR"/>
        </w:rPr>
        <w:t>’</w:t>
      </w:r>
      <w:r w:rsidR="00AA622B" w:rsidRPr="00EA14CE">
        <w:rPr>
          <w:b/>
          <w:lang w:val="fr-FR"/>
        </w:rPr>
        <w:t>accorder des homologations de type en vertu de l</w:t>
      </w:r>
      <w:r w:rsidR="00AA622B">
        <w:rPr>
          <w:b/>
          <w:lang w:val="fr-FR"/>
        </w:rPr>
        <w:t>’</w:t>
      </w:r>
      <w:r w:rsidR="00AA622B" w:rsidRPr="00EA14CE">
        <w:rPr>
          <w:b/>
          <w:lang w:val="fr-FR"/>
        </w:rPr>
        <w:t>une quelconque des précédentes séries d</w:t>
      </w:r>
      <w:r w:rsidR="00AA622B">
        <w:rPr>
          <w:b/>
          <w:lang w:val="fr-FR"/>
        </w:rPr>
        <w:t>’</w:t>
      </w:r>
      <w:r w:rsidR="00AA622B" w:rsidRPr="00EA14CE">
        <w:rPr>
          <w:b/>
          <w:lang w:val="fr-FR"/>
        </w:rPr>
        <w:t>amendements audit Règlement, ou d</w:t>
      </w:r>
      <w:r w:rsidR="00AA622B">
        <w:rPr>
          <w:b/>
          <w:lang w:val="fr-FR"/>
        </w:rPr>
        <w:t>’</w:t>
      </w:r>
      <w:r w:rsidR="00AA622B" w:rsidRPr="00EA14CE">
        <w:rPr>
          <w:b/>
          <w:lang w:val="fr-FR"/>
        </w:rPr>
        <w:t>accorder des extensions pour les homologations en question.</w:t>
      </w:r>
      <w:bookmarkEnd w:id="17"/>
      <w:r w:rsidR="00AA622B">
        <w:rPr>
          <w:lang w:val="fr-FR"/>
        </w:rPr>
        <w:t> ».</w:t>
      </w:r>
    </w:p>
    <w:p w:rsidR="00AA622B" w:rsidRPr="008C1003" w:rsidRDefault="00AA622B" w:rsidP="00AA622B">
      <w:pPr>
        <w:pStyle w:val="SingleTxtG"/>
        <w:rPr>
          <w:lang w:val="fr-FR"/>
        </w:rPr>
      </w:pPr>
      <w:bookmarkStart w:id="18" w:name="bookmark_35"/>
      <w:r w:rsidRPr="00441C0D">
        <w:rPr>
          <w:i/>
          <w:iCs/>
          <w:lang w:val="fr-FR"/>
        </w:rPr>
        <w:t>Annexe 15, paragraphes 11.1 et 11.2</w:t>
      </w:r>
      <w:r w:rsidRPr="00C5080B">
        <w:rPr>
          <w:iCs/>
          <w:lang w:val="fr-FR"/>
        </w:rPr>
        <w:t>, modifier comme suit</w:t>
      </w:r>
      <w:bookmarkEnd w:id="18"/>
      <w:r w:rsidR="008C1003" w:rsidRPr="00C5080B">
        <w:rPr>
          <w:iCs/>
          <w:lang w:val="fr-FR"/>
        </w:rPr>
        <w:t> :</w:t>
      </w:r>
    </w:p>
    <w:p w:rsidR="00AA622B" w:rsidRPr="00441C0D" w:rsidRDefault="00AA622B" w:rsidP="00AA622B">
      <w:pPr>
        <w:pStyle w:val="SingleTxtG"/>
        <w:ind w:left="2268" w:hanging="1134"/>
        <w:rPr>
          <w:lang w:val="fr-FR"/>
        </w:rPr>
      </w:pPr>
      <w:bookmarkStart w:id="19" w:name="bookmark_36"/>
      <w:r w:rsidRPr="00441C0D">
        <w:rPr>
          <w:lang w:val="fr-FR"/>
        </w:rPr>
        <w:t>« 11.1</w:t>
      </w:r>
      <w:r w:rsidRPr="00441C0D">
        <w:rPr>
          <w:lang w:val="fr-FR"/>
        </w:rPr>
        <w:tab/>
        <w:t>Mis en contact avec du GPL … volume excessifs.</w:t>
      </w:r>
      <w:bookmarkEnd w:id="19"/>
    </w:p>
    <w:p w:rsidR="00AA622B" w:rsidRPr="00441C0D" w:rsidRDefault="00AA622B" w:rsidP="008C1003">
      <w:pPr>
        <w:pStyle w:val="SingleTxtG"/>
        <w:ind w:left="2268"/>
        <w:rPr>
          <w:lang w:val="fr-FR"/>
        </w:rPr>
      </w:pPr>
      <w:bookmarkStart w:id="20" w:name="bookmark_37"/>
      <w:r w:rsidRPr="00441C0D">
        <w:rPr>
          <w:lang w:val="fr-FR"/>
        </w:rPr>
        <w:tab/>
        <w:t>Pour déterminer la résistance au n</w:t>
      </w:r>
      <w:r w:rsidR="008C1003">
        <w:rPr>
          <w:lang w:val="fr-FR"/>
        </w:rPr>
        <w:t>-pentane, utiliser la norme ISO </w:t>
      </w:r>
      <w:r w:rsidRPr="00441C0D">
        <w:rPr>
          <w:lang w:val="fr-FR"/>
        </w:rPr>
        <w:t>1817</w:t>
      </w:r>
      <w:r w:rsidR="008C1003">
        <w:rPr>
          <w:lang w:val="fr-FR"/>
        </w:rPr>
        <w:t>, dans les conditions suivantes </w:t>
      </w:r>
      <w:r w:rsidRPr="00441C0D">
        <w:rPr>
          <w:lang w:val="fr-FR"/>
        </w:rPr>
        <w:t>:</w:t>
      </w:r>
      <w:bookmarkEnd w:id="20"/>
    </w:p>
    <w:p w:rsidR="00AA622B" w:rsidRPr="00441C0D" w:rsidRDefault="00AA622B" w:rsidP="008C1003">
      <w:pPr>
        <w:pStyle w:val="SingleTxtG"/>
        <w:ind w:left="2268"/>
        <w:rPr>
          <w:lang w:val="fr-FR"/>
        </w:rPr>
      </w:pPr>
      <w:bookmarkStart w:id="21" w:name="bookmark_38"/>
      <w:r w:rsidRPr="00441C0D">
        <w:rPr>
          <w:lang w:val="fr-FR"/>
        </w:rPr>
        <w:t>a)</w:t>
      </w:r>
      <w:r w:rsidRPr="00441C0D">
        <w:rPr>
          <w:lang w:val="fr-FR"/>
        </w:rPr>
        <w:tab/>
        <w:t>Milieu</w:t>
      </w:r>
      <w:r w:rsidR="00F97986">
        <w:rPr>
          <w:lang w:val="fr-FR"/>
        </w:rPr>
        <w:t> </w:t>
      </w:r>
      <w:r w:rsidRPr="00441C0D">
        <w:rPr>
          <w:lang w:val="fr-FR"/>
        </w:rPr>
        <w:t>: n-pentane</w:t>
      </w:r>
      <w:r w:rsidR="00F97986">
        <w:rPr>
          <w:lang w:val="fr-FR"/>
        </w:rPr>
        <w:t> </w:t>
      </w:r>
      <w:r w:rsidRPr="00441C0D">
        <w:rPr>
          <w:lang w:val="fr-FR"/>
        </w:rPr>
        <w:t>;</w:t>
      </w:r>
      <w:bookmarkEnd w:id="21"/>
    </w:p>
    <w:p w:rsidR="00AA622B" w:rsidRPr="00441C0D" w:rsidRDefault="00AA622B" w:rsidP="008C1003">
      <w:pPr>
        <w:pStyle w:val="SingleTxtG"/>
        <w:ind w:left="2268"/>
        <w:rPr>
          <w:lang w:val="fr-FR"/>
        </w:rPr>
      </w:pPr>
      <w:bookmarkStart w:id="22" w:name="bookmark_39"/>
      <w:r w:rsidRPr="00441C0D">
        <w:rPr>
          <w:lang w:val="fr-FR"/>
        </w:rPr>
        <w:lastRenderedPageBreak/>
        <w:t>b)</w:t>
      </w:r>
      <w:r w:rsidRPr="00441C0D">
        <w:rPr>
          <w:lang w:val="fr-FR"/>
        </w:rPr>
        <w:tab/>
        <w:t>Température</w:t>
      </w:r>
      <w:r w:rsidR="00F97986">
        <w:rPr>
          <w:lang w:val="fr-FR"/>
        </w:rPr>
        <w:t> </w:t>
      </w:r>
      <w:r w:rsidRPr="00441C0D">
        <w:rPr>
          <w:lang w:val="fr-FR"/>
        </w:rPr>
        <w:t xml:space="preserve">: </w:t>
      </w:r>
      <w:r w:rsidRPr="00441C0D">
        <w:rPr>
          <w:b/>
          <w:bCs/>
          <w:lang w:val="fr-FR"/>
        </w:rPr>
        <w:t>[23]</w:t>
      </w:r>
      <w:r w:rsidRPr="00441C0D">
        <w:rPr>
          <w:lang w:val="fr-FR"/>
        </w:rPr>
        <w:t xml:space="preserve"> °C (tolérance selon la norme ISO</w:t>
      </w:r>
      <w:r w:rsidR="00F97986">
        <w:rPr>
          <w:lang w:val="fr-FR"/>
        </w:rPr>
        <w:t> </w:t>
      </w:r>
      <w:r w:rsidRPr="00441C0D">
        <w:rPr>
          <w:lang w:val="fr-FR"/>
        </w:rPr>
        <w:t>1817)</w:t>
      </w:r>
      <w:r w:rsidR="00F97986">
        <w:rPr>
          <w:lang w:val="fr-FR"/>
        </w:rPr>
        <w:t> </w:t>
      </w:r>
      <w:r w:rsidRPr="00441C0D">
        <w:rPr>
          <w:lang w:val="fr-FR"/>
        </w:rPr>
        <w:t>;</w:t>
      </w:r>
      <w:bookmarkEnd w:id="22"/>
    </w:p>
    <w:p w:rsidR="00AA622B" w:rsidRPr="00441C0D" w:rsidRDefault="00AA622B" w:rsidP="008C1003">
      <w:pPr>
        <w:pStyle w:val="SingleTxtG"/>
        <w:ind w:left="2268"/>
        <w:rPr>
          <w:lang w:val="fr-FR"/>
        </w:rPr>
      </w:pPr>
      <w:bookmarkStart w:id="23" w:name="bookmark_40"/>
      <w:r w:rsidRPr="00441C0D">
        <w:rPr>
          <w:lang w:val="fr-FR"/>
        </w:rPr>
        <w:t>c)</w:t>
      </w:r>
      <w:r w:rsidRPr="00441C0D">
        <w:rPr>
          <w:lang w:val="fr-FR"/>
        </w:rPr>
        <w:tab/>
        <w:t>Durée d</w:t>
      </w:r>
      <w:r>
        <w:rPr>
          <w:lang w:val="fr-FR"/>
        </w:rPr>
        <w:t>’</w:t>
      </w:r>
      <w:r w:rsidRPr="00441C0D">
        <w:rPr>
          <w:lang w:val="fr-FR"/>
        </w:rPr>
        <w:t>immersion</w:t>
      </w:r>
      <w:r w:rsidR="00F97986">
        <w:rPr>
          <w:lang w:val="fr-FR"/>
        </w:rPr>
        <w:t> </w:t>
      </w:r>
      <w:r w:rsidRPr="00441C0D">
        <w:rPr>
          <w:lang w:val="fr-FR"/>
        </w:rPr>
        <w:t xml:space="preserve">: </w:t>
      </w:r>
      <w:r w:rsidRPr="00441C0D">
        <w:rPr>
          <w:b/>
          <w:bCs/>
          <w:lang w:val="fr-FR"/>
        </w:rPr>
        <w:t>[350]</w:t>
      </w:r>
      <w:r w:rsidRPr="00441C0D">
        <w:rPr>
          <w:lang w:val="fr-FR"/>
        </w:rPr>
        <w:t xml:space="preserve"> heures.</w:t>
      </w:r>
      <w:bookmarkEnd w:id="23"/>
    </w:p>
    <w:p w:rsidR="00AA622B" w:rsidRPr="00441C0D" w:rsidRDefault="00C5080B" w:rsidP="00AA622B">
      <w:pPr>
        <w:pStyle w:val="SingleTxtG"/>
        <w:ind w:left="2268" w:hanging="1134"/>
        <w:rPr>
          <w:lang w:val="fr-FR"/>
        </w:rPr>
      </w:pPr>
      <w:bookmarkStart w:id="24" w:name="A15_S11_2_"/>
      <w:bookmarkStart w:id="25" w:name="bookmark_41"/>
      <w:r>
        <w:rPr>
          <w:lang w:val="fr-FR"/>
        </w:rPr>
        <w:t>11.2</w:t>
      </w:r>
      <w:r w:rsidR="00AA622B" w:rsidRPr="00441C0D">
        <w:rPr>
          <w:lang w:val="fr-FR"/>
        </w:rPr>
        <w:tab/>
        <w:t>Critères d</w:t>
      </w:r>
      <w:r w:rsidR="00AA622B">
        <w:rPr>
          <w:lang w:val="fr-FR"/>
        </w:rPr>
        <w:t>’</w:t>
      </w:r>
      <w:r w:rsidR="00AA622B" w:rsidRPr="00441C0D">
        <w:rPr>
          <w:lang w:val="fr-FR"/>
        </w:rPr>
        <w:t>acceptation</w:t>
      </w:r>
      <w:r w:rsidR="00F97986">
        <w:rPr>
          <w:lang w:val="fr-FR"/>
        </w:rPr>
        <w:t> </w:t>
      </w:r>
      <w:r w:rsidR="00AA622B" w:rsidRPr="00441C0D">
        <w:rPr>
          <w:lang w:val="fr-FR"/>
        </w:rPr>
        <w:t>:</w:t>
      </w:r>
      <w:bookmarkEnd w:id="24"/>
      <w:bookmarkEnd w:id="25"/>
    </w:p>
    <w:p w:rsidR="00AA622B" w:rsidRPr="00441C0D" w:rsidRDefault="00AA622B" w:rsidP="008C1003">
      <w:pPr>
        <w:pStyle w:val="SingleTxtG"/>
        <w:ind w:left="2268"/>
        <w:rPr>
          <w:lang w:val="fr-FR"/>
        </w:rPr>
      </w:pPr>
      <w:bookmarkStart w:id="26" w:name="bookmark_42"/>
      <w:r w:rsidRPr="00441C0D">
        <w:rPr>
          <w:lang w:val="fr-FR"/>
        </w:rPr>
        <w:tab/>
      </w:r>
      <w:r w:rsidR="00F97986">
        <w:rPr>
          <w:lang w:val="fr-FR"/>
        </w:rPr>
        <w:t>C</w:t>
      </w:r>
      <w:r w:rsidRPr="00441C0D">
        <w:rPr>
          <w:lang w:val="fr-FR"/>
        </w:rPr>
        <w:t>hangement maximal de volume</w:t>
      </w:r>
      <w:r w:rsidR="00F97986">
        <w:rPr>
          <w:lang w:val="fr-FR"/>
        </w:rPr>
        <w:t> </w:t>
      </w:r>
      <w:r w:rsidRPr="00441C0D">
        <w:rPr>
          <w:lang w:val="fr-FR"/>
        </w:rPr>
        <w:t xml:space="preserve">: </w:t>
      </w:r>
      <w:r w:rsidRPr="00441C0D">
        <w:rPr>
          <w:b/>
          <w:bCs/>
          <w:lang w:val="fr-FR"/>
        </w:rPr>
        <w:t>[20]</w:t>
      </w:r>
      <w:r w:rsidR="00F97986">
        <w:rPr>
          <w:lang w:val="fr-FR"/>
        </w:rPr>
        <w:t> </w:t>
      </w:r>
      <w:r w:rsidRPr="00441C0D">
        <w:rPr>
          <w:lang w:val="fr-FR"/>
        </w:rPr>
        <w:t>%.</w:t>
      </w:r>
      <w:bookmarkEnd w:id="26"/>
    </w:p>
    <w:p w:rsidR="00AA622B" w:rsidRDefault="00AA622B" w:rsidP="008C1003">
      <w:pPr>
        <w:pStyle w:val="SingleTxtG"/>
        <w:ind w:left="2268"/>
        <w:rPr>
          <w:rFonts w:eastAsia="MS Mincho"/>
          <w:bCs/>
          <w:i/>
          <w:spacing w:val="-2"/>
          <w:lang w:val="fr-FR"/>
        </w:rPr>
      </w:pPr>
      <w:bookmarkStart w:id="27" w:name="bookmark_43"/>
      <w:r w:rsidRPr="00441C0D">
        <w:rPr>
          <w:lang w:val="fr-FR"/>
        </w:rPr>
        <w:tab/>
        <w:t>Après un séjour dans l</w:t>
      </w:r>
      <w:r>
        <w:rPr>
          <w:lang w:val="fr-FR"/>
        </w:rPr>
        <w:t>’</w:t>
      </w:r>
      <w:r w:rsidRPr="00441C0D">
        <w:rPr>
          <w:lang w:val="fr-FR"/>
        </w:rPr>
        <w:t xml:space="preserve">air à la température de </w:t>
      </w:r>
      <w:r w:rsidRPr="00441C0D">
        <w:rPr>
          <w:b/>
          <w:bCs/>
          <w:lang w:val="fr-FR"/>
        </w:rPr>
        <w:t>[40]</w:t>
      </w:r>
      <w:r w:rsidRPr="00441C0D">
        <w:rPr>
          <w:lang w:val="fr-FR"/>
        </w:rPr>
        <w:t xml:space="preserve">°C, pendant </w:t>
      </w:r>
      <w:r w:rsidRPr="00441C0D">
        <w:rPr>
          <w:b/>
          <w:bCs/>
          <w:lang w:val="fr-FR"/>
        </w:rPr>
        <w:t>[48]</w:t>
      </w:r>
      <w:r w:rsidR="00F97986">
        <w:rPr>
          <w:b/>
          <w:bCs/>
          <w:lang w:val="fr-FR"/>
        </w:rPr>
        <w:t> </w:t>
      </w:r>
      <w:r w:rsidRPr="00441C0D">
        <w:rPr>
          <w:lang w:val="fr-FR"/>
        </w:rPr>
        <w:t xml:space="preserve">h, la masse ne doit pas diminuer de plus de </w:t>
      </w:r>
      <w:r w:rsidRPr="00441C0D">
        <w:rPr>
          <w:b/>
          <w:bCs/>
          <w:lang w:val="fr-FR"/>
        </w:rPr>
        <w:t>[5]</w:t>
      </w:r>
      <w:r w:rsidR="00F97986">
        <w:rPr>
          <w:lang w:val="fr-FR"/>
        </w:rPr>
        <w:t> </w:t>
      </w:r>
      <w:r w:rsidRPr="00441C0D">
        <w:rPr>
          <w:lang w:val="fr-FR"/>
        </w:rPr>
        <w:t>% par rapport à la masse initiale.</w:t>
      </w:r>
      <w:bookmarkEnd w:id="27"/>
      <w:r w:rsidRPr="00441C0D">
        <w:rPr>
          <w:lang w:val="fr-FR"/>
        </w:rPr>
        <w:t> ».</w:t>
      </w:r>
    </w:p>
    <w:p w:rsidR="00AA622B" w:rsidRPr="00441C0D" w:rsidRDefault="00AA622B" w:rsidP="00F97986">
      <w:pPr>
        <w:pStyle w:val="HChG"/>
        <w:rPr>
          <w:lang w:val="fr-FR"/>
        </w:rPr>
      </w:pPr>
      <w:bookmarkStart w:id="28" w:name="bookmark_44"/>
      <w:r w:rsidRPr="00441C0D">
        <w:rPr>
          <w:lang w:val="fr-FR"/>
        </w:rPr>
        <w:tab/>
        <w:t>II.</w:t>
      </w:r>
      <w:r w:rsidRPr="00441C0D">
        <w:rPr>
          <w:lang w:val="fr-FR"/>
        </w:rPr>
        <w:tab/>
        <w:t>Justification</w:t>
      </w:r>
      <w:bookmarkEnd w:id="28"/>
    </w:p>
    <w:p w:rsidR="00AA622B" w:rsidRPr="00591B88" w:rsidRDefault="00AA622B" w:rsidP="00591B88">
      <w:pPr>
        <w:pStyle w:val="SingleTxtG"/>
      </w:pPr>
      <w:bookmarkStart w:id="29" w:name="bookmark_45"/>
      <w:r w:rsidRPr="00441C0D">
        <w:rPr>
          <w:lang w:val="fr-FR"/>
        </w:rPr>
        <w:t>1.</w:t>
      </w:r>
      <w:r w:rsidRPr="00441C0D">
        <w:rPr>
          <w:lang w:val="fr-FR"/>
        </w:rPr>
        <w:tab/>
      </w:r>
      <w:r w:rsidRPr="00591B88">
        <w:t>Paragraphe 17.1.6.1</w:t>
      </w:r>
      <w:r w:rsidR="00591B88">
        <w:t> </w:t>
      </w:r>
      <w:r w:rsidRPr="00591B88">
        <w:t>: La nécessité d’avoir un accès visuel à l’équipement GPL « sans qu’il soit nécessaire de démonter un organe ou un élément du capot de protection » n’est pas justifiée si le réservoir est situé à l’intérieur du véhicule, à l’abri des détériorations les plus courantes qui provoquent sa corrosion. Cet emplacement du réservoir n’a été à l’origine d’aucun problème concret et devrait donc être encouragé et ne pas faire l’objet de contraintes supplémentaires.</w:t>
      </w:r>
      <w:bookmarkEnd w:id="29"/>
    </w:p>
    <w:p w:rsidR="00AA622B" w:rsidRPr="00591B88" w:rsidRDefault="00AA622B" w:rsidP="00591B88">
      <w:pPr>
        <w:pStyle w:val="SingleTxtG"/>
      </w:pPr>
      <w:bookmarkStart w:id="30" w:name="bookmark_46"/>
      <w:r w:rsidRPr="00591B88">
        <w:t>2.</w:t>
      </w:r>
      <w:r w:rsidRPr="00591B88">
        <w:tab/>
        <w:t>Paragraphes 22.6 à 22.12</w:t>
      </w:r>
      <w:r w:rsidR="00591B88">
        <w:t> </w:t>
      </w:r>
      <w:r w:rsidRPr="00591B88">
        <w:t xml:space="preserve">: Étant donné que la proposition instaure de nouvelles prescriptions, des dispositions transitoires sont nécessaires. Les dispositions transitoires proposées permettront de disposer de suffisamment de temps pour démontrer la fiabilité de la production actuelle. Une interdiction technologique nécessiterait de revoir </w:t>
      </w:r>
      <w:r w:rsidR="00591B88" w:rsidRPr="00591B88">
        <w:t>complétement</w:t>
      </w:r>
      <w:r w:rsidRPr="00591B88">
        <w:t xml:space="preserve"> la conception des véhicules, et donc de mettre en place des dispositions transitoires plus longues et de diminuer le volume de la production de véhicules alimentés au GPL, ce qui réduirait la diversité et l’attrait des produits fonctionnant au GPL.</w:t>
      </w:r>
      <w:bookmarkEnd w:id="30"/>
    </w:p>
    <w:p w:rsidR="00AA622B" w:rsidRPr="00591B88" w:rsidRDefault="00591B88" w:rsidP="00591B88">
      <w:pPr>
        <w:pStyle w:val="SingleTxtG"/>
      </w:pPr>
      <w:bookmarkStart w:id="31" w:name="bookmark_47"/>
      <w:r>
        <w:t>3.</w:t>
      </w:r>
      <w:r>
        <w:tab/>
        <w:t>Annexe 15, paragraphe </w:t>
      </w:r>
      <w:r w:rsidR="00AA622B" w:rsidRPr="00591B88">
        <w:t>11</w:t>
      </w:r>
      <w:r>
        <w:t> </w:t>
      </w:r>
      <w:r w:rsidR="00AA622B" w:rsidRPr="00591B88">
        <w:t>: À la 112</w:t>
      </w:r>
      <w:r w:rsidR="00AA622B" w:rsidRPr="00591B88">
        <w:rPr>
          <w:vertAlign w:val="superscript"/>
        </w:rPr>
        <w:t>e</w:t>
      </w:r>
      <w:r w:rsidRPr="00591B88">
        <w:t> </w:t>
      </w:r>
      <w:r w:rsidR="00AA622B" w:rsidRPr="00591B88">
        <w:t>session du GRSG, l’Allemagne s’est déclarée préoccupée par les incidences possibles du vieillissement d</w:t>
      </w:r>
      <w:r>
        <w:t>es matériaux en contact avec le </w:t>
      </w:r>
      <w:r w:rsidR="00AA622B" w:rsidRPr="00591B88">
        <w:t>GPL (voir GRSG-112-31). Il est entendu que la procédure d’essai en vigueur depuis au moins la révision</w:t>
      </w:r>
      <w:r>
        <w:t> </w:t>
      </w:r>
      <w:r w:rsidR="00AA622B" w:rsidRPr="00591B88">
        <w:t xml:space="preserve">2 du Règlement </w:t>
      </w:r>
      <w:r w:rsidRPr="002D76F4">
        <w:rPr>
          <w:rFonts w:eastAsia="MS Mincho"/>
          <w:szCs w:val="22"/>
        </w:rPr>
        <w:t>n</w:t>
      </w:r>
      <w:r w:rsidRPr="002D76F4">
        <w:rPr>
          <w:rFonts w:eastAsia="MS Mincho"/>
          <w:szCs w:val="22"/>
          <w:vertAlign w:val="superscript"/>
        </w:rPr>
        <w:t>o</w:t>
      </w:r>
      <w:r>
        <w:t> </w:t>
      </w:r>
      <w:r w:rsidR="00AA622B" w:rsidRPr="00591B88">
        <w:t>67 (2006) n’était plus considérée comme suffisante, étant donné qu’un tuyau en caoutchouc conforme au Règlement avait été à l’</w:t>
      </w:r>
      <w:r>
        <w:t>origine du </w:t>
      </w:r>
      <w:r w:rsidR="00AA622B" w:rsidRPr="00591B88">
        <w:t>problème.</w:t>
      </w:r>
      <w:bookmarkEnd w:id="31"/>
    </w:p>
    <w:p w:rsidR="00AA622B" w:rsidRDefault="00AA622B" w:rsidP="00591B88">
      <w:pPr>
        <w:pStyle w:val="SingleTxtG"/>
        <w:rPr>
          <w:lang w:val="fr-FR"/>
        </w:rPr>
      </w:pPr>
      <w:bookmarkStart w:id="32" w:name="bookmark_48"/>
      <w:r w:rsidRPr="00591B88">
        <w:t>4.</w:t>
      </w:r>
      <w:r w:rsidRPr="00591B88">
        <w:tab/>
        <w:t>Pour faire en sorte que le Règlement reste conforme aux directives axées sur des critères fonctionnels du WP.29 et améliorer la situation dès que possible, les experts de l’OICA et de l’Association européenne des fournisseurs de l’automobile (CLEPA) proposent de modifier cette procédure d’essai plutôt que de procéder à une interdiction pure et simple, qui porterait également sur des technologies n’ayant aucun lien avec l’incident. Certains véhicules de série utilisent déjà des matériaux</w:t>
      </w:r>
      <w:r w:rsidRPr="00441C0D">
        <w:rPr>
          <w:lang w:val="fr-FR"/>
        </w:rPr>
        <w:t xml:space="preserve"> non métalliques de qualité, qui permettent de porter la capacité du réservoir à un niveau inatteignable avec un tuyau métallique, et ne rencontrent aucun problème concret.</w:t>
      </w:r>
      <w:bookmarkEnd w:id="32"/>
    </w:p>
    <w:p w:rsidR="00591B88" w:rsidRPr="00591B88" w:rsidRDefault="00591B88" w:rsidP="00591B88">
      <w:pPr>
        <w:pStyle w:val="SingleTxtG"/>
        <w:spacing w:before="240" w:after="0"/>
        <w:jc w:val="center"/>
        <w:rPr>
          <w:u w:val="single"/>
        </w:rPr>
      </w:pPr>
      <w:r>
        <w:rPr>
          <w:u w:val="single"/>
        </w:rPr>
        <w:tab/>
      </w:r>
      <w:r>
        <w:rPr>
          <w:u w:val="single"/>
        </w:rPr>
        <w:tab/>
      </w:r>
      <w:r>
        <w:rPr>
          <w:u w:val="single"/>
        </w:rPr>
        <w:tab/>
      </w:r>
    </w:p>
    <w:sectPr w:rsidR="00591B88" w:rsidRPr="00591B88" w:rsidSect="00AA622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B19" w:rsidRDefault="00117B19" w:rsidP="00F95C08">
      <w:pPr>
        <w:spacing w:line="240" w:lineRule="auto"/>
      </w:pPr>
    </w:p>
  </w:endnote>
  <w:endnote w:type="continuationSeparator" w:id="0">
    <w:p w:rsidR="00117B19" w:rsidRPr="00AC3823" w:rsidRDefault="00117B19" w:rsidP="00AC3823">
      <w:pPr>
        <w:pStyle w:val="Footer"/>
      </w:pPr>
    </w:p>
  </w:endnote>
  <w:endnote w:type="continuationNotice" w:id="1">
    <w:p w:rsidR="00117B19" w:rsidRDefault="00117B1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22B" w:rsidRPr="00AA622B" w:rsidRDefault="00AA622B" w:rsidP="00AA622B">
    <w:pPr>
      <w:pStyle w:val="Footer"/>
      <w:tabs>
        <w:tab w:val="right" w:pos="9638"/>
      </w:tabs>
    </w:pPr>
    <w:r w:rsidRPr="00AA622B">
      <w:rPr>
        <w:b/>
        <w:sz w:val="18"/>
      </w:rPr>
      <w:fldChar w:fldCharType="begin"/>
    </w:r>
    <w:r w:rsidRPr="00AA622B">
      <w:rPr>
        <w:b/>
        <w:sz w:val="18"/>
      </w:rPr>
      <w:instrText xml:space="preserve"> PAGE  \* MERGEFORMAT </w:instrText>
    </w:r>
    <w:r w:rsidRPr="00AA622B">
      <w:rPr>
        <w:b/>
        <w:sz w:val="18"/>
      </w:rPr>
      <w:fldChar w:fldCharType="separate"/>
    </w:r>
    <w:r w:rsidR="00FB7D7B">
      <w:rPr>
        <w:b/>
        <w:noProof/>
        <w:sz w:val="18"/>
      </w:rPr>
      <w:t>2</w:t>
    </w:r>
    <w:r w:rsidRPr="00AA622B">
      <w:rPr>
        <w:b/>
        <w:sz w:val="18"/>
      </w:rPr>
      <w:fldChar w:fldCharType="end"/>
    </w:r>
    <w:r>
      <w:rPr>
        <w:b/>
        <w:sz w:val="18"/>
      </w:rPr>
      <w:tab/>
    </w:r>
    <w:r>
      <w:t>GE.18-00938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22B" w:rsidRPr="00AA622B" w:rsidRDefault="00AA622B" w:rsidP="00AA622B">
    <w:pPr>
      <w:pStyle w:val="Footer"/>
      <w:tabs>
        <w:tab w:val="right" w:pos="9638"/>
      </w:tabs>
      <w:rPr>
        <w:b/>
        <w:sz w:val="18"/>
      </w:rPr>
    </w:pPr>
    <w:r>
      <w:t>GE.18-00938</w:t>
    </w:r>
    <w:r>
      <w:tab/>
    </w:r>
    <w:r w:rsidRPr="00AA622B">
      <w:rPr>
        <w:b/>
        <w:sz w:val="18"/>
      </w:rPr>
      <w:fldChar w:fldCharType="begin"/>
    </w:r>
    <w:r w:rsidRPr="00AA622B">
      <w:rPr>
        <w:b/>
        <w:sz w:val="18"/>
      </w:rPr>
      <w:instrText xml:space="preserve"> PAGE  \* MERGEFORMAT </w:instrText>
    </w:r>
    <w:r w:rsidRPr="00AA622B">
      <w:rPr>
        <w:b/>
        <w:sz w:val="18"/>
      </w:rPr>
      <w:fldChar w:fldCharType="separate"/>
    </w:r>
    <w:r w:rsidR="00FB7D7B">
      <w:rPr>
        <w:b/>
        <w:noProof/>
        <w:sz w:val="18"/>
      </w:rPr>
      <w:t>3</w:t>
    </w:r>
    <w:r w:rsidRPr="00AA622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AA622B" w:rsidRDefault="00AA622B" w:rsidP="00AA622B">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18-00938  (F)    060218    070218</w:t>
    </w:r>
    <w:r>
      <w:rPr>
        <w:sz w:val="20"/>
      </w:rPr>
      <w:br/>
    </w:r>
    <w:r w:rsidRPr="00AA622B">
      <w:rPr>
        <w:rFonts w:ascii="C39T30Lfz" w:hAnsi="C39T30Lfz"/>
        <w:sz w:val="56"/>
      </w:rPr>
      <w:t></w:t>
    </w:r>
    <w:r w:rsidRPr="00AA622B">
      <w:rPr>
        <w:rFonts w:ascii="C39T30Lfz" w:hAnsi="C39T30Lfz"/>
        <w:sz w:val="56"/>
      </w:rPr>
      <w:t></w:t>
    </w:r>
    <w:r w:rsidRPr="00AA622B">
      <w:rPr>
        <w:rFonts w:ascii="C39T30Lfz" w:hAnsi="C39T30Lfz"/>
        <w:sz w:val="56"/>
      </w:rPr>
      <w:t></w:t>
    </w:r>
    <w:r w:rsidRPr="00AA622B">
      <w:rPr>
        <w:rFonts w:ascii="C39T30Lfz" w:hAnsi="C39T30Lfz"/>
        <w:sz w:val="56"/>
      </w:rPr>
      <w:t></w:t>
    </w:r>
    <w:r w:rsidRPr="00AA622B">
      <w:rPr>
        <w:rFonts w:ascii="C39T30Lfz" w:hAnsi="C39T30Lfz"/>
        <w:sz w:val="56"/>
      </w:rPr>
      <w:t></w:t>
    </w:r>
    <w:r w:rsidRPr="00AA622B">
      <w:rPr>
        <w:rFonts w:ascii="C39T30Lfz" w:hAnsi="C39T30Lfz"/>
        <w:sz w:val="56"/>
      </w:rPr>
      <w:t></w:t>
    </w:r>
    <w:r w:rsidRPr="00AA622B">
      <w:rPr>
        <w:rFonts w:ascii="C39T30Lfz" w:hAnsi="C39T30Lfz"/>
        <w:sz w:val="56"/>
      </w:rPr>
      <w:t></w:t>
    </w:r>
    <w:r w:rsidRPr="00AA622B">
      <w:rPr>
        <w:rFonts w:ascii="C39T30Lfz" w:hAnsi="C39T30Lfz"/>
        <w:sz w:val="56"/>
      </w:rPr>
      <w:t></w:t>
    </w:r>
    <w:r w:rsidRPr="00AA622B">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G/2018/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8/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B19" w:rsidRPr="00AC3823" w:rsidRDefault="00117B19" w:rsidP="00AC3823">
      <w:pPr>
        <w:pStyle w:val="Footer"/>
        <w:tabs>
          <w:tab w:val="right" w:pos="2155"/>
        </w:tabs>
        <w:spacing w:after="80" w:line="240" w:lineRule="atLeast"/>
        <w:ind w:left="680"/>
        <w:rPr>
          <w:u w:val="single"/>
        </w:rPr>
      </w:pPr>
      <w:r>
        <w:rPr>
          <w:u w:val="single"/>
        </w:rPr>
        <w:tab/>
      </w:r>
    </w:p>
  </w:footnote>
  <w:footnote w:type="continuationSeparator" w:id="0">
    <w:p w:rsidR="00117B19" w:rsidRPr="00AC3823" w:rsidRDefault="00117B19" w:rsidP="00AC3823">
      <w:pPr>
        <w:pStyle w:val="Footer"/>
        <w:tabs>
          <w:tab w:val="right" w:pos="2155"/>
        </w:tabs>
        <w:spacing w:after="80" w:line="240" w:lineRule="atLeast"/>
        <w:ind w:left="680"/>
        <w:rPr>
          <w:u w:val="single"/>
        </w:rPr>
      </w:pPr>
      <w:r>
        <w:rPr>
          <w:u w:val="single"/>
        </w:rPr>
        <w:tab/>
      </w:r>
    </w:p>
  </w:footnote>
  <w:footnote w:type="continuationNotice" w:id="1">
    <w:p w:rsidR="00117B19" w:rsidRPr="00AC3823" w:rsidRDefault="00117B19">
      <w:pPr>
        <w:spacing w:line="240" w:lineRule="auto"/>
        <w:rPr>
          <w:sz w:val="2"/>
          <w:szCs w:val="2"/>
        </w:rPr>
      </w:pPr>
    </w:p>
  </w:footnote>
  <w:footnote w:id="2">
    <w:p w:rsidR="00AA622B" w:rsidRPr="00AA622B" w:rsidRDefault="00AA622B">
      <w:pPr>
        <w:pStyle w:val="FootnoteText"/>
      </w:pPr>
      <w:r>
        <w:rPr>
          <w:rStyle w:val="FootnoteReference"/>
        </w:rPr>
        <w:tab/>
      </w:r>
      <w:r w:rsidRPr="00AA622B">
        <w:rPr>
          <w:rStyle w:val="FootnoteReference"/>
          <w:sz w:val="20"/>
          <w:vertAlign w:val="baseline"/>
        </w:rPr>
        <w:t>*</w:t>
      </w:r>
      <w:r>
        <w:rPr>
          <w:rStyle w:val="FootnoteReference"/>
          <w:sz w:val="20"/>
          <w:vertAlign w:val="baseline"/>
        </w:rPr>
        <w:tab/>
      </w:r>
      <w:r w:rsidRPr="00AA622B">
        <w:rPr>
          <w:spacing w:val="-2"/>
          <w:lang w:val="fr-FR"/>
        </w:rPr>
        <w:t>Conformément au programme de travail du Comité des transports intérieurs pour la période 2014-2018</w:t>
      </w:r>
      <w:r>
        <w:rPr>
          <w:lang w:val="fr-FR"/>
        </w:rPr>
        <w:t xml:space="preserve"> </w:t>
      </w:r>
      <w:r w:rsidRPr="00AA622B">
        <w:rPr>
          <w:spacing w:val="-1"/>
          <w:lang w:val="fr-FR"/>
        </w:rPr>
        <w:t>(ECE/TRANS/240, par. 105, et ECE/TRANS/2014/26, module 02.4), le Forum mondial a pour mission d’élaborer, d’harmoniser et de mettre à jour les Règlements en vue d’améliorer les caractéristiques</w:t>
      </w:r>
      <w:r>
        <w:rPr>
          <w:lang w:val="fr-FR"/>
        </w:rPr>
        <w:t xml:space="preserve">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22B" w:rsidRPr="00AA622B" w:rsidRDefault="00FB7D7B">
    <w:pPr>
      <w:pStyle w:val="Header"/>
    </w:pPr>
    <w:r>
      <w:fldChar w:fldCharType="begin"/>
    </w:r>
    <w:r>
      <w:instrText xml:space="preserve"> TITLE  \* MERGEFORMAT </w:instrText>
    </w:r>
    <w:r>
      <w:fldChar w:fldCharType="separate"/>
    </w:r>
    <w:r w:rsidR="0091186E">
      <w:t>ECE/TRANS/WP.29/GRSG/2018/2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22B" w:rsidRPr="00AA622B" w:rsidRDefault="00FB7D7B" w:rsidP="00AA622B">
    <w:pPr>
      <w:pStyle w:val="Header"/>
      <w:jc w:val="right"/>
    </w:pPr>
    <w:r>
      <w:fldChar w:fldCharType="begin"/>
    </w:r>
    <w:r>
      <w:instrText xml:space="preserve"> TITLE  \* MERGEFORMAT </w:instrText>
    </w:r>
    <w:r>
      <w:fldChar w:fldCharType="separate"/>
    </w:r>
    <w:r w:rsidR="0091186E">
      <w:t>ECE/TRANS/WP.29/GRSG/2018/2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revisionView w:inkAnnotation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B19"/>
    <w:rsid w:val="00017F94"/>
    <w:rsid w:val="00023842"/>
    <w:rsid w:val="000334F9"/>
    <w:rsid w:val="00045FEB"/>
    <w:rsid w:val="0007796D"/>
    <w:rsid w:val="000B7790"/>
    <w:rsid w:val="00111F2F"/>
    <w:rsid w:val="00117B19"/>
    <w:rsid w:val="0014365E"/>
    <w:rsid w:val="00143C66"/>
    <w:rsid w:val="00176178"/>
    <w:rsid w:val="001F525A"/>
    <w:rsid w:val="00223272"/>
    <w:rsid w:val="0024779E"/>
    <w:rsid w:val="00257168"/>
    <w:rsid w:val="002744B8"/>
    <w:rsid w:val="002832AC"/>
    <w:rsid w:val="002D7C93"/>
    <w:rsid w:val="00305801"/>
    <w:rsid w:val="003916DE"/>
    <w:rsid w:val="00436FC5"/>
    <w:rsid w:val="00441C3B"/>
    <w:rsid w:val="00446FE5"/>
    <w:rsid w:val="00452396"/>
    <w:rsid w:val="00471565"/>
    <w:rsid w:val="004837D8"/>
    <w:rsid w:val="004E468C"/>
    <w:rsid w:val="005505B7"/>
    <w:rsid w:val="00573BE5"/>
    <w:rsid w:val="00586ED3"/>
    <w:rsid w:val="00591B88"/>
    <w:rsid w:val="00596AA9"/>
    <w:rsid w:val="0071601D"/>
    <w:rsid w:val="007A62E6"/>
    <w:rsid w:val="007F20FA"/>
    <w:rsid w:val="0080684C"/>
    <w:rsid w:val="00817468"/>
    <w:rsid w:val="00871C75"/>
    <w:rsid w:val="008776DC"/>
    <w:rsid w:val="008C1003"/>
    <w:rsid w:val="0091186E"/>
    <w:rsid w:val="009446C0"/>
    <w:rsid w:val="009705C8"/>
    <w:rsid w:val="009C1CF4"/>
    <w:rsid w:val="009F6B74"/>
    <w:rsid w:val="00A30353"/>
    <w:rsid w:val="00AA622B"/>
    <w:rsid w:val="00AC3823"/>
    <w:rsid w:val="00AE323C"/>
    <w:rsid w:val="00AF0CB5"/>
    <w:rsid w:val="00B00181"/>
    <w:rsid w:val="00B00B0D"/>
    <w:rsid w:val="00B765F7"/>
    <w:rsid w:val="00BA0CA9"/>
    <w:rsid w:val="00C02897"/>
    <w:rsid w:val="00C5080B"/>
    <w:rsid w:val="00C97039"/>
    <w:rsid w:val="00D3439C"/>
    <w:rsid w:val="00DB1831"/>
    <w:rsid w:val="00DD3BFD"/>
    <w:rsid w:val="00DF6678"/>
    <w:rsid w:val="00E0299A"/>
    <w:rsid w:val="00E47ED8"/>
    <w:rsid w:val="00E85C74"/>
    <w:rsid w:val="00EA6547"/>
    <w:rsid w:val="00EF2E22"/>
    <w:rsid w:val="00F35BAF"/>
    <w:rsid w:val="00F660DF"/>
    <w:rsid w:val="00F94664"/>
    <w:rsid w:val="00F9573C"/>
    <w:rsid w:val="00F95C08"/>
    <w:rsid w:val="00F97986"/>
    <w:rsid w:val="00FB7D7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42AF6AA-8FA7-46D6-9309-07F6E6B9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5912</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ECE/TRANS/WP.29/GRSG/2018/2</vt:lpstr>
      <vt:lpstr>ECE/TRANS/WP.29/GRSG/2018/2</vt:lpstr>
    </vt:vector>
  </TitlesOfParts>
  <Company>DCM</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ECE/TRANS/WP.29/GRSG/2018/2</dc:title>
  <dc:subject/>
  <dc:creator>Marie DESCHAMPS</dc:creator>
  <cp:keywords/>
  <cp:lastModifiedBy>Benedicte Boudol</cp:lastModifiedBy>
  <cp:revision>2</cp:revision>
  <cp:lastPrinted>2018-02-07T13:40:00Z</cp:lastPrinted>
  <dcterms:created xsi:type="dcterms:W3CDTF">2018-02-07T16:16:00Z</dcterms:created>
  <dcterms:modified xsi:type="dcterms:W3CDTF">2018-02-07T16:16:00Z</dcterms:modified>
</cp:coreProperties>
</file>