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671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67142" w:rsidP="00567142">
            <w:pPr>
              <w:jc w:val="right"/>
            </w:pPr>
            <w:r w:rsidRPr="00567142">
              <w:rPr>
                <w:sz w:val="40"/>
              </w:rPr>
              <w:t>ECE</w:t>
            </w:r>
            <w:r>
              <w:t>/TRANS/WP.29/GRE/2018/35</w:t>
            </w:r>
          </w:p>
        </w:tc>
      </w:tr>
      <w:tr w:rsidR="002D5AAC" w:rsidRPr="005671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671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67142" w:rsidRDefault="00567142" w:rsidP="00567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567142" w:rsidRDefault="00567142" w:rsidP="00567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67142" w:rsidRPr="008D53B6" w:rsidRDefault="00567142" w:rsidP="00567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67142" w:rsidRPr="00567142" w:rsidRDefault="00567142" w:rsidP="00567142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567142">
        <w:rPr>
          <w:sz w:val="28"/>
          <w:szCs w:val="28"/>
        </w:rPr>
        <w:t>Комитет по внутреннему транспорту</w:t>
      </w:r>
    </w:p>
    <w:p w:rsidR="00567142" w:rsidRPr="00567142" w:rsidRDefault="00567142" w:rsidP="00567142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56714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67142">
        <w:rPr>
          <w:b/>
          <w:bCs/>
          <w:sz w:val="24"/>
          <w:szCs w:val="24"/>
        </w:rPr>
        <w:t>в области транспортных средств</w:t>
      </w:r>
    </w:p>
    <w:p w:rsidR="00567142" w:rsidRPr="00567142" w:rsidRDefault="00567142" w:rsidP="00567142">
      <w:pPr>
        <w:pStyle w:val="SingleTxtGR"/>
        <w:spacing w:after="0"/>
        <w:ind w:left="0"/>
        <w:jc w:val="left"/>
        <w:rPr>
          <w:b/>
        </w:rPr>
      </w:pPr>
      <w:r w:rsidRPr="00567142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567142">
        <w:rPr>
          <w:b/>
          <w:bCs/>
        </w:rPr>
        <w:t>и световой сигнализации</w:t>
      </w:r>
    </w:p>
    <w:p w:rsidR="00567142" w:rsidRPr="00567142" w:rsidRDefault="00567142" w:rsidP="00411C22">
      <w:pPr>
        <w:pStyle w:val="SingleTxtGR"/>
        <w:spacing w:before="120" w:after="0"/>
        <w:ind w:left="0"/>
        <w:jc w:val="left"/>
        <w:rPr>
          <w:b/>
          <w:bCs/>
        </w:rPr>
      </w:pPr>
      <w:r w:rsidRPr="00567142">
        <w:rPr>
          <w:b/>
          <w:bCs/>
        </w:rPr>
        <w:t>Восьмидесятая сессия</w:t>
      </w:r>
    </w:p>
    <w:p w:rsidR="00567142" w:rsidRPr="00567142" w:rsidRDefault="00567142" w:rsidP="00567142">
      <w:pPr>
        <w:pStyle w:val="SingleTxtGR"/>
        <w:spacing w:after="0"/>
        <w:ind w:left="0"/>
        <w:jc w:val="left"/>
      </w:pPr>
      <w:r w:rsidRPr="00567142">
        <w:t>Женева, 23</w:t>
      </w:r>
      <w:r>
        <w:rPr>
          <w:lang w:val="en-US"/>
        </w:rPr>
        <w:t>–</w:t>
      </w:r>
      <w:r w:rsidRPr="00567142">
        <w:t>26 октября 2018 года</w:t>
      </w:r>
    </w:p>
    <w:p w:rsidR="00567142" w:rsidRPr="00567142" w:rsidRDefault="00567142" w:rsidP="00567142">
      <w:pPr>
        <w:pStyle w:val="SingleTxtGR"/>
        <w:spacing w:after="0"/>
        <w:ind w:left="0"/>
        <w:jc w:val="left"/>
        <w:rPr>
          <w:bCs/>
        </w:rPr>
      </w:pPr>
      <w:r w:rsidRPr="00567142">
        <w:rPr>
          <w:bCs/>
        </w:rPr>
        <w:t>Пункт 4 предварительной повестки дня</w:t>
      </w:r>
    </w:p>
    <w:p w:rsidR="00567142" w:rsidRPr="00567142" w:rsidRDefault="00567142" w:rsidP="00567142">
      <w:pPr>
        <w:pStyle w:val="SingleTxtGR"/>
        <w:spacing w:after="0"/>
        <w:ind w:left="0"/>
        <w:jc w:val="left"/>
        <w:rPr>
          <w:b/>
          <w:bCs/>
        </w:rPr>
      </w:pPr>
      <w:r w:rsidRPr="00567142">
        <w:rPr>
          <w:b/>
          <w:bCs/>
        </w:rPr>
        <w:t xml:space="preserve">Упрощение правил ООН, касающихся освещения </w:t>
      </w:r>
      <w:r w:rsidR="00411C22">
        <w:rPr>
          <w:b/>
          <w:bCs/>
        </w:rPr>
        <w:br/>
      </w:r>
      <w:r w:rsidRPr="00567142">
        <w:rPr>
          <w:b/>
          <w:bCs/>
        </w:rPr>
        <w:t xml:space="preserve">и световой сигнализации </w:t>
      </w:r>
    </w:p>
    <w:p w:rsidR="00567142" w:rsidRPr="00567142" w:rsidRDefault="00567142" w:rsidP="00567142">
      <w:pPr>
        <w:pStyle w:val="HChGR"/>
      </w:pPr>
      <w:r w:rsidRPr="00567142">
        <w:tab/>
      </w:r>
      <w:r w:rsidRPr="00567142">
        <w:tab/>
        <w:t>Предложение по дополнению [3] к поправкам серии 02 к</w:t>
      </w:r>
      <w:r>
        <w:rPr>
          <w:lang w:val="en-US"/>
        </w:rPr>
        <w:t> </w:t>
      </w:r>
      <w:r w:rsidRPr="00567142">
        <w:t xml:space="preserve">Правилам № 53 ООН </w:t>
      </w:r>
    </w:p>
    <w:p w:rsidR="00567142" w:rsidRPr="00567142" w:rsidRDefault="00567142" w:rsidP="00567142">
      <w:pPr>
        <w:pStyle w:val="H1GR"/>
      </w:pPr>
      <w:r>
        <w:tab/>
      </w:r>
      <w:r>
        <w:tab/>
      </w:r>
      <w:r w:rsidRPr="00567142">
        <w:t xml:space="preserve">Представлено неофициальной рабочей группой по упрощению правил, касающихся освещения и световой сигнализации </w:t>
      </w:r>
      <w:r>
        <w:br/>
      </w:r>
      <w:r w:rsidRPr="00567142">
        <w:t>(НРГ по УПО)</w:t>
      </w:r>
      <w:r w:rsidRPr="00567142">
        <w:rPr>
          <w:b w:val="0"/>
          <w:sz w:val="20"/>
        </w:rPr>
        <w:footnoteReference w:customMarkFollows="1" w:id="1"/>
        <w:t>*</w:t>
      </w:r>
      <w:r w:rsidRPr="00567142">
        <w:t xml:space="preserve"> </w:t>
      </w:r>
    </w:p>
    <w:p w:rsidR="00567142" w:rsidRPr="00567142" w:rsidRDefault="00567142" w:rsidP="00567142">
      <w:pPr>
        <w:pStyle w:val="SingleTxtGR"/>
      </w:pPr>
      <w:r>
        <w:tab/>
      </w:r>
      <w:r w:rsidRPr="00567142">
        <w:t>Воспроизведенный ниже текст был подготовлен НРГ по УПО на основе первоначального предложения эксперта от Международной ассоциации заводов-изготовителей мотоциклов (МАЗМ) с целью исправления в Правилах № 53 ООН определений с внесенными в них поправками, которые были приняты на семьдесят девятой сессии Рабочей группы по вопросам освещения и световой сигнализации (</w:t>
      </w:r>
      <w:r w:rsidRPr="00567142">
        <w:rPr>
          <w:lang w:val="fr-CH"/>
        </w:rPr>
        <w:t>GRE</w:t>
      </w:r>
      <w:r w:rsidRPr="00567142">
        <w:t>) (</w:t>
      </w:r>
      <w:bookmarkStart w:id="1" w:name="OLE_LINK2"/>
      <w:r w:rsidRPr="00567142">
        <w:rPr>
          <w:lang w:val="fr-CH"/>
        </w:rPr>
        <w:t>ECE</w:t>
      </w:r>
      <w:r w:rsidRPr="00567142">
        <w:t>/</w:t>
      </w:r>
      <w:r w:rsidRPr="00567142">
        <w:rPr>
          <w:lang w:val="fr-CH"/>
        </w:rPr>
        <w:t>TRANS</w:t>
      </w:r>
      <w:r w:rsidRPr="00567142">
        <w:t>/</w:t>
      </w:r>
      <w:r w:rsidRPr="00567142">
        <w:rPr>
          <w:lang w:val="fr-CH"/>
        </w:rPr>
        <w:t>WP</w:t>
      </w:r>
      <w:r w:rsidRPr="00567142">
        <w:t>.29/</w:t>
      </w:r>
      <w:r w:rsidRPr="00567142">
        <w:rPr>
          <w:lang w:val="fr-CH"/>
        </w:rPr>
        <w:t>GRE</w:t>
      </w:r>
      <w:r w:rsidRPr="00567142">
        <w:t>/79</w:t>
      </w:r>
      <w:bookmarkEnd w:id="1"/>
      <w:r w:rsidRPr="00567142">
        <w:t xml:space="preserve">, приложение </w:t>
      </w:r>
      <w:r w:rsidRPr="00567142">
        <w:rPr>
          <w:lang w:val="fr-CH"/>
        </w:rPr>
        <w:t>VI</w:t>
      </w:r>
      <w:r w:rsidRPr="00567142">
        <w:t xml:space="preserve">, часть </w:t>
      </w:r>
      <w:r w:rsidRPr="00567142">
        <w:rPr>
          <w:lang w:val="fr-CH"/>
        </w:rPr>
        <w:t>A</w:t>
      </w:r>
      <w:r w:rsidRPr="00567142">
        <w:t xml:space="preserve">). </w:t>
      </w:r>
    </w:p>
    <w:p w:rsidR="00567142" w:rsidRPr="00567142" w:rsidRDefault="00567142" w:rsidP="00567142">
      <w:pPr>
        <w:pStyle w:val="HChGR"/>
      </w:pPr>
      <w:r w:rsidRPr="00567142">
        <w:br w:type="page"/>
      </w:r>
      <w:r w:rsidRPr="00567142">
        <w:lastRenderedPageBreak/>
        <w:tab/>
      </w:r>
      <w:r w:rsidRPr="00567142">
        <w:rPr>
          <w:lang w:val="en-GB"/>
        </w:rPr>
        <w:t>I</w:t>
      </w:r>
      <w:r w:rsidRPr="00567142">
        <w:t>.</w:t>
      </w:r>
      <w:r w:rsidRPr="00567142">
        <w:tab/>
        <w:t>Предложение</w:t>
      </w:r>
    </w:p>
    <w:p w:rsidR="00567142" w:rsidRPr="00567142" w:rsidRDefault="00567142" w:rsidP="00567142">
      <w:pPr>
        <w:pStyle w:val="SingleTxtGR"/>
      </w:pPr>
      <w:r w:rsidRPr="00567142">
        <w:rPr>
          <w:i/>
        </w:rPr>
        <w:t xml:space="preserve">Пункт 2 </w:t>
      </w:r>
      <w:r w:rsidRPr="00567142">
        <w:t>изменить следующим образом:</w:t>
      </w:r>
    </w:p>
    <w:p w:rsidR="00567142" w:rsidRPr="00844FAC" w:rsidRDefault="00567142" w:rsidP="00567142">
      <w:pPr>
        <w:pStyle w:val="SingleTxtGR"/>
      </w:pPr>
      <w:r w:rsidRPr="00844FAC">
        <w:t>«…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67142">
        <w:rPr>
          <w:strike/>
        </w:rPr>
        <w:t>2.20</w:t>
      </w:r>
      <w:r w:rsidRPr="00567142">
        <w:rPr>
          <w:strike/>
        </w:rPr>
        <w:tab/>
        <w:t>«устройство» означает компонент или сочетание компонентов, используемых для выполнения одной или нескольких функций;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  <w:rPr>
          <w:bCs/>
        </w:rPr>
      </w:pPr>
      <w:r w:rsidRPr="00567142">
        <w:rPr>
          <w:bCs/>
          <w:strike/>
        </w:rPr>
        <w:t>2.21</w:t>
      </w:r>
      <w:r w:rsidRPr="00567142">
        <w:rPr>
          <w:b/>
          <w:bCs/>
        </w:rPr>
        <w:t>2.10</w:t>
      </w:r>
      <w:r w:rsidRPr="00567142">
        <w:rPr>
          <w:bCs/>
        </w:rPr>
        <w:tab/>
      </w:r>
      <w:r w:rsidRPr="00567142">
        <w:t>«</w:t>
      </w:r>
      <w:r w:rsidRPr="00567142">
        <w:rPr>
          <w:i/>
        </w:rPr>
        <w:t>цвет света, испускаемого устройством</w:t>
      </w:r>
      <w:r w:rsidRPr="00567142">
        <w:t>». К настоящим Правилам применяются определения цвета испускаемого света, приведенные в Правилах</w:t>
      </w:r>
      <w:r w:rsidRPr="00567142">
        <w:rPr>
          <w:lang w:val="fr-CH"/>
        </w:rPr>
        <w:t> </w:t>
      </w:r>
      <w:r w:rsidRPr="00567142">
        <w:t>№ 48 ООН и сериях поправок к ним, действующих на момент подачи заявки на официальное утверждение типа;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  <w:rPr>
          <w:bCs/>
        </w:rPr>
      </w:pPr>
      <w:r w:rsidRPr="00567142">
        <w:rPr>
          <w:bCs/>
          <w:strike/>
        </w:rPr>
        <w:t>2.22</w:t>
      </w:r>
      <w:r w:rsidRPr="00567142">
        <w:rPr>
          <w:b/>
          <w:bCs/>
        </w:rPr>
        <w:t>2.11</w:t>
      </w:r>
      <w:r w:rsidRPr="00567142">
        <w:rPr>
          <w:bCs/>
        </w:rPr>
        <w:tab/>
      </w:r>
      <w:r w:rsidRPr="00567142">
        <w:t>«</w:t>
      </w:r>
      <w:r w:rsidRPr="00567142">
        <w:rPr>
          <w:i/>
        </w:rPr>
        <w:t>полная масса транспортного средства</w:t>
      </w:r>
      <w:r w:rsidRPr="00567142">
        <w:t>» или «максимальная масса» означает технически допустимую максимальную массу груженого транспортного средства, указанную изготовителем;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  <w:rPr>
          <w:bCs/>
        </w:rPr>
      </w:pPr>
      <w:r w:rsidRPr="00567142">
        <w:rPr>
          <w:bCs/>
          <w:strike/>
        </w:rPr>
        <w:t>2.23</w:t>
      </w:r>
      <w:r w:rsidRPr="00567142">
        <w:rPr>
          <w:b/>
          <w:bCs/>
        </w:rPr>
        <w:t>2.12</w:t>
      </w:r>
      <w:r w:rsidRPr="00567142">
        <w:rPr>
          <w:bCs/>
        </w:rPr>
        <w:tab/>
      </w:r>
      <w:r w:rsidRPr="00567142">
        <w:t>«</w:t>
      </w:r>
      <w:r w:rsidRPr="00567142">
        <w:rPr>
          <w:i/>
        </w:rPr>
        <w:t>груженое транспортное средство</w:t>
      </w:r>
      <w:r w:rsidRPr="00567142">
        <w:t xml:space="preserve">» означает транспортное средство, нагруженное до полной массы транспортного средства, определение которой приведено в пункте </w:t>
      </w:r>
      <w:r w:rsidRPr="00567142">
        <w:rPr>
          <w:bCs/>
          <w:strike/>
        </w:rPr>
        <w:t>2.22</w:t>
      </w:r>
      <w:r w:rsidRPr="00567142">
        <w:rPr>
          <w:b/>
          <w:bCs/>
        </w:rPr>
        <w:t>2.11</w:t>
      </w:r>
      <w:r w:rsidR="005A584E">
        <w:rPr>
          <w:b/>
          <w:bCs/>
        </w:rPr>
        <w:t xml:space="preserve"> </w:t>
      </w:r>
      <w:r w:rsidRPr="00567142">
        <w:t>выше;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2.24</w:t>
      </w:r>
      <w:r w:rsidRPr="00567142">
        <w:rPr>
          <w:b/>
        </w:rPr>
        <w:t>2.13</w:t>
      </w:r>
      <w:r w:rsidRPr="00567142">
        <w:tab/>
        <w:t>«</w:t>
      </w:r>
      <w:r w:rsidRPr="00567142">
        <w:rPr>
          <w:i/>
        </w:rPr>
        <w:t>горизонтальный угол наклона</w:t>
      </w:r>
      <w:r w:rsidRPr="00567142">
        <w:t>»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 6);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2.25</w:t>
      </w:r>
      <w:r w:rsidRPr="00567142">
        <w:rPr>
          <w:b/>
        </w:rPr>
        <w:t>2.14</w:t>
      </w:r>
      <w:r w:rsidRPr="00567142">
        <w:tab/>
        <w:t>«</w:t>
      </w:r>
      <w:r w:rsidRPr="00567142">
        <w:rPr>
          <w:i/>
        </w:rPr>
        <w:t>система с регулировкой горизонтального угла наклона фар (СРГН)</w:t>
      </w:r>
      <w:r w:rsidRPr="00567142">
        <w:t>» означает устройство, корректирующее горизонтальный угол наклона фары в сторону нулевого значения;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2.26</w:t>
      </w:r>
      <w:r w:rsidRPr="00567142">
        <w:rPr>
          <w:b/>
        </w:rPr>
        <w:t>2.15</w:t>
      </w:r>
      <w:r w:rsidRPr="00567142">
        <w:tab/>
        <w:t>«</w:t>
      </w:r>
      <w:r w:rsidRPr="00567142">
        <w:rPr>
          <w:i/>
        </w:rPr>
        <w:t>угол крена</w:t>
      </w:r>
      <w:r w:rsidRPr="00567142">
        <w:t>»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2.27</w:t>
      </w:r>
      <w:r w:rsidRPr="00567142">
        <w:rPr>
          <w:b/>
        </w:rPr>
        <w:t>2.16</w:t>
      </w:r>
      <w:r w:rsidRPr="00567142">
        <w:tab/>
        <w:t>«</w:t>
      </w:r>
      <w:r w:rsidRPr="00567142">
        <w:rPr>
          <w:i/>
        </w:rPr>
        <w:t>сигнал СРГН</w:t>
      </w:r>
      <w:r w:rsidRPr="00567142">
        <w:t>» означает любой контрольный сигнал либо любой дополнительный контрольный сигнал, поступающий в систему, или любой контрольный сигнал от системы на мотоцикл;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2.28</w:t>
      </w:r>
      <w:r w:rsidRPr="00567142">
        <w:rPr>
          <w:b/>
        </w:rPr>
        <w:t>2.17</w:t>
      </w:r>
      <w:r w:rsidRPr="00567142">
        <w:tab/>
        <w:t>«</w:t>
      </w:r>
      <w:r w:rsidRPr="00567142">
        <w:rPr>
          <w:i/>
        </w:rPr>
        <w:t>генератор сигналов СРГН</w:t>
      </w:r>
      <w:r w:rsidRPr="00567142">
        <w:t>» означает устройство, воспроизводящее один или несколько сигналов СРГН в целях проверки системы;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2.29</w:t>
      </w:r>
      <w:r w:rsidRPr="00567142">
        <w:rPr>
          <w:b/>
        </w:rPr>
        <w:t>2.18</w:t>
      </w:r>
      <w:r w:rsidRPr="00567142">
        <w:tab/>
        <w:t>«</w:t>
      </w:r>
      <w:r w:rsidRPr="00567142">
        <w:rPr>
          <w:i/>
        </w:rPr>
        <w:t>испытательный угол СРГН</w:t>
      </w:r>
      <w:r w:rsidRPr="00567142">
        <w:t>»</w:t>
      </w:r>
      <w:r w:rsidRPr="00567142">
        <w:rPr>
          <w:rFonts w:hint="eastAsia"/>
        </w:rPr>
        <w:t xml:space="preserve"> </w:t>
      </w:r>
      <w:r w:rsidRPr="00567142">
        <w:t xml:space="preserve">означает угол </w:t>
      </w:r>
      <w:r w:rsidRPr="00567142">
        <w:rPr>
          <w:lang w:val="fr-CH"/>
        </w:rPr>
        <w:t>δ</w:t>
      </w:r>
      <w:r w:rsidRPr="00567142">
        <w:t>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t>2.</w:t>
      </w:r>
      <w:r w:rsidRPr="00567142">
        <w:rPr>
          <w:b/>
        </w:rPr>
        <w:t>19</w:t>
      </w:r>
      <w:r w:rsidRPr="00567142">
        <w:tab/>
        <w:t>«</w:t>
      </w:r>
      <w:r w:rsidRPr="00567142">
        <w:rPr>
          <w:i/>
        </w:rPr>
        <w:t>устройство</w:t>
      </w:r>
      <w:r w:rsidRPr="00567142">
        <w:t>» означает компонент или сочетание компонентов, используемых для выполнения одной или нескольких функций;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strike/>
        </w:rPr>
        <w:t>2.30</w:t>
      </w:r>
      <w:r w:rsidRPr="00567142">
        <w:rPr>
          <w:b/>
        </w:rPr>
        <w:t>2.19</w:t>
      </w:r>
      <w:r w:rsidRPr="00567142">
        <w:tab/>
        <w:t>«</w:t>
      </w:r>
      <w:r w:rsidRPr="00567142">
        <w:rPr>
          <w:i/>
        </w:rPr>
        <w:t>подсветка поворотов</w:t>
      </w:r>
      <w:r w:rsidRPr="00567142">
        <w:t>» означает светотехническую функцию для улучшения освещенности дороги при поворотах транспортных средств;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bCs/>
          <w:strike/>
        </w:rPr>
        <w:t>2.31</w:t>
      </w:r>
      <w:r w:rsidRPr="00567142">
        <w:rPr>
          <w:b/>
          <w:bCs/>
        </w:rPr>
        <w:t>2.20</w:t>
      </w:r>
      <w:r w:rsidRPr="00567142">
        <w:rPr>
          <w:bCs/>
        </w:rPr>
        <w:tab/>
        <w:t>«</w:t>
      </w:r>
      <w:r w:rsidRPr="00567142">
        <w:rPr>
          <w:bCs/>
          <w:i/>
        </w:rPr>
        <w:t xml:space="preserve">плоскость </w:t>
      </w:r>
      <w:r w:rsidRPr="00567142">
        <w:rPr>
          <w:bCs/>
          <w:i/>
          <w:lang w:val="en-US"/>
        </w:rPr>
        <w:t>H</w:t>
      </w:r>
      <w:r w:rsidRPr="00567142">
        <w:rPr>
          <w:bCs/>
        </w:rPr>
        <w:t>» означает горизонтальную плоскость, на которой находится исходный центр огня</w:t>
      </w:r>
      <w:r w:rsidRPr="00567142">
        <w:t>;</w:t>
      </w:r>
    </w:p>
    <w:p w:rsidR="00567142" w:rsidRPr="00567142" w:rsidRDefault="00567142" w:rsidP="00567142">
      <w:pPr>
        <w:pStyle w:val="SingleTxtGR"/>
        <w:tabs>
          <w:tab w:val="clear" w:pos="1701"/>
        </w:tabs>
        <w:ind w:left="2268" w:hanging="1134"/>
      </w:pPr>
      <w:r w:rsidRPr="00567142">
        <w:rPr>
          <w:bCs/>
          <w:strike/>
        </w:rPr>
        <w:t>2.32</w:t>
      </w:r>
      <w:r w:rsidRPr="00567142">
        <w:rPr>
          <w:b/>
          <w:bCs/>
        </w:rPr>
        <w:t>2.21</w:t>
      </w:r>
      <w:r w:rsidRPr="00567142">
        <w:rPr>
          <w:bCs/>
          <w:i/>
        </w:rPr>
        <w:t xml:space="preserve"> </w:t>
      </w:r>
      <w:r w:rsidRPr="00567142">
        <w:rPr>
          <w:bCs/>
          <w:i/>
        </w:rPr>
        <w:tab/>
      </w:r>
      <w:r w:rsidRPr="00567142">
        <w:t>«</w:t>
      </w:r>
      <w:r w:rsidRPr="00567142">
        <w:rPr>
          <w:i/>
          <w:iCs/>
        </w:rPr>
        <w:t>п</w:t>
      </w:r>
      <w:r w:rsidRPr="00567142">
        <w:rPr>
          <w:i/>
        </w:rPr>
        <w:t>оследовательное включение</w:t>
      </w:r>
      <w:r w:rsidRPr="00567142">
        <w:t>» означает электрическое соединение, при котором отдельные источники света фары соединены таким образом, что они включаются в заданной последовательности;</w:t>
      </w:r>
    </w:p>
    <w:p w:rsidR="00567142" w:rsidRPr="00567142" w:rsidRDefault="00567142" w:rsidP="00567142">
      <w:pPr>
        <w:pStyle w:val="SingleTxtGR"/>
        <w:tabs>
          <w:tab w:val="clear" w:pos="1701"/>
          <w:tab w:val="left" w:pos="1491"/>
        </w:tabs>
        <w:ind w:left="2268" w:hanging="1134"/>
        <w:rPr>
          <w:bCs/>
        </w:rPr>
      </w:pPr>
      <w:r w:rsidRPr="00567142">
        <w:rPr>
          <w:bCs/>
          <w:strike/>
        </w:rPr>
        <w:t>2.33</w:t>
      </w:r>
      <w:r w:rsidRPr="00567142">
        <w:rPr>
          <w:b/>
          <w:bCs/>
        </w:rPr>
        <w:t>2.22</w:t>
      </w:r>
      <w:r w:rsidRPr="00567142">
        <w:rPr>
          <w:bCs/>
        </w:rPr>
        <w:tab/>
      </w:r>
      <w:r w:rsidRPr="00567142">
        <w:t>«</w:t>
      </w:r>
      <w:r w:rsidRPr="00567142">
        <w:rPr>
          <w:i/>
          <w:iCs/>
        </w:rPr>
        <w:t>с</w:t>
      </w:r>
      <w:r w:rsidRPr="00567142">
        <w:rPr>
          <w:bCs/>
          <w:i/>
        </w:rPr>
        <w:t>игнал экстренного торможения</w:t>
      </w:r>
      <w:r w:rsidRPr="00567142">
        <w:t>»</w:t>
      </w:r>
      <w:r w:rsidRPr="00567142">
        <w:rPr>
          <w:bCs/>
        </w:rPr>
        <w:t xml:space="preserve"> означает сигнал, указывающий другим пользователям дороги, находящимся позади транспортного средства, на то, что к этому транспортному средству применяется значительная замедляющая сила ввиду соответствующих условий дорожного движения.</w:t>
      </w:r>
    </w:p>
    <w:p w:rsidR="00567142" w:rsidRPr="00567142" w:rsidRDefault="00567142" w:rsidP="00567142">
      <w:pPr>
        <w:pStyle w:val="SingleTxtGR"/>
        <w:tabs>
          <w:tab w:val="left" w:pos="1491"/>
        </w:tabs>
      </w:pPr>
      <w:r>
        <w:t>…</w:t>
      </w:r>
      <w:r w:rsidRPr="00567142">
        <w:t>»</w:t>
      </w:r>
    </w:p>
    <w:p w:rsidR="00567142" w:rsidRPr="00567142" w:rsidRDefault="00567142" w:rsidP="00567142">
      <w:pPr>
        <w:pStyle w:val="HChGR"/>
      </w:pPr>
      <w:r>
        <w:rPr>
          <w:lang w:val="en-GB"/>
        </w:rPr>
        <w:lastRenderedPageBreak/>
        <w:tab/>
      </w:r>
      <w:r w:rsidRPr="00567142">
        <w:rPr>
          <w:lang w:val="en-GB"/>
        </w:rPr>
        <w:t>II</w:t>
      </w:r>
      <w:r w:rsidRPr="00567142">
        <w:t>.</w:t>
      </w:r>
      <w:r w:rsidRPr="00567142">
        <w:tab/>
        <w:t>Обоснование</w:t>
      </w:r>
    </w:p>
    <w:p w:rsidR="00567142" w:rsidRPr="00567142" w:rsidRDefault="00567142" w:rsidP="00567142">
      <w:pPr>
        <w:pStyle w:val="SingleTxtGR"/>
      </w:pPr>
      <w:r w:rsidRPr="00567142">
        <w:t>1.</w:t>
      </w:r>
      <w:r w:rsidRPr="00567142">
        <w:tab/>
        <w:t xml:space="preserve">Определение </w:t>
      </w:r>
      <w:r>
        <w:t>«</w:t>
      </w:r>
      <w:r w:rsidRPr="00567142">
        <w:t>устройство</w:t>
      </w:r>
      <w:r>
        <w:t>»</w:t>
      </w:r>
      <w:r w:rsidRPr="00567142">
        <w:t xml:space="preserve"> из Правил № 53 исключать не следовало, так как его текст не идентичен определению, содержащемуся в Правилах № 48. Настоящее предложение нацелено на восстановление первоначального определения термина </w:t>
      </w:r>
      <w:r>
        <w:t>«</w:t>
      </w:r>
      <w:r w:rsidRPr="00567142">
        <w:t>устройство</w:t>
      </w:r>
      <w:r>
        <w:t>»</w:t>
      </w:r>
      <w:r w:rsidRPr="00567142">
        <w:t xml:space="preserve"> в Правилах № 53 ООН. Во избежание ненужного изменения нумерации определение </w:t>
      </w:r>
      <w:r>
        <w:t>«</w:t>
      </w:r>
      <w:r w:rsidRPr="00567142">
        <w:t>устройство</w:t>
      </w:r>
      <w:r>
        <w:t>»</w:t>
      </w:r>
      <w:r w:rsidRPr="00567142">
        <w:t xml:space="preserve"> переносится в конец пункта 2 (2.19).</w:t>
      </w:r>
    </w:p>
    <w:p w:rsidR="00567142" w:rsidRDefault="00567142" w:rsidP="00567142">
      <w:pPr>
        <w:pStyle w:val="SingleTxtGR"/>
      </w:pPr>
      <w:r w:rsidRPr="00567142">
        <w:t>2.</w:t>
      </w:r>
      <w:r w:rsidRPr="00567142">
        <w:tab/>
        <w:t xml:space="preserve">Определения </w:t>
      </w:r>
      <w:r>
        <w:t>«</w:t>
      </w:r>
      <w:r w:rsidRPr="00567142">
        <w:t>подсветка поворотов</w:t>
      </w:r>
      <w:r>
        <w:t>»</w:t>
      </w:r>
      <w:r w:rsidRPr="00567142">
        <w:t xml:space="preserve">, </w:t>
      </w:r>
      <w:r>
        <w:t>«</w:t>
      </w:r>
      <w:r w:rsidRPr="00567142">
        <w:t xml:space="preserve">плоскость </w:t>
      </w:r>
      <w:r w:rsidRPr="00567142">
        <w:rPr>
          <w:lang w:val="en-GB"/>
        </w:rPr>
        <w:t>H</w:t>
      </w:r>
      <w:r>
        <w:t>»</w:t>
      </w:r>
      <w:r w:rsidRPr="00567142">
        <w:t xml:space="preserve">, </w:t>
      </w:r>
      <w:r>
        <w:t>«</w:t>
      </w:r>
      <w:r w:rsidRPr="00567142">
        <w:t>последовательное включение</w:t>
      </w:r>
      <w:r>
        <w:t>»</w:t>
      </w:r>
      <w:r w:rsidRPr="00567142">
        <w:t xml:space="preserve"> и </w:t>
      </w:r>
      <w:r>
        <w:t>«</w:t>
      </w:r>
      <w:r w:rsidRPr="00567142">
        <w:t>сигнал экстренного торможения</w:t>
      </w:r>
      <w:r>
        <w:t>»</w:t>
      </w:r>
      <w:r w:rsidRPr="00567142">
        <w:t xml:space="preserve"> следует исключить, так как они идентичны определениям, содержащимся в Правилах № 48 ООН.</w:t>
      </w:r>
    </w:p>
    <w:p w:rsidR="00E12C5F" w:rsidRPr="008D53B6" w:rsidRDefault="00567142" w:rsidP="00567142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67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98" w:rsidRPr="00A312BC" w:rsidRDefault="00DB4198" w:rsidP="00A312BC"/>
  </w:endnote>
  <w:endnote w:type="continuationSeparator" w:id="0">
    <w:p w:rsidR="00DB4198" w:rsidRPr="00A312BC" w:rsidRDefault="00DB41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2" w:rsidRPr="00567142" w:rsidRDefault="00567142">
    <w:pPr>
      <w:pStyle w:val="Footer"/>
    </w:pPr>
    <w:r w:rsidRPr="00567142">
      <w:rPr>
        <w:b/>
        <w:sz w:val="18"/>
      </w:rPr>
      <w:fldChar w:fldCharType="begin"/>
    </w:r>
    <w:r w:rsidRPr="00567142">
      <w:rPr>
        <w:b/>
        <w:sz w:val="18"/>
      </w:rPr>
      <w:instrText xml:space="preserve"> PAGE  \* MERGEFORMAT </w:instrText>
    </w:r>
    <w:r w:rsidRPr="00567142">
      <w:rPr>
        <w:b/>
        <w:sz w:val="18"/>
      </w:rPr>
      <w:fldChar w:fldCharType="separate"/>
    </w:r>
    <w:r w:rsidR="00597DAA">
      <w:rPr>
        <w:b/>
        <w:noProof/>
        <w:sz w:val="18"/>
      </w:rPr>
      <w:t>2</w:t>
    </w:r>
    <w:r w:rsidRPr="00567142">
      <w:rPr>
        <w:b/>
        <w:sz w:val="18"/>
      </w:rPr>
      <w:fldChar w:fldCharType="end"/>
    </w:r>
    <w:r>
      <w:rPr>
        <w:b/>
        <w:sz w:val="18"/>
      </w:rPr>
      <w:tab/>
    </w:r>
    <w:r>
      <w:t>GE.18-13085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2" w:rsidRPr="00567142" w:rsidRDefault="00567142" w:rsidP="0056714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GE.18-13085</w:t>
    </w:r>
    <w:r>
      <w:tab/>
    </w:r>
    <w:r w:rsidRPr="00567142">
      <w:rPr>
        <w:b/>
        <w:sz w:val="18"/>
      </w:rPr>
      <w:fldChar w:fldCharType="begin"/>
    </w:r>
    <w:r w:rsidRPr="00567142">
      <w:rPr>
        <w:b/>
        <w:sz w:val="18"/>
      </w:rPr>
      <w:instrText xml:space="preserve"> PAGE  \* MERGEFORMAT </w:instrText>
    </w:r>
    <w:r w:rsidRPr="00567142">
      <w:rPr>
        <w:b/>
        <w:sz w:val="18"/>
      </w:rPr>
      <w:fldChar w:fldCharType="separate"/>
    </w:r>
    <w:r w:rsidR="00597DAA">
      <w:rPr>
        <w:b/>
        <w:noProof/>
        <w:sz w:val="18"/>
      </w:rPr>
      <w:t>3</w:t>
    </w:r>
    <w:r w:rsidRPr="005671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67142" w:rsidRDefault="00567142" w:rsidP="0056714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18-13085  (R)</w:t>
    </w:r>
    <w:r>
      <w:rPr>
        <w:lang w:val="en-US"/>
      </w:rPr>
      <w:t xml:space="preserve">  1</w:t>
    </w:r>
    <w:r w:rsidR="00A01467">
      <w:rPr>
        <w:lang w:val="en-US"/>
      </w:rPr>
      <w:t>3</w:t>
    </w:r>
    <w:r>
      <w:rPr>
        <w:lang w:val="en-US"/>
      </w:rPr>
      <w:t>0818  1</w:t>
    </w:r>
    <w:r w:rsidR="00A01467">
      <w:rPr>
        <w:lang w:val="en-US"/>
      </w:rPr>
      <w:t>5</w:t>
    </w:r>
    <w:r>
      <w:rPr>
        <w:lang w:val="en-US"/>
      </w:rPr>
      <w:t>0818</w:t>
    </w:r>
    <w:r>
      <w:br/>
    </w:r>
    <w:r w:rsidRPr="00567142">
      <w:rPr>
        <w:rFonts w:ascii="C39T30Lfz" w:hAnsi="C39T30Lfz"/>
        <w:kern w:val="14"/>
        <w:sz w:val="56"/>
      </w:rPr>
      <w:t></w:t>
    </w:r>
    <w:r w:rsidRPr="00567142">
      <w:rPr>
        <w:rFonts w:ascii="C39T30Lfz" w:hAnsi="C39T30Lfz"/>
        <w:kern w:val="14"/>
        <w:sz w:val="56"/>
      </w:rPr>
      <w:t></w:t>
    </w:r>
    <w:r w:rsidRPr="00567142">
      <w:rPr>
        <w:rFonts w:ascii="C39T30Lfz" w:hAnsi="C39T30Lfz"/>
        <w:kern w:val="14"/>
        <w:sz w:val="56"/>
      </w:rPr>
      <w:t></w:t>
    </w:r>
    <w:r w:rsidRPr="00567142">
      <w:rPr>
        <w:rFonts w:ascii="C39T30Lfz" w:hAnsi="C39T30Lfz"/>
        <w:kern w:val="14"/>
        <w:sz w:val="56"/>
      </w:rPr>
      <w:t></w:t>
    </w:r>
    <w:r w:rsidRPr="00567142">
      <w:rPr>
        <w:rFonts w:ascii="C39T30Lfz" w:hAnsi="C39T30Lfz"/>
        <w:kern w:val="14"/>
        <w:sz w:val="56"/>
      </w:rPr>
      <w:t></w:t>
    </w:r>
    <w:r w:rsidRPr="00567142">
      <w:rPr>
        <w:rFonts w:ascii="C39T30Lfz" w:hAnsi="C39T30Lfz"/>
        <w:kern w:val="14"/>
        <w:sz w:val="56"/>
      </w:rPr>
      <w:t></w:t>
    </w:r>
    <w:r w:rsidRPr="00567142">
      <w:rPr>
        <w:rFonts w:ascii="C39T30Lfz" w:hAnsi="C39T30Lfz"/>
        <w:kern w:val="14"/>
        <w:sz w:val="56"/>
      </w:rPr>
      <w:t></w:t>
    </w:r>
    <w:r w:rsidRPr="00567142">
      <w:rPr>
        <w:rFonts w:ascii="C39T30Lfz" w:hAnsi="C39T30Lfz"/>
        <w:kern w:val="14"/>
        <w:sz w:val="56"/>
      </w:rPr>
      <w:t></w:t>
    </w:r>
    <w:r w:rsidRPr="0056714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98" w:rsidRPr="001075E9" w:rsidRDefault="00DB41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4198" w:rsidRDefault="00DB41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7142" w:rsidRPr="00214207" w:rsidRDefault="00567142" w:rsidP="00567142">
      <w:pPr>
        <w:pStyle w:val="FootnoteText"/>
        <w:spacing w:after="240"/>
      </w:pPr>
      <w:r>
        <w:tab/>
      </w:r>
      <w:r w:rsidRPr="0056714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2" w:rsidRPr="00567142" w:rsidRDefault="00597DAA">
    <w:pPr>
      <w:pStyle w:val="Header"/>
    </w:pPr>
    <w:fldSimple w:instr=" TITLE  \* MERGEFORMAT ">
      <w:r>
        <w:t>ECE/TRANS/WP.29/GRE/2018/35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2" w:rsidRPr="00567142" w:rsidRDefault="00597DAA" w:rsidP="00567142">
    <w:pPr>
      <w:pStyle w:val="Header"/>
      <w:jc w:val="right"/>
    </w:pPr>
    <w:fldSimple w:instr=" TITLE  \* MERGEFORMAT ">
      <w:r>
        <w:t>ECE/TRANS/WP.29/GRE/2018/35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2" w:rsidRDefault="00567142" w:rsidP="0056714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98"/>
    <w:rsid w:val="00033EE1"/>
    <w:rsid w:val="00042B72"/>
    <w:rsid w:val="000531EC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E2A"/>
    <w:rsid w:val="00381C24"/>
    <w:rsid w:val="00387CD4"/>
    <w:rsid w:val="003958D0"/>
    <w:rsid w:val="003A0D43"/>
    <w:rsid w:val="003A48CE"/>
    <w:rsid w:val="003B00E5"/>
    <w:rsid w:val="00407B78"/>
    <w:rsid w:val="00411C22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7142"/>
    <w:rsid w:val="005709E0"/>
    <w:rsid w:val="00572E19"/>
    <w:rsid w:val="005961C8"/>
    <w:rsid w:val="005966F1"/>
    <w:rsid w:val="00597DAA"/>
    <w:rsid w:val="005A584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FA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1467"/>
    <w:rsid w:val="00A14DA8"/>
    <w:rsid w:val="00A312BC"/>
    <w:rsid w:val="00A84021"/>
    <w:rsid w:val="00A84D35"/>
    <w:rsid w:val="00A917B3"/>
    <w:rsid w:val="00AB4B51"/>
    <w:rsid w:val="00B01D4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6E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4198"/>
    <w:rsid w:val="00DD78D1"/>
    <w:rsid w:val="00DE32CD"/>
    <w:rsid w:val="00DF5767"/>
    <w:rsid w:val="00DF71B9"/>
    <w:rsid w:val="00E12C5F"/>
    <w:rsid w:val="00E7080D"/>
    <w:rsid w:val="00E73F76"/>
    <w:rsid w:val="00EA2C9F"/>
    <w:rsid w:val="00EA420E"/>
    <w:rsid w:val="00ED0BDA"/>
    <w:rsid w:val="00EE142A"/>
    <w:rsid w:val="00EF1360"/>
    <w:rsid w:val="00EF3220"/>
    <w:rsid w:val="00F2523A"/>
    <w:rsid w:val="00F36EA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74F3D2-FADC-4D11-AD0A-C57A85E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567142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ECE/TRANS/WP.29/GRE/2018/35</vt:lpstr>
      <vt:lpstr>ECE/TRANS/WP.29/GRE/2018/35</vt:lpstr>
      <vt:lpstr>A/</vt:lpstr>
    </vt:vector>
  </TitlesOfParts>
  <Company>DCM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ECE/TRANS/WP.29/GRE/2018/35</dc:title>
  <dc:subject/>
  <dc:creator>Olga OVTCHINNIKOVA</dc:creator>
  <cp:keywords/>
  <cp:lastModifiedBy>Benedicte Boudol</cp:lastModifiedBy>
  <cp:revision>2</cp:revision>
  <cp:lastPrinted>2018-08-15T10:57:00Z</cp:lastPrinted>
  <dcterms:created xsi:type="dcterms:W3CDTF">2018-09-11T06:44:00Z</dcterms:created>
  <dcterms:modified xsi:type="dcterms:W3CDTF">2018-09-11T06:44:00Z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