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01D8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01D8C" w:rsidP="00301D8C">
            <w:pPr>
              <w:jc w:val="right"/>
            </w:pPr>
            <w:r w:rsidRPr="00301D8C">
              <w:rPr>
                <w:sz w:val="40"/>
              </w:rPr>
              <w:t>ECE</w:t>
            </w:r>
            <w:r>
              <w:t>/TRANS/WP.29/2018/84</w:t>
            </w:r>
            <w:r w:rsidR="0066254D" w:rsidRPr="0066254D">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01D8C" w:rsidP="00C97039">
            <w:pPr>
              <w:spacing w:before="240"/>
            </w:pPr>
            <w:proofErr w:type="spellStart"/>
            <w:r>
              <w:t>Distr</w:t>
            </w:r>
            <w:proofErr w:type="spellEnd"/>
            <w:r>
              <w:t xml:space="preserve">. </w:t>
            </w:r>
            <w:proofErr w:type="gramStart"/>
            <w:r>
              <w:t>générale</w:t>
            </w:r>
            <w:proofErr w:type="gramEnd"/>
          </w:p>
          <w:p w:rsidR="00301D8C" w:rsidRDefault="00301D8C" w:rsidP="00301D8C">
            <w:pPr>
              <w:spacing w:line="240" w:lineRule="exact"/>
            </w:pPr>
            <w:r>
              <w:t>20 août 2018</w:t>
            </w:r>
          </w:p>
          <w:p w:rsidR="00301D8C" w:rsidRDefault="00301D8C" w:rsidP="00301D8C">
            <w:pPr>
              <w:spacing w:line="240" w:lineRule="exact"/>
            </w:pPr>
            <w:r>
              <w:t>Français</w:t>
            </w:r>
          </w:p>
          <w:p w:rsidR="00301D8C" w:rsidRPr="00DB58B5" w:rsidRDefault="00301D8C" w:rsidP="00301D8C">
            <w:pPr>
              <w:spacing w:line="240" w:lineRule="exact"/>
            </w:pPr>
            <w:r>
              <w:t>Original</w:t>
            </w:r>
            <w:r w:rsidR="0003222C">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47F43" w:rsidRPr="00F1367D" w:rsidRDefault="00447F43" w:rsidP="00447F43">
      <w:pPr>
        <w:spacing w:before="120" w:after="120"/>
        <w:rPr>
          <w:b/>
          <w:sz w:val="24"/>
          <w:szCs w:val="24"/>
        </w:rPr>
      </w:pPr>
      <w:r w:rsidRPr="00F1367D">
        <w:rPr>
          <w:b/>
          <w:sz w:val="24"/>
          <w:szCs w:val="24"/>
        </w:rPr>
        <w:t xml:space="preserve">Forum mondial de l’harmonisation des Règlements </w:t>
      </w:r>
      <w:r>
        <w:rPr>
          <w:b/>
          <w:sz w:val="24"/>
          <w:szCs w:val="24"/>
        </w:rPr>
        <w:br/>
      </w:r>
      <w:r w:rsidRPr="00F1367D">
        <w:rPr>
          <w:b/>
          <w:sz w:val="24"/>
          <w:szCs w:val="24"/>
        </w:rPr>
        <w:t xml:space="preserve">concernant les véhicules </w:t>
      </w:r>
    </w:p>
    <w:p w:rsidR="00447F43" w:rsidRPr="004C53F0" w:rsidRDefault="00447F43" w:rsidP="00447F43">
      <w:pPr>
        <w:kinsoku/>
        <w:overflowPunct/>
        <w:autoSpaceDE/>
        <w:autoSpaceDN/>
        <w:adjustRightInd/>
        <w:snapToGrid/>
        <w:spacing w:line="240" w:lineRule="exact"/>
        <w:rPr>
          <w:rFonts w:eastAsia="Times New Roman"/>
          <w:b/>
          <w:lang w:val="fr-FR"/>
        </w:rPr>
      </w:pPr>
      <w:r>
        <w:rPr>
          <w:rFonts w:eastAsia="Times New Roman"/>
          <w:b/>
          <w:lang w:val="fr-FR"/>
        </w:rPr>
        <w:t>176</w:t>
      </w:r>
      <w:r w:rsidRPr="009D2079">
        <w:rPr>
          <w:rFonts w:eastAsia="Times New Roman"/>
          <w:b/>
          <w:vertAlign w:val="superscript"/>
          <w:lang w:val="fr-FR"/>
        </w:rPr>
        <w:t>e</w:t>
      </w:r>
      <w:r>
        <w:rPr>
          <w:rFonts w:eastAsia="Times New Roman"/>
          <w:b/>
          <w:lang w:val="fr-FR"/>
        </w:rPr>
        <w:t xml:space="preserve"> session</w:t>
      </w:r>
    </w:p>
    <w:p w:rsidR="00447F43" w:rsidRPr="004C53F0" w:rsidRDefault="00447F43" w:rsidP="00447F43">
      <w:pPr>
        <w:kinsoku/>
        <w:overflowPunct/>
        <w:autoSpaceDE/>
        <w:autoSpaceDN/>
        <w:adjustRightInd/>
        <w:snapToGrid/>
        <w:spacing w:line="240" w:lineRule="exact"/>
        <w:rPr>
          <w:rFonts w:eastAsia="Times New Roman"/>
          <w:bCs/>
          <w:lang w:val="fr-FR"/>
        </w:rPr>
      </w:pPr>
      <w:r>
        <w:rPr>
          <w:rFonts w:eastAsia="Times New Roman"/>
          <w:lang w:val="fr-FR"/>
        </w:rPr>
        <w:t>Genève</w:t>
      </w:r>
      <w:r w:rsidRPr="004C53F0">
        <w:rPr>
          <w:rFonts w:eastAsia="Times New Roman"/>
          <w:bCs/>
          <w:lang w:val="fr-FR"/>
        </w:rPr>
        <w:t>,</w:t>
      </w:r>
      <w:r>
        <w:rPr>
          <w:rFonts w:eastAsia="Times New Roman"/>
          <w:bCs/>
          <w:lang w:val="fr-FR"/>
        </w:rPr>
        <w:t xml:space="preserve"> 13-16 novembre </w:t>
      </w:r>
      <w:r w:rsidRPr="004C53F0">
        <w:rPr>
          <w:rFonts w:eastAsia="Times New Roman"/>
          <w:bCs/>
          <w:lang w:val="fr-FR"/>
        </w:rPr>
        <w:t>2018</w:t>
      </w:r>
    </w:p>
    <w:p w:rsidR="00447F43" w:rsidRDefault="00447F43" w:rsidP="00447F43">
      <w:pPr>
        <w:spacing w:line="240" w:lineRule="exact"/>
        <w:rPr>
          <w:rFonts w:eastAsia="Times New Roman"/>
          <w:bCs/>
          <w:lang w:val="fr-FR"/>
        </w:rPr>
      </w:pPr>
      <w:r>
        <w:rPr>
          <w:rFonts w:eastAsia="Times New Roman"/>
          <w:bCs/>
          <w:lang w:val="fr-FR"/>
        </w:rPr>
        <w:t>Point 4.6.2</w:t>
      </w:r>
      <w:r w:rsidRPr="00462324">
        <w:rPr>
          <w:rFonts w:eastAsia="Times New Roman"/>
          <w:bCs/>
          <w:lang w:val="fr-FR"/>
        </w:rPr>
        <w:t xml:space="preserve"> de l</w:t>
      </w:r>
      <w:r>
        <w:rPr>
          <w:rFonts w:eastAsia="Times New Roman"/>
          <w:bCs/>
          <w:lang w:val="fr-FR"/>
        </w:rPr>
        <w:t>’</w:t>
      </w:r>
      <w:r w:rsidRPr="00462324">
        <w:rPr>
          <w:rFonts w:eastAsia="Times New Roman"/>
          <w:bCs/>
          <w:lang w:val="fr-FR"/>
        </w:rPr>
        <w:t>ordre du jour provisoire</w:t>
      </w:r>
    </w:p>
    <w:p w:rsidR="00447F43" w:rsidRDefault="00447F43" w:rsidP="00447F43">
      <w:pPr>
        <w:kinsoku/>
        <w:overflowPunct/>
        <w:autoSpaceDE/>
        <w:autoSpaceDN/>
        <w:adjustRightInd/>
        <w:snapToGrid/>
        <w:rPr>
          <w:rFonts w:eastAsia="Times New Roman"/>
          <w:b/>
          <w:bCs/>
        </w:rPr>
      </w:pPr>
      <w:r>
        <w:rPr>
          <w:rFonts w:eastAsia="Times New Roman"/>
          <w:b/>
          <w:bCs/>
        </w:rPr>
        <w:t xml:space="preserve">Accord de 1958 − </w:t>
      </w:r>
      <w:r w:rsidRPr="0010548A">
        <w:rPr>
          <w:b/>
          <w:lang w:val="fr-FR"/>
        </w:rPr>
        <w:t>Examen de projets d’a</w:t>
      </w:r>
      <w:r>
        <w:rPr>
          <w:b/>
          <w:lang w:val="fr-FR"/>
        </w:rPr>
        <w:t xml:space="preserve">mendements </w:t>
      </w:r>
      <w:r>
        <w:rPr>
          <w:b/>
          <w:lang w:val="fr-FR"/>
        </w:rPr>
        <w:br/>
      </w:r>
      <w:r w:rsidRPr="0010548A">
        <w:rPr>
          <w:b/>
          <w:lang w:val="fr-FR"/>
        </w:rPr>
        <w:t>à des Règlements ONU existants, soumis par le GRE</w:t>
      </w:r>
    </w:p>
    <w:p w:rsidR="00330DF7" w:rsidRPr="00522C02" w:rsidRDefault="00330DF7" w:rsidP="00330DF7">
      <w:pPr>
        <w:pStyle w:val="HChG"/>
        <w:rPr>
          <w:lang w:val="fr-FR"/>
        </w:rPr>
      </w:pPr>
      <w:r w:rsidRPr="00522C02">
        <w:rPr>
          <w:lang w:val="fr-FR"/>
        </w:rPr>
        <w:tab/>
      </w:r>
      <w:r w:rsidRPr="00522C02">
        <w:rPr>
          <w:lang w:val="fr-FR"/>
        </w:rPr>
        <w:tab/>
        <w:t xml:space="preserve">Proposition de complément 11 à la série 06 d’amendements au Règlement ONU </w:t>
      </w:r>
      <w:r w:rsidR="00B6719B" w:rsidRPr="00B6719B">
        <w:rPr>
          <w:rFonts w:eastAsia="MS Mincho"/>
          <w:lang w:val="fr-FR"/>
        </w:rPr>
        <w:t>n</w:t>
      </w:r>
      <w:r w:rsidR="00B6719B" w:rsidRPr="00B6719B">
        <w:rPr>
          <w:rFonts w:eastAsia="MS Mincho"/>
          <w:vertAlign w:val="superscript"/>
          <w:lang w:val="fr-FR"/>
        </w:rPr>
        <w:t>o</w:t>
      </w:r>
      <w:r w:rsidR="00B6719B">
        <w:rPr>
          <w:rFonts w:eastAsia="MS Mincho"/>
          <w:lang w:val="fr-FR"/>
        </w:rPr>
        <w:t> </w:t>
      </w:r>
      <w:r w:rsidRPr="00522C02">
        <w:rPr>
          <w:lang w:val="fr-FR"/>
        </w:rPr>
        <w:t>48 (Installation des dispositifs d’éclairage</w:t>
      </w:r>
      <w:r w:rsidR="00B6719B">
        <w:rPr>
          <w:lang w:val="fr-FR"/>
        </w:rPr>
        <w:t xml:space="preserve"> </w:t>
      </w:r>
      <w:r w:rsidRPr="00522C02">
        <w:rPr>
          <w:lang w:val="fr-FR"/>
        </w:rPr>
        <w:t>et de signalisation lumineuse)</w:t>
      </w:r>
    </w:p>
    <w:p w:rsidR="00330DF7" w:rsidRPr="00522C02" w:rsidRDefault="00330DF7" w:rsidP="00B6719B">
      <w:pPr>
        <w:pStyle w:val="H1G"/>
        <w:rPr>
          <w:szCs w:val="24"/>
          <w:lang w:val="fr-FR"/>
        </w:rPr>
      </w:pPr>
      <w:r w:rsidRPr="00522C02">
        <w:rPr>
          <w:rFonts w:eastAsia="Calibri"/>
          <w:sz w:val="20"/>
          <w:lang w:val="fr-FR"/>
        </w:rPr>
        <w:tab/>
      </w:r>
      <w:r w:rsidRPr="00522C02">
        <w:rPr>
          <w:rFonts w:eastAsia="Calibri"/>
          <w:sz w:val="20"/>
          <w:lang w:val="fr-FR"/>
        </w:rPr>
        <w:tab/>
      </w:r>
      <w:r w:rsidRPr="00522C02">
        <w:rPr>
          <w:lang w:val="fr-FR"/>
        </w:rPr>
        <w:t xml:space="preserve">Communication du Groupe de travail de l’éclairage </w:t>
      </w:r>
      <w:r w:rsidR="00B6719B">
        <w:rPr>
          <w:lang w:val="fr-FR"/>
        </w:rPr>
        <w:br/>
      </w:r>
      <w:r w:rsidRPr="00522C02">
        <w:rPr>
          <w:lang w:val="fr-FR"/>
        </w:rPr>
        <w:t>et de la signalisation lumineuse</w:t>
      </w:r>
      <w:r w:rsidR="0066254D" w:rsidRPr="0066254D">
        <w:rPr>
          <w:rStyle w:val="FootnoteReference"/>
          <w:b w:val="0"/>
          <w:sz w:val="20"/>
          <w:vertAlign w:val="baseline"/>
        </w:rPr>
        <w:footnoteReference w:customMarkFollows="1" w:id="3"/>
        <w:t>**</w:t>
      </w:r>
    </w:p>
    <w:p w:rsidR="00330DF7" w:rsidRPr="00522C02" w:rsidRDefault="00330DF7" w:rsidP="00B6719B">
      <w:pPr>
        <w:pStyle w:val="SingleTxtG"/>
        <w:spacing w:line="240" w:lineRule="auto"/>
        <w:ind w:firstLine="567"/>
        <w:rPr>
          <w:lang w:val="fr-FR"/>
        </w:rPr>
      </w:pPr>
      <w:r w:rsidRPr="00522C02">
        <w:rPr>
          <w:lang w:val="fr-FR"/>
        </w:rPr>
        <w:t>Le texte ci-après a été adopté par le Groupe de travail de l’éclairage et de la signalisation lumineuse (GRE) à sa soixante-dix-neuvième session (ECE/TRANS/WP.29/</w:t>
      </w:r>
      <w:r w:rsidR="00B6719B">
        <w:rPr>
          <w:lang w:val="fr-FR"/>
        </w:rPr>
        <w:t xml:space="preserve"> </w:t>
      </w:r>
      <w:r w:rsidRPr="00522C02">
        <w:rPr>
          <w:lang w:val="fr-FR"/>
        </w:rPr>
        <w:t>GRE/79, par.</w:t>
      </w:r>
      <w:r w:rsidR="00B6719B">
        <w:rPr>
          <w:lang w:val="fr-FR"/>
        </w:rPr>
        <w:t> </w:t>
      </w:r>
      <w:r w:rsidRPr="00522C02">
        <w:rPr>
          <w:lang w:val="fr-FR"/>
        </w:rPr>
        <w:t xml:space="preserve">23 à 25). Il est fondé sur le document ECE/TRANS/WP.29/GRE/2017/24 et sur les annexes IX (en français seulement), X et XI du rapport. Il est soumis au Forum mondial de l’harmonisation des Règlements concernant les véhicules (WP.29) et au Comité d’administration (AC.1) pour examen à leurs sessions de novembre 2018. </w:t>
      </w:r>
    </w:p>
    <w:p w:rsidR="00330DF7" w:rsidRPr="00522C02" w:rsidRDefault="00B6719B" w:rsidP="00B6719B">
      <w:pPr>
        <w:pStyle w:val="HChG"/>
        <w:rPr>
          <w:lang w:val="fr-FR"/>
        </w:rPr>
      </w:pPr>
      <w:bookmarkStart w:id="1" w:name="_Toc354410587"/>
      <w:r>
        <w:rPr>
          <w:lang w:val="fr-FR"/>
        </w:rPr>
        <w:br w:type="page"/>
      </w:r>
      <w:r w:rsidR="00330DF7" w:rsidRPr="00522C02">
        <w:rPr>
          <w:lang w:val="fr-FR"/>
        </w:rPr>
        <w:lastRenderedPageBreak/>
        <w:tab/>
      </w:r>
      <w:r w:rsidR="00330DF7" w:rsidRPr="00522C02">
        <w:rPr>
          <w:lang w:val="fr-FR"/>
        </w:rPr>
        <w:tab/>
        <w:t xml:space="preserve">Complément 11 à la série 06 d’amendements au Règlement ONU </w:t>
      </w:r>
      <w:r w:rsidRPr="00B6719B">
        <w:rPr>
          <w:rFonts w:eastAsia="MS Mincho"/>
          <w:lang w:val="fr-FR"/>
        </w:rPr>
        <w:t>n</w:t>
      </w:r>
      <w:r w:rsidRPr="00B6719B">
        <w:rPr>
          <w:rFonts w:eastAsia="MS Mincho"/>
          <w:vertAlign w:val="superscript"/>
          <w:lang w:val="fr-FR"/>
        </w:rPr>
        <w:t>o</w:t>
      </w:r>
      <w:r>
        <w:rPr>
          <w:lang w:val="fr-FR"/>
        </w:rPr>
        <w:t> </w:t>
      </w:r>
      <w:r w:rsidR="00330DF7" w:rsidRPr="00522C02">
        <w:rPr>
          <w:lang w:val="fr-FR"/>
        </w:rPr>
        <w:t xml:space="preserve">48 (Installation des dispositifs d’éclairage </w:t>
      </w:r>
      <w:r>
        <w:rPr>
          <w:lang w:val="fr-FR"/>
        </w:rPr>
        <w:br/>
      </w:r>
      <w:r w:rsidR="00330DF7" w:rsidRPr="00522C02">
        <w:rPr>
          <w:lang w:val="fr-FR"/>
        </w:rPr>
        <w:t xml:space="preserve">et de signalisation lumineuse) </w:t>
      </w:r>
      <w:bookmarkStart w:id="2" w:name="_Toc473483449"/>
      <w:bookmarkEnd w:id="1"/>
    </w:p>
    <w:bookmarkEnd w:id="2"/>
    <w:p w:rsidR="00330DF7" w:rsidRPr="00522C02" w:rsidRDefault="00330DF7" w:rsidP="00F82889">
      <w:pPr>
        <w:pStyle w:val="SingleTxtG"/>
        <w:keepNext/>
        <w:spacing w:after="100" w:line="236" w:lineRule="atLeast"/>
        <w:rPr>
          <w:lang w:val="fr-FR"/>
        </w:rPr>
      </w:pPr>
      <w:r w:rsidRPr="00B6719B">
        <w:rPr>
          <w:i/>
          <w:lang w:val="fr-FR"/>
        </w:rPr>
        <w:t>Ajouter un nouveau paragraphe 2.37</w:t>
      </w:r>
      <w:r w:rsidRPr="00522C02">
        <w:rPr>
          <w:lang w:val="fr-FR"/>
        </w:rPr>
        <w:t>, libellé comme suit</w:t>
      </w:r>
      <w:r w:rsidR="0003222C">
        <w:rPr>
          <w:lang w:val="fr-FR"/>
        </w:rPr>
        <w:t> :</w:t>
      </w:r>
    </w:p>
    <w:p w:rsidR="00330DF7" w:rsidRPr="00522C02" w:rsidRDefault="0003222C" w:rsidP="00FF387F">
      <w:pPr>
        <w:pStyle w:val="SingleTxtG"/>
        <w:spacing w:after="100" w:line="236" w:lineRule="atLeast"/>
        <w:ind w:left="2438" w:hanging="1304"/>
        <w:rPr>
          <w:color w:val="000000" w:themeColor="text1"/>
          <w:lang w:val="fr-FR"/>
        </w:rPr>
      </w:pPr>
      <w:r>
        <w:rPr>
          <w:lang w:val="fr-FR"/>
        </w:rPr>
        <w:t>« </w:t>
      </w:r>
      <w:r w:rsidR="00FF387F">
        <w:rPr>
          <w:lang w:val="fr-FR"/>
        </w:rPr>
        <w:t>2.37</w:t>
      </w:r>
      <w:r w:rsidR="00FF387F">
        <w:rPr>
          <w:lang w:val="fr-FR"/>
        </w:rPr>
        <w:tab/>
      </w:r>
      <w:r w:rsidR="00330DF7" w:rsidRPr="00522C02">
        <w:rPr>
          <w:lang w:val="fr-FR"/>
        </w:rPr>
        <w:t>Par “</w:t>
      </w:r>
      <w:r w:rsidR="00330DF7" w:rsidRPr="00327DE0">
        <w:rPr>
          <w:i/>
          <w:lang w:val="fr-FR"/>
        </w:rPr>
        <w:t>indicateur extérieur de position</w:t>
      </w:r>
      <w:r w:rsidR="00330DF7" w:rsidRPr="00522C02">
        <w:rPr>
          <w:lang w:val="fr-FR"/>
        </w:rPr>
        <w:t>”, on entend un signal optique installé à l’extérieur du véhicule qui sert à indiquer, lorsque le véhicule est stationné, la position ou le changement de position du système d’alarme pour véhicules (SAV), du système d’alarme (SA) et du système d’immobilisation visés par les Règlements ONU n</w:t>
      </w:r>
      <w:r w:rsidR="00330DF7" w:rsidRPr="00522C02">
        <w:rPr>
          <w:vertAlign w:val="superscript"/>
          <w:lang w:val="fr-FR"/>
        </w:rPr>
        <w:t>os</w:t>
      </w:r>
      <w:r w:rsidR="00330DF7" w:rsidRPr="00522C02">
        <w:rPr>
          <w:lang w:val="fr-FR"/>
        </w:rPr>
        <w:t> 97 et 116</w:t>
      </w:r>
      <w:r w:rsidR="00327DE0">
        <w:rPr>
          <w:lang w:val="fr-FR"/>
        </w:rPr>
        <w:t>. »</w:t>
      </w:r>
      <w:r w:rsidR="00330DF7" w:rsidRPr="00522C02">
        <w:rPr>
          <w:lang w:val="fr-FR"/>
        </w:rPr>
        <w:t>.</w:t>
      </w:r>
    </w:p>
    <w:p w:rsidR="00330DF7" w:rsidRPr="00522C02" w:rsidRDefault="00330DF7" w:rsidP="00F82889">
      <w:pPr>
        <w:pStyle w:val="SingleTxtG"/>
        <w:keepNext/>
        <w:spacing w:after="100" w:line="236" w:lineRule="atLeast"/>
        <w:rPr>
          <w:lang w:val="fr-FR"/>
        </w:rPr>
      </w:pPr>
      <w:r w:rsidRPr="00F82889">
        <w:rPr>
          <w:i/>
          <w:lang w:val="fr-FR"/>
        </w:rPr>
        <w:t>Paragraphe 2.7</w:t>
      </w:r>
      <w:r w:rsidRPr="00522C02">
        <w:rPr>
          <w:lang w:val="fr-FR"/>
        </w:rPr>
        <w:t>, lire</w:t>
      </w:r>
      <w:r w:rsidR="0003222C">
        <w:rPr>
          <w:lang w:val="fr-FR"/>
        </w:rPr>
        <w:t> :</w:t>
      </w:r>
    </w:p>
    <w:p w:rsidR="00330DF7" w:rsidRPr="00522C02" w:rsidRDefault="00327DE0" w:rsidP="00FF387F">
      <w:pPr>
        <w:pStyle w:val="SingleTxtG"/>
        <w:spacing w:after="100" w:line="236" w:lineRule="atLeast"/>
        <w:ind w:left="2438" w:hanging="1304"/>
        <w:rPr>
          <w:lang w:val="fr-FR"/>
        </w:rPr>
      </w:pPr>
      <w:r>
        <w:rPr>
          <w:lang w:val="fr-FR"/>
        </w:rPr>
        <w:t>« </w:t>
      </w:r>
      <w:r w:rsidR="00FF387F">
        <w:rPr>
          <w:lang w:val="fr-FR"/>
        </w:rPr>
        <w:t xml:space="preserve">2.7 </w:t>
      </w:r>
      <w:r w:rsidR="00FF387F">
        <w:rPr>
          <w:lang w:val="fr-FR"/>
        </w:rPr>
        <w:tab/>
      </w:r>
      <w:r w:rsidR="00330DF7" w:rsidRPr="00522C02">
        <w:rPr>
          <w:lang w:val="fr-FR"/>
        </w:rPr>
        <w:t>“</w:t>
      </w:r>
      <w:r w:rsidR="00330DF7" w:rsidRPr="00327DE0">
        <w:rPr>
          <w:i/>
          <w:lang w:val="fr-FR"/>
        </w:rPr>
        <w:t>Feu</w:t>
      </w:r>
      <w:r w:rsidR="00330DF7" w:rsidRPr="00522C02">
        <w:rPr>
          <w:lang w:val="fr-FR"/>
        </w:rPr>
        <w:t>”, un dispositif conçu pour éclairer la route ou émettre un signal lumineux à l’intention des autres usagers. Les dispositifs d’éclairage et les dispositifs rétroréfléchissants des plaques d’immatriculation arrière sont également considérés comme des feux. Aux fins du présent Règlement ONU, les plaques d’immatriculation arrière lumineuses, les systèmes d’éclairage de la porte de service des véhicules des catégories M</w:t>
      </w:r>
      <w:r w:rsidR="00330DF7" w:rsidRPr="00327DE0">
        <w:rPr>
          <w:vertAlign w:val="subscript"/>
          <w:lang w:val="fr-FR"/>
        </w:rPr>
        <w:t>2</w:t>
      </w:r>
      <w:r w:rsidR="00330DF7" w:rsidRPr="00522C02">
        <w:rPr>
          <w:lang w:val="fr-FR"/>
        </w:rPr>
        <w:t xml:space="preserve"> et M</w:t>
      </w:r>
      <w:r w:rsidR="00330DF7" w:rsidRPr="00327DE0">
        <w:rPr>
          <w:vertAlign w:val="subscript"/>
          <w:lang w:val="fr-FR"/>
        </w:rPr>
        <w:t>3</w:t>
      </w:r>
      <w:r w:rsidR="00330DF7" w:rsidRPr="00522C02">
        <w:rPr>
          <w:lang w:val="fr-FR"/>
        </w:rPr>
        <w:t xml:space="preserve">, conformément aux dispositions du Règlement ONU </w:t>
      </w:r>
      <w:r w:rsidRPr="00327DE0">
        <w:rPr>
          <w:rFonts w:eastAsia="MS Mincho"/>
          <w:lang w:val="fr-FR"/>
        </w:rPr>
        <w:t>n</w:t>
      </w:r>
      <w:r w:rsidRPr="00327DE0">
        <w:rPr>
          <w:rFonts w:eastAsia="MS Mincho"/>
          <w:vertAlign w:val="superscript"/>
          <w:lang w:val="fr-FR"/>
        </w:rPr>
        <w:t>o</w:t>
      </w:r>
      <w:r>
        <w:rPr>
          <w:lang w:val="fr-FR"/>
        </w:rPr>
        <w:t> </w:t>
      </w:r>
      <w:r w:rsidR="00330DF7" w:rsidRPr="00522C02">
        <w:rPr>
          <w:lang w:val="fr-FR"/>
        </w:rPr>
        <w:t xml:space="preserve">107, et les indicateurs extérieurs de position tels que définis dans </w:t>
      </w:r>
      <w:r w:rsidR="00330DF7" w:rsidRPr="00522C02">
        <w:rPr>
          <w:iCs/>
          <w:lang w:val="fr-FR"/>
        </w:rPr>
        <w:t>le présent Règlement ONU ne sont pas considérés comme des feux</w:t>
      </w:r>
      <w:r w:rsidR="00330DF7" w:rsidRPr="00522C02">
        <w:rPr>
          <w:lang w:val="fr-FR"/>
        </w:rPr>
        <w:t>.</w:t>
      </w:r>
    </w:p>
    <w:p w:rsidR="00330DF7" w:rsidRPr="00522C02" w:rsidRDefault="007755B8" w:rsidP="00FC4D79">
      <w:pPr>
        <w:pStyle w:val="SingleTxtG"/>
        <w:spacing w:after="100" w:line="236" w:lineRule="atLeast"/>
        <w:ind w:left="2438"/>
        <w:rPr>
          <w:lang w:val="fr-FR"/>
        </w:rPr>
      </w:pPr>
      <w:r>
        <w:rPr>
          <w:lang w:val="fr-FR"/>
        </w:rPr>
        <w:t>… »</w:t>
      </w:r>
      <w:r w:rsidR="00330DF7" w:rsidRPr="00522C02">
        <w:rPr>
          <w:lang w:val="fr-FR"/>
        </w:rPr>
        <w:t>.</w:t>
      </w:r>
    </w:p>
    <w:p w:rsidR="00330DF7" w:rsidRPr="00522C02" w:rsidRDefault="00330DF7" w:rsidP="00F82889">
      <w:pPr>
        <w:pStyle w:val="SingleTxtG"/>
        <w:keepNext/>
        <w:spacing w:after="100" w:line="236" w:lineRule="atLeast"/>
        <w:rPr>
          <w:rFonts w:eastAsia="Calibri"/>
          <w:lang w:val="fr-FR"/>
        </w:rPr>
      </w:pPr>
      <w:r w:rsidRPr="00F82889">
        <w:rPr>
          <w:i/>
          <w:lang w:val="fr-FR"/>
        </w:rPr>
        <w:t>Paragraphe 5.7.2.1</w:t>
      </w:r>
      <w:r w:rsidRPr="00522C02">
        <w:rPr>
          <w:lang w:val="fr-FR"/>
        </w:rPr>
        <w:t>, lire</w:t>
      </w:r>
      <w:r w:rsidR="0003222C">
        <w:rPr>
          <w:lang w:val="fr-FR"/>
        </w:rPr>
        <w:t> :</w:t>
      </w:r>
    </w:p>
    <w:p w:rsidR="00330DF7" w:rsidRPr="00522C02" w:rsidRDefault="00747C1C" w:rsidP="00FF387F">
      <w:pPr>
        <w:pStyle w:val="SingleTxtG"/>
        <w:spacing w:after="100" w:line="236" w:lineRule="atLeast"/>
        <w:ind w:left="2438" w:hanging="1304"/>
        <w:rPr>
          <w:iCs/>
          <w:lang w:val="fr-FR"/>
        </w:rPr>
      </w:pPr>
      <w:r>
        <w:rPr>
          <w:lang w:val="fr-FR"/>
        </w:rPr>
        <w:t>« </w:t>
      </w:r>
      <w:r w:rsidR="00F82889">
        <w:rPr>
          <w:lang w:val="fr-FR"/>
        </w:rPr>
        <w:t>5.7.2.1</w:t>
      </w:r>
      <w:r w:rsidR="00330DF7" w:rsidRPr="00522C02">
        <w:rPr>
          <w:lang w:val="fr-FR"/>
        </w:rPr>
        <w:tab/>
        <w:t>Les feux simples définis à l’alinéa a</w:t>
      </w:r>
      <w:r w:rsidR="0025773D">
        <w:rPr>
          <w:lang w:val="fr-FR"/>
        </w:rPr>
        <w:t>)</w:t>
      </w:r>
      <w:r w:rsidR="00330DF7" w:rsidRPr="00522C02">
        <w:rPr>
          <w:lang w:val="fr-FR"/>
        </w:rPr>
        <w:t xml:space="preserve"> du paragraphe 2.16.1, dont la surface apparente est constituée de deux parties distinctes ou plus, doivent être installés de façon</w:t>
      </w:r>
      <w:r w:rsidR="0003222C">
        <w:rPr>
          <w:lang w:val="fr-FR"/>
        </w:rPr>
        <w:t> :</w:t>
      </w:r>
    </w:p>
    <w:p w:rsidR="00330DF7" w:rsidRPr="00522C02" w:rsidRDefault="00330DF7" w:rsidP="00A27C4C">
      <w:pPr>
        <w:pStyle w:val="SingleTxtG"/>
        <w:ind w:left="3005" w:hanging="567"/>
        <w:rPr>
          <w:iCs/>
          <w:lang w:val="fr-FR"/>
        </w:rPr>
      </w:pPr>
      <w:r w:rsidRPr="00522C02">
        <w:rPr>
          <w:lang w:val="fr-FR"/>
        </w:rPr>
        <w:t>a)</w:t>
      </w:r>
      <w:r w:rsidRPr="00522C02">
        <w:rPr>
          <w:lang w:val="fr-FR"/>
        </w:rPr>
        <w:tab/>
        <w:t>Que la superficie totale de la projection des parties distinctes de la surface apparente dans la direction de l’axe de référence sur un plan tangent à la surface extérieure de la glace extérieure et perpendiculaire à l’axe de référence occupe au moins 60</w:t>
      </w:r>
      <w:r w:rsidR="00A27C4C">
        <w:rPr>
          <w:lang w:val="fr-FR"/>
        </w:rPr>
        <w:t> </w:t>
      </w:r>
      <w:r w:rsidRPr="00522C02">
        <w:rPr>
          <w:lang w:val="fr-FR"/>
        </w:rPr>
        <w:t>% du plus petit quadrilatère circonscrivant ladite projection de la surface apparente dans la direction de l’axe de référence</w:t>
      </w:r>
      <w:r w:rsidR="0003222C">
        <w:rPr>
          <w:lang w:val="fr-FR"/>
        </w:rPr>
        <w:t> ;</w:t>
      </w:r>
      <w:r w:rsidRPr="00522C02">
        <w:rPr>
          <w:lang w:val="fr-FR"/>
        </w:rPr>
        <w:t xml:space="preserve"> </w:t>
      </w:r>
      <w:proofErr w:type="gramStart"/>
      <w:r w:rsidRPr="00522C02">
        <w:rPr>
          <w:lang w:val="fr-FR"/>
        </w:rPr>
        <w:t>ou</w:t>
      </w:r>
      <w:proofErr w:type="gramEnd"/>
    </w:p>
    <w:p w:rsidR="00330DF7" w:rsidRPr="00522C02" w:rsidRDefault="00330DF7" w:rsidP="00A27C4C">
      <w:pPr>
        <w:pStyle w:val="SingleTxtG"/>
        <w:ind w:left="3005" w:hanging="567"/>
        <w:rPr>
          <w:iCs/>
          <w:lang w:val="fr-FR"/>
        </w:rPr>
      </w:pPr>
      <w:r w:rsidRPr="00522C02">
        <w:rPr>
          <w:lang w:val="fr-FR"/>
        </w:rPr>
        <w:t>b)</w:t>
      </w:r>
      <w:r w:rsidRPr="00522C02">
        <w:rPr>
          <w:lang w:val="fr-FR"/>
        </w:rPr>
        <w:tab/>
        <w:t>Que la distance minimum entre les côtés en regard des deux parties distinctes adjacentes/tangentes de la surface apparente dans la direction de l’axe de référence n’excède pas 75</w:t>
      </w:r>
      <w:r w:rsidR="00A27C4C">
        <w:rPr>
          <w:lang w:val="fr-FR"/>
        </w:rPr>
        <w:t> </w:t>
      </w:r>
      <w:r w:rsidRPr="00522C02">
        <w:rPr>
          <w:lang w:val="fr-FR"/>
        </w:rPr>
        <w:t>mm lorsque la mesure est effectuée perpendiculairement à l’axe de référence.</w:t>
      </w:r>
    </w:p>
    <w:p w:rsidR="00330DF7" w:rsidRPr="00522C02" w:rsidRDefault="00330DF7" w:rsidP="00FC4D79">
      <w:pPr>
        <w:pStyle w:val="SingleTxtG"/>
        <w:spacing w:after="100" w:line="236" w:lineRule="atLeast"/>
        <w:ind w:left="2438"/>
        <w:rPr>
          <w:iCs/>
          <w:lang w:val="fr-FR"/>
        </w:rPr>
      </w:pPr>
      <w:r w:rsidRPr="00522C02">
        <w:rPr>
          <w:lang w:val="fr-FR"/>
        </w:rPr>
        <w:t xml:space="preserve">Ces prescriptions ne s’appliquent pas à un catadioptre </w:t>
      </w:r>
      <w:r w:rsidR="00747C1C">
        <w:rPr>
          <w:lang w:val="fr-FR"/>
        </w:rPr>
        <w:t>simple. ».</w:t>
      </w:r>
    </w:p>
    <w:p w:rsidR="00330DF7" w:rsidRPr="00522C02" w:rsidRDefault="00330DF7" w:rsidP="00F82889">
      <w:pPr>
        <w:pStyle w:val="SingleTxtG"/>
        <w:keepNext/>
        <w:spacing w:after="100" w:line="236" w:lineRule="atLeast"/>
        <w:rPr>
          <w:rFonts w:eastAsia="Calibri"/>
          <w:lang w:val="fr-FR"/>
        </w:rPr>
      </w:pPr>
      <w:r w:rsidRPr="00F82889">
        <w:rPr>
          <w:i/>
          <w:lang w:val="fr-FR"/>
        </w:rPr>
        <w:t>Paragraphe 5.8.2</w:t>
      </w:r>
      <w:r w:rsidRPr="00522C02">
        <w:rPr>
          <w:lang w:val="fr-FR"/>
        </w:rPr>
        <w:t>, lire</w:t>
      </w:r>
      <w:r w:rsidR="0003222C">
        <w:rPr>
          <w:lang w:val="fr-FR"/>
        </w:rPr>
        <w:t> :</w:t>
      </w:r>
    </w:p>
    <w:p w:rsidR="00330DF7" w:rsidRPr="00522C02" w:rsidRDefault="00747C1C" w:rsidP="00FF387F">
      <w:pPr>
        <w:pStyle w:val="SingleTxtG"/>
        <w:spacing w:after="100" w:line="236" w:lineRule="atLeast"/>
        <w:ind w:left="2438" w:hanging="1304"/>
        <w:rPr>
          <w:lang w:val="fr-FR"/>
        </w:rPr>
      </w:pPr>
      <w:r>
        <w:rPr>
          <w:lang w:val="fr-FR"/>
        </w:rPr>
        <w:t>« </w:t>
      </w:r>
      <w:r w:rsidR="00F82889">
        <w:rPr>
          <w:lang w:val="fr-FR"/>
        </w:rPr>
        <w:t>5.8.2</w:t>
      </w:r>
      <w:r w:rsidR="00330DF7" w:rsidRPr="00522C02">
        <w:rPr>
          <w:lang w:val="fr-FR"/>
        </w:rPr>
        <w:tab/>
        <w:t xml:space="preserve">Pour les feux de croisement, la hauteur minimale au-dessus du sol se mesure à partir du point le plus bas de </w:t>
      </w:r>
      <w:r w:rsidR="00330DF7" w:rsidRPr="00522C02">
        <w:rPr>
          <w:iCs/>
          <w:lang w:val="fr-FR"/>
        </w:rPr>
        <w:t>la surface apparente dans la direction de l’axe de référence, indépendamment de son utilisation</w:t>
      </w:r>
      <w:r w:rsidR="00330DF7" w:rsidRPr="00522C02">
        <w:rPr>
          <w:lang w:val="fr-FR"/>
        </w:rPr>
        <w:t>.</w:t>
      </w:r>
      <w:r>
        <w:rPr>
          <w:lang w:val="fr-FR"/>
        </w:rPr>
        <w:t> ».</w:t>
      </w:r>
    </w:p>
    <w:p w:rsidR="00330DF7" w:rsidRPr="00522C02" w:rsidRDefault="00330DF7" w:rsidP="00F82889">
      <w:pPr>
        <w:pStyle w:val="SingleTxtG"/>
        <w:keepNext/>
        <w:spacing w:after="100" w:line="236" w:lineRule="atLeast"/>
        <w:rPr>
          <w:rFonts w:eastAsia="Calibri"/>
          <w:lang w:val="fr-FR"/>
        </w:rPr>
      </w:pPr>
      <w:r w:rsidRPr="00F82889">
        <w:rPr>
          <w:i/>
          <w:lang w:val="fr-FR"/>
        </w:rPr>
        <w:t>Paragraphes 5.10.1 et 5.10.2</w:t>
      </w:r>
      <w:r w:rsidRPr="00522C02">
        <w:rPr>
          <w:lang w:val="fr-FR"/>
        </w:rPr>
        <w:t>, lire</w:t>
      </w:r>
      <w:r w:rsidR="0003222C">
        <w:rPr>
          <w:lang w:val="fr-FR"/>
        </w:rPr>
        <w:t> :</w:t>
      </w:r>
    </w:p>
    <w:p w:rsidR="00330DF7" w:rsidRPr="00522C02" w:rsidRDefault="00747C1C" w:rsidP="00FF387F">
      <w:pPr>
        <w:pStyle w:val="SingleTxtG"/>
        <w:spacing w:after="100" w:line="236" w:lineRule="atLeast"/>
        <w:ind w:left="2438" w:hanging="1304"/>
        <w:rPr>
          <w:lang w:val="fr-FR"/>
        </w:rPr>
      </w:pPr>
      <w:r>
        <w:rPr>
          <w:lang w:val="fr-FR"/>
        </w:rPr>
        <w:t>« </w:t>
      </w:r>
      <w:r w:rsidR="00F82889">
        <w:rPr>
          <w:lang w:val="fr-FR"/>
        </w:rPr>
        <w:t>5.10.1</w:t>
      </w:r>
      <w:r w:rsidR="00330DF7" w:rsidRPr="00522C02">
        <w:rPr>
          <w:lang w:val="fr-FR"/>
        </w:rPr>
        <w:tab/>
        <w:t xml:space="preserve">Pour la visibilité de la lumière rouge vers l’avant du véhicule, à l’exception du feu de position latéral rouge le plus en arrière, il ne doit pas y avoir de visibilité directe de la surface apparente d’un feu de couleur rouge pour l’œil d’un observateur se déplaçant dans la zone 1 </w:t>
      </w:r>
      <w:r w:rsidR="00330DF7" w:rsidRPr="00522C02">
        <w:rPr>
          <w:iCs/>
          <w:lang w:val="fr-FR"/>
        </w:rPr>
        <w:t>d’un plan transversal situé 25 m en avant du véhicule</w:t>
      </w:r>
      <w:r w:rsidR="00330DF7" w:rsidRPr="00522C02">
        <w:rPr>
          <w:lang w:val="fr-FR"/>
        </w:rPr>
        <w:t xml:space="preserve"> (voir annexe 4)</w:t>
      </w:r>
      <w:r w:rsidR="0003222C">
        <w:rPr>
          <w:lang w:val="fr-FR"/>
        </w:rPr>
        <w:t> ;</w:t>
      </w:r>
      <w:r w:rsidR="00330DF7" w:rsidRPr="00522C02">
        <w:rPr>
          <w:lang w:val="fr-FR"/>
        </w:rPr>
        <w:t xml:space="preserve"> </w:t>
      </w:r>
    </w:p>
    <w:p w:rsidR="00330DF7" w:rsidRPr="00522C02" w:rsidRDefault="00F82889" w:rsidP="00FF387F">
      <w:pPr>
        <w:pStyle w:val="SingleTxtG"/>
        <w:spacing w:after="100" w:line="236" w:lineRule="atLeast"/>
        <w:ind w:left="2438" w:hanging="1304"/>
        <w:rPr>
          <w:lang w:val="fr-FR"/>
        </w:rPr>
      </w:pPr>
      <w:r>
        <w:rPr>
          <w:lang w:val="fr-FR"/>
        </w:rPr>
        <w:t>5.10.2</w:t>
      </w:r>
      <w:r w:rsidR="00330DF7" w:rsidRPr="00522C02">
        <w:rPr>
          <w:lang w:val="fr-FR"/>
        </w:rPr>
        <w:tab/>
        <w:t>Pour la visibilité de la lumière blanche vers l’arrière d’un véhicule, à l’exception des feux de marche arrière et des marquages latéraux à grande visibilité de couleur blanche fixés au véhicule, la surface apparente d’un feu de couleur blanche ne doit pas être directement visible pour l’œil d’un observateur se déplaçant dans la zone 2 d’un plan transversal situé à 25 m en arrière du véhicule (voir annexe 4)</w:t>
      </w:r>
      <w:r w:rsidR="0003222C">
        <w:rPr>
          <w:lang w:val="fr-FR"/>
        </w:rPr>
        <w:t> ;</w:t>
      </w:r>
      <w:r>
        <w:rPr>
          <w:lang w:val="fr-FR"/>
        </w:rPr>
        <w:t> ».</w:t>
      </w:r>
    </w:p>
    <w:p w:rsidR="00330DF7" w:rsidRPr="00522C02" w:rsidRDefault="00330DF7" w:rsidP="0003222C">
      <w:pPr>
        <w:pStyle w:val="SingleTxtG"/>
        <w:keepNext/>
        <w:rPr>
          <w:lang w:val="fr-FR"/>
        </w:rPr>
      </w:pPr>
      <w:r w:rsidRPr="00970287">
        <w:rPr>
          <w:i/>
          <w:lang w:val="fr-FR"/>
        </w:rPr>
        <w:lastRenderedPageBreak/>
        <w:t>Ajouter un nouveau paragraphe 5.32</w:t>
      </w:r>
      <w:r w:rsidRPr="00522C02">
        <w:rPr>
          <w:lang w:val="fr-FR"/>
        </w:rPr>
        <w:t>, libellé comme suit</w:t>
      </w:r>
      <w:r w:rsidR="0003222C">
        <w:rPr>
          <w:lang w:val="fr-FR"/>
        </w:rPr>
        <w:t> :</w:t>
      </w:r>
    </w:p>
    <w:p w:rsidR="00330DF7" w:rsidRPr="00522C02" w:rsidRDefault="00970287" w:rsidP="00FF387F">
      <w:pPr>
        <w:pStyle w:val="SingleTxtG"/>
        <w:spacing w:after="100" w:line="236" w:lineRule="atLeast"/>
        <w:ind w:left="2438" w:hanging="1304"/>
        <w:rPr>
          <w:lang w:val="fr-FR"/>
        </w:rPr>
      </w:pPr>
      <w:r>
        <w:rPr>
          <w:lang w:val="fr-FR"/>
        </w:rPr>
        <w:t>« </w:t>
      </w:r>
      <w:r w:rsidR="00FF387F">
        <w:rPr>
          <w:lang w:val="fr-FR"/>
        </w:rPr>
        <w:t>5.32</w:t>
      </w:r>
      <w:r w:rsidR="00FF387F">
        <w:rPr>
          <w:lang w:val="fr-FR"/>
        </w:rPr>
        <w:tab/>
      </w:r>
      <w:r w:rsidR="00330DF7" w:rsidRPr="00522C02">
        <w:rPr>
          <w:lang w:val="fr-FR"/>
        </w:rPr>
        <w:t>Indicateur extérieur de position</w:t>
      </w:r>
    </w:p>
    <w:p w:rsidR="00330DF7" w:rsidRPr="00522C02" w:rsidRDefault="00330DF7" w:rsidP="00FC4D79">
      <w:pPr>
        <w:pStyle w:val="SingleTxtG"/>
        <w:spacing w:after="100" w:line="236" w:lineRule="atLeast"/>
        <w:ind w:left="2438"/>
        <w:rPr>
          <w:lang w:val="fr-FR"/>
        </w:rPr>
      </w:pPr>
      <w:r w:rsidRPr="00522C02">
        <w:rPr>
          <w:lang w:val="fr-FR"/>
        </w:rPr>
        <w:t>L’indicateur extérieur de position d’un système d’alarme pour véhicules (SAV), système d’alarme (SA) ou système d’immobilisation doit satisfaire aux prescriptions suivantes</w:t>
      </w:r>
      <w:r w:rsidR="0003222C">
        <w:rPr>
          <w:lang w:val="fr-FR"/>
        </w:rPr>
        <w:t> :</w:t>
      </w:r>
    </w:p>
    <w:p w:rsidR="00330DF7" w:rsidRPr="00522C02" w:rsidRDefault="00330DF7" w:rsidP="00A744BC">
      <w:pPr>
        <w:pStyle w:val="SingleTxtG"/>
        <w:ind w:left="3005" w:hanging="567"/>
        <w:rPr>
          <w:lang w:val="fr-FR"/>
        </w:rPr>
      </w:pPr>
      <w:r w:rsidRPr="00522C02">
        <w:rPr>
          <w:lang w:val="fr-FR"/>
        </w:rPr>
        <w:t>a)</w:t>
      </w:r>
      <w:r w:rsidRPr="00522C02">
        <w:rPr>
          <w:lang w:val="fr-FR"/>
        </w:rPr>
        <w:tab/>
        <w:t>L’intensité lumineuse ne dépasse pas 0,5 cd, dans toute direction</w:t>
      </w:r>
      <w:r w:rsidR="0003222C">
        <w:rPr>
          <w:lang w:val="fr-FR"/>
        </w:rPr>
        <w:t> ;</w:t>
      </w:r>
      <w:r w:rsidRPr="00522C02">
        <w:rPr>
          <w:lang w:val="fr-FR"/>
        </w:rPr>
        <w:t xml:space="preserve"> </w:t>
      </w:r>
    </w:p>
    <w:p w:rsidR="00330DF7" w:rsidRPr="00522C02" w:rsidRDefault="00330DF7" w:rsidP="00A744BC">
      <w:pPr>
        <w:pStyle w:val="SingleTxtG"/>
        <w:ind w:left="3005" w:hanging="567"/>
        <w:rPr>
          <w:lang w:val="fr-FR"/>
        </w:rPr>
      </w:pPr>
      <w:r w:rsidRPr="00522C02">
        <w:rPr>
          <w:lang w:val="fr-FR"/>
        </w:rPr>
        <w:t>b)</w:t>
      </w:r>
      <w:r w:rsidRPr="00522C02">
        <w:rPr>
          <w:lang w:val="fr-FR"/>
        </w:rPr>
        <w:tab/>
        <w:t>La couleur de la lumière émise est blanche, rouge ou jaune-auto</w:t>
      </w:r>
      <w:r w:rsidR="0003222C">
        <w:rPr>
          <w:lang w:val="fr-FR"/>
        </w:rPr>
        <w:t> ;</w:t>
      </w:r>
    </w:p>
    <w:p w:rsidR="00330DF7" w:rsidRPr="00522C02" w:rsidRDefault="00330DF7" w:rsidP="00A744BC">
      <w:pPr>
        <w:pStyle w:val="SingleTxtG"/>
        <w:ind w:left="3005" w:hanging="567"/>
        <w:rPr>
          <w:lang w:val="fr-FR"/>
        </w:rPr>
      </w:pPr>
      <w:r w:rsidRPr="00522C02">
        <w:rPr>
          <w:lang w:val="fr-FR"/>
        </w:rPr>
        <w:t>c)</w:t>
      </w:r>
      <w:r w:rsidRPr="00522C02">
        <w:rPr>
          <w:lang w:val="fr-FR"/>
        </w:rPr>
        <w:tab/>
        <w:t>La superficie de la surface</w:t>
      </w:r>
      <w:r w:rsidR="00A744BC">
        <w:rPr>
          <w:lang w:val="fr-FR"/>
        </w:rPr>
        <w:t xml:space="preserve"> apparente ne dépasse pas 20 cm</w:t>
      </w:r>
      <w:r w:rsidRPr="0025773D">
        <w:rPr>
          <w:sz w:val="18"/>
          <w:szCs w:val="18"/>
          <w:vertAlign w:val="superscript"/>
          <w:lang w:val="fr-FR"/>
        </w:rPr>
        <w:t>2</w:t>
      </w:r>
      <w:r w:rsidRPr="00522C02">
        <w:rPr>
          <w:lang w:val="fr-FR"/>
        </w:rPr>
        <w:t>.</w:t>
      </w:r>
    </w:p>
    <w:p w:rsidR="00330DF7" w:rsidRPr="00522C02" w:rsidRDefault="00330DF7" w:rsidP="00FC4D79">
      <w:pPr>
        <w:pStyle w:val="SingleTxtG"/>
        <w:spacing w:after="100" w:line="236" w:lineRule="atLeast"/>
        <w:ind w:left="2438"/>
        <w:rPr>
          <w:lang w:val="fr-FR"/>
        </w:rPr>
      </w:pPr>
      <w:r w:rsidRPr="00522C02">
        <w:rPr>
          <w:lang w:val="fr-FR"/>
        </w:rPr>
        <w:t xml:space="preserve">Jusqu’à deux indicateurs extérieurs de position du système d’alarme pour véhicules (SAV), système d’alarme (SA) ou système d’immobilisation peuvent être installés sur un véhicule, à condition que la surface apparente de chaque </w:t>
      </w:r>
      <w:r w:rsidR="0025773D">
        <w:rPr>
          <w:lang w:val="fr-FR"/>
        </w:rPr>
        <w:t>indicateur ne dépasse pas 10 cm</w:t>
      </w:r>
      <w:r w:rsidR="0025773D" w:rsidRPr="0025773D">
        <w:rPr>
          <w:sz w:val="18"/>
          <w:szCs w:val="18"/>
          <w:vertAlign w:val="superscript"/>
          <w:lang w:val="fr-FR"/>
        </w:rPr>
        <w:t>2</w:t>
      </w:r>
      <w:r w:rsidR="0025773D" w:rsidRPr="0025773D">
        <w:rPr>
          <w:lang w:val="fr-FR"/>
        </w:rPr>
        <w:t>.</w:t>
      </w:r>
      <w:r w:rsidR="00C84EF6">
        <w:rPr>
          <w:lang w:val="fr-FR"/>
        </w:rPr>
        <w:t> ».</w:t>
      </w:r>
    </w:p>
    <w:p w:rsidR="00330DF7" w:rsidRPr="00522C02" w:rsidRDefault="00330DF7" w:rsidP="0003222C">
      <w:pPr>
        <w:pStyle w:val="SingleTxtG"/>
        <w:keepNext/>
        <w:rPr>
          <w:rFonts w:eastAsia="Calibri"/>
          <w:lang w:val="fr-FR"/>
        </w:rPr>
      </w:pPr>
      <w:r w:rsidRPr="00970287">
        <w:rPr>
          <w:i/>
          <w:lang w:val="fr-FR"/>
        </w:rPr>
        <w:t>Paragraphe 6.2.9</w:t>
      </w:r>
      <w:r w:rsidRPr="00522C02">
        <w:rPr>
          <w:lang w:val="fr-FR"/>
        </w:rPr>
        <w:t>, lire</w:t>
      </w:r>
      <w:r w:rsidR="0003222C">
        <w:rPr>
          <w:lang w:val="fr-FR"/>
        </w:rPr>
        <w:t> :</w:t>
      </w:r>
    </w:p>
    <w:p w:rsidR="00330DF7" w:rsidRPr="00522C02" w:rsidRDefault="00A92EC2" w:rsidP="00FF387F">
      <w:pPr>
        <w:pStyle w:val="SingleTxtG"/>
        <w:spacing w:after="100" w:line="236" w:lineRule="atLeast"/>
        <w:ind w:left="2438" w:hanging="1304"/>
        <w:rPr>
          <w:rFonts w:eastAsia="Calibri"/>
          <w:lang w:val="fr-FR"/>
        </w:rPr>
      </w:pPr>
      <w:r>
        <w:rPr>
          <w:lang w:val="fr-FR"/>
        </w:rPr>
        <w:t>« </w:t>
      </w:r>
      <w:r w:rsidR="00330DF7" w:rsidRPr="00522C02">
        <w:rPr>
          <w:lang w:val="fr-FR"/>
        </w:rPr>
        <w:t>6.2.9</w:t>
      </w:r>
      <w:r w:rsidR="00330DF7" w:rsidRPr="00522C02">
        <w:rPr>
          <w:lang w:val="fr-FR"/>
        </w:rPr>
        <w:tab/>
        <w:t xml:space="preserve">Autres prescriptions </w:t>
      </w:r>
    </w:p>
    <w:p w:rsidR="00330DF7" w:rsidRPr="00522C02" w:rsidRDefault="00330DF7" w:rsidP="00FF387F">
      <w:pPr>
        <w:pStyle w:val="SingleTxtG"/>
        <w:spacing w:after="100" w:line="236" w:lineRule="atLeast"/>
        <w:ind w:left="2438" w:hanging="1304"/>
        <w:rPr>
          <w:rFonts w:eastAsia="Calibri"/>
          <w:lang w:val="fr-FR"/>
        </w:rPr>
      </w:pPr>
      <w:r w:rsidRPr="00522C02">
        <w:rPr>
          <w:lang w:val="fr-FR"/>
        </w:rPr>
        <w:t>6.2.9.1</w:t>
      </w:r>
      <w:r w:rsidRPr="00522C02">
        <w:rPr>
          <w:lang w:val="fr-FR"/>
        </w:rPr>
        <w:tab/>
        <w:t>Les prescriptions du paragraphe 5.5.2 ne sont pas applicables aux feux de croisement.</w:t>
      </w:r>
    </w:p>
    <w:p w:rsidR="00330DF7" w:rsidRPr="00522C02" w:rsidRDefault="00330DF7" w:rsidP="00FF387F">
      <w:pPr>
        <w:pStyle w:val="SingleTxtG"/>
        <w:spacing w:after="100" w:line="236" w:lineRule="atLeast"/>
        <w:ind w:left="2438" w:hanging="1304"/>
        <w:rPr>
          <w:rFonts w:eastAsia="Calibri"/>
          <w:lang w:val="fr-FR"/>
        </w:rPr>
      </w:pPr>
      <w:r w:rsidRPr="00522C02">
        <w:rPr>
          <w:lang w:val="fr-FR"/>
        </w:rPr>
        <w:t>6.2.9.2</w:t>
      </w:r>
      <w:r w:rsidRPr="00522C02">
        <w:rPr>
          <w:lang w:val="fr-FR"/>
        </w:rPr>
        <w:tab/>
        <w:t>Les feux de croisement munis d’une source lumineuse ou d’un ou de plusieurs modules DEL produisant le faisceau de croisement principal ayant un flux lumineux objectif total supérieur à 2</w:t>
      </w:r>
      <w:r w:rsidR="00FF387F">
        <w:rPr>
          <w:lang w:val="fr-FR"/>
        </w:rPr>
        <w:t> </w:t>
      </w:r>
      <w:r w:rsidRPr="00522C02">
        <w:rPr>
          <w:lang w:val="fr-FR"/>
        </w:rPr>
        <w:t>000</w:t>
      </w:r>
      <w:r w:rsidR="00FF387F">
        <w:rPr>
          <w:lang w:val="fr-FR"/>
        </w:rPr>
        <w:t> </w:t>
      </w:r>
      <w:r w:rsidRPr="00522C02">
        <w:rPr>
          <w:lang w:val="fr-FR"/>
        </w:rPr>
        <w:t xml:space="preserve">lm par feu ne peuvent être installés que si un ou plusieurs nettoie-projecteurs conformes au Règlement ONU </w:t>
      </w:r>
      <w:r w:rsidR="00FF387F" w:rsidRPr="00FF387F">
        <w:rPr>
          <w:rFonts w:eastAsia="MS Mincho"/>
          <w:lang w:val="fr-FR"/>
        </w:rPr>
        <w:t>n</w:t>
      </w:r>
      <w:r w:rsidR="00FF387F" w:rsidRPr="00FF387F">
        <w:rPr>
          <w:rFonts w:eastAsia="MS Mincho"/>
          <w:vertAlign w:val="superscript"/>
          <w:lang w:val="fr-FR"/>
        </w:rPr>
        <w:t>o</w:t>
      </w:r>
      <w:r w:rsidR="00FF387F">
        <w:rPr>
          <w:lang w:val="fr-FR"/>
        </w:rPr>
        <w:t> </w:t>
      </w:r>
      <w:r w:rsidRPr="00522C02">
        <w:rPr>
          <w:lang w:val="fr-FR"/>
        </w:rPr>
        <w:t>45 le sont également.</w:t>
      </w:r>
    </w:p>
    <w:p w:rsidR="00330DF7" w:rsidRPr="00522C02" w:rsidRDefault="00BA6D42" w:rsidP="00FF387F">
      <w:pPr>
        <w:pStyle w:val="SingleTxtG"/>
        <w:spacing w:after="100" w:line="236" w:lineRule="atLeast"/>
        <w:ind w:left="2438" w:hanging="1304"/>
        <w:rPr>
          <w:rFonts w:eastAsia="Calibri"/>
          <w:lang w:val="fr-FR"/>
        </w:rPr>
      </w:pPr>
      <w:r>
        <w:rPr>
          <w:lang w:val="fr-FR"/>
        </w:rPr>
        <w:t>6.2.9.3</w:t>
      </w:r>
      <w:r w:rsidR="00330DF7" w:rsidRPr="00522C02">
        <w:rPr>
          <w:lang w:val="fr-FR"/>
        </w:rPr>
        <w:tab/>
        <w:t>En ce qui concerne l’inclinaison verticale, les prescriptions du paragraphe</w:t>
      </w:r>
      <w:r w:rsidR="00FF387F">
        <w:rPr>
          <w:lang w:val="fr-FR"/>
        </w:rPr>
        <w:t> </w:t>
      </w:r>
      <w:r w:rsidR="00330DF7" w:rsidRPr="00522C02">
        <w:rPr>
          <w:lang w:val="fr-FR"/>
        </w:rPr>
        <w:t>6.2.6.2.2 ne s’appliquent pas aux feux de croisement munis d’une source lumineuse ou d’un ou de plusieurs modules DEL produisant le faisceau de croisement principal et ayant un flux lumineux objectif supérieur à 2</w:t>
      </w:r>
      <w:r w:rsidR="00FF387F">
        <w:rPr>
          <w:lang w:val="fr-FR"/>
        </w:rPr>
        <w:t> </w:t>
      </w:r>
      <w:r w:rsidR="00330DF7" w:rsidRPr="00522C02">
        <w:rPr>
          <w:lang w:val="fr-FR"/>
        </w:rPr>
        <w:t>000</w:t>
      </w:r>
      <w:r w:rsidR="00FF387F">
        <w:rPr>
          <w:lang w:val="fr-FR"/>
        </w:rPr>
        <w:t> </w:t>
      </w:r>
      <w:r w:rsidR="00330DF7" w:rsidRPr="00522C02">
        <w:rPr>
          <w:lang w:val="fr-FR"/>
        </w:rPr>
        <w:t>lm par feu.</w:t>
      </w:r>
    </w:p>
    <w:p w:rsidR="00330DF7" w:rsidRPr="00522C02" w:rsidRDefault="00330DF7" w:rsidP="00FC4D79">
      <w:pPr>
        <w:pStyle w:val="SingleTxtG"/>
        <w:spacing w:after="100" w:line="236" w:lineRule="atLeast"/>
        <w:ind w:left="2438"/>
        <w:rPr>
          <w:rFonts w:eastAsia="Calibri"/>
          <w:lang w:val="fr-FR"/>
        </w:rPr>
      </w:pPr>
      <w:r w:rsidRPr="00522C02">
        <w:rPr>
          <w:lang w:val="fr-FR"/>
        </w:rPr>
        <w:t>Dans le cas des lampes à incandescence pour lesquelles plus d’une tension d’essai est prescrite, on applique la valeur du flux lumineux objectif correspondant au faisceau de croisement principal, indiquée sur la fiche de communication relative à l’homologation de type du dispositif.</w:t>
      </w:r>
    </w:p>
    <w:p w:rsidR="00330DF7" w:rsidRPr="00522C02" w:rsidRDefault="00330DF7" w:rsidP="00FC4D79">
      <w:pPr>
        <w:pStyle w:val="SingleTxtG"/>
        <w:spacing w:after="100" w:line="236" w:lineRule="atLeast"/>
        <w:ind w:left="2438"/>
        <w:rPr>
          <w:rFonts w:eastAsia="Calibri"/>
          <w:lang w:val="fr-FR"/>
        </w:rPr>
      </w:pPr>
      <w:r w:rsidRPr="00522C02">
        <w:rPr>
          <w:lang w:val="fr-FR"/>
        </w:rPr>
        <w:t>Dans le cas de feux de croisement équipés d’une source lumineuse homologuée, le flux lumineux objectif applicable est celui qui, à la tension d’essai pertinente, figure dans la fiche de renseignements pertinente du Règlement</w:t>
      </w:r>
      <w:r w:rsidR="00555587">
        <w:rPr>
          <w:lang w:val="fr-FR"/>
        </w:rPr>
        <w:t xml:space="preserve"> ONU</w:t>
      </w:r>
      <w:r w:rsidRPr="00522C02">
        <w:rPr>
          <w:lang w:val="fr-FR"/>
        </w:rPr>
        <w:t>, en vertu duquel la source lumineuse appliquée a été homologuée, sans tenir compte des tolérances applicables au flux lumineux objectif prescrit dans cette fiche de renseignements.</w:t>
      </w:r>
    </w:p>
    <w:p w:rsidR="00330DF7" w:rsidRPr="00522C02" w:rsidRDefault="00BA6D42" w:rsidP="00FF387F">
      <w:pPr>
        <w:pStyle w:val="SingleTxtG"/>
        <w:spacing w:after="100" w:line="236" w:lineRule="atLeast"/>
        <w:ind w:left="2438" w:hanging="1304"/>
        <w:rPr>
          <w:rFonts w:eastAsia="Calibri"/>
          <w:lang w:val="fr-FR"/>
        </w:rPr>
      </w:pPr>
      <w:r>
        <w:rPr>
          <w:lang w:val="fr-FR"/>
        </w:rPr>
        <w:t>6.2.9.4</w:t>
      </w:r>
      <w:r w:rsidR="00330DF7" w:rsidRPr="00522C02">
        <w:rPr>
          <w:lang w:val="fr-FR"/>
        </w:rPr>
        <w:tab/>
        <w:t xml:space="preserve">L’éclairage de virage ne peut être obtenu qu’au moyen de feux de croisement conformes au Règlement ONU </w:t>
      </w:r>
      <w:r w:rsidR="00FF387F" w:rsidRPr="00FF387F">
        <w:rPr>
          <w:rFonts w:eastAsia="MS Mincho"/>
          <w:lang w:val="fr-FR"/>
        </w:rPr>
        <w:t>n</w:t>
      </w:r>
      <w:r w:rsidR="00FF387F" w:rsidRPr="00FF387F">
        <w:rPr>
          <w:rFonts w:eastAsia="MS Mincho"/>
          <w:vertAlign w:val="superscript"/>
          <w:lang w:val="fr-FR"/>
        </w:rPr>
        <w:t>o</w:t>
      </w:r>
      <w:r w:rsidR="00FF387F">
        <w:rPr>
          <w:lang w:val="fr-FR"/>
        </w:rPr>
        <w:t> </w:t>
      </w:r>
      <w:r w:rsidR="00330DF7" w:rsidRPr="00522C02">
        <w:rPr>
          <w:lang w:val="fr-FR"/>
        </w:rPr>
        <w:t>98 ou 112.</w:t>
      </w:r>
    </w:p>
    <w:p w:rsidR="00330DF7" w:rsidRPr="00522C02" w:rsidRDefault="00330DF7" w:rsidP="00FC4D79">
      <w:pPr>
        <w:pStyle w:val="SingleTxtG"/>
        <w:spacing w:after="100" w:line="236" w:lineRule="atLeast"/>
        <w:ind w:left="2438"/>
        <w:rPr>
          <w:rFonts w:eastAsia="Calibri"/>
          <w:lang w:val="fr-FR"/>
        </w:rPr>
      </w:pPr>
      <w:r w:rsidRPr="00522C02">
        <w:rPr>
          <w:lang w:val="fr-FR"/>
        </w:rPr>
        <w:t>Si l’éclairage de virage est obtenu au moyen d’un mouvement horizontal de l’ensemble du feu ou du coude de la ligne de coupure, il ne doit pouvoir fonctionner que si le véhicule est en marche avant, sauf lors d’un virage à droite dans la circulation à droite (ou d’un virage à gauche dans la circulation à gauche).</w:t>
      </w:r>
      <w:r w:rsidR="0025773D">
        <w:rPr>
          <w:lang w:val="fr-FR"/>
        </w:rPr>
        <w:t> ».</w:t>
      </w:r>
    </w:p>
    <w:p w:rsidR="00330DF7" w:rsidRPr="00522C02" w:rsidRDefault="00330DF7" w:rsidP="0003222C">
      <w:pPr>
        <w:pStyle w:val="SingleTxtG"/>
        <w:keepNext/>
        <w:rPr>
          <w:rFonts w:eastAsia="Calibri"/>
          <w:lang w:val="fr-FR"/>
        </w:rPr>
      </w:pPr>
      <w:r w:rsidRPr="00A27C4C">
        <w:rPr>
          <w:i/>
          <w:lang w:val="fr-FR"/>
        </w:rPr>
        <w:t>Paragraphe 6.3.6.1.2.1</w:t>
      </w:r>
      <w:r w:rsidRPr="00522C02">
        <w:rPr>
          <w:lang w:val="fr-FR"/>
        </w:rPr>
        <w:t>, lire</w:t>
      </w:r>
      <w:r w:rsidR="0003222C">
        <w:rPr>
          <w:lang w:val="fr-FR"/>
        </w:rPr>
        <w:t> :</w:t>
      </w:r>
    </w:p>
    <w:p w:rsidR="00330DF7" w:rsidRPr="00522C02" w:rsidRDefault="00FF387F" w:rsidP="00E93531">
      <w:pPr>
        <w:pStyle w:val="SingleTxtG"/>
        <w:spacing w:after="100" w:line="236" w:lineRule="atLeast"/>
        <w:ind w:left="2438" w:hanging="1304"/>
        <w:rPr>
          <w:rFonts w:eastAsia="Calibri"/>
          <w:lang w:val="fr-FR"/>
        </w:rPr>
      </w:pPr>
      <w:r>
        <w:rPr>
          <w:lang w:val="fr-FR"/>
        </w:rPr>
        <w:t>« </w:t>
      </w:r>
      <w:r w:rsidR="00BA6D42">
        <w:rPr>
          <w:lang w:val="fr-FR"/>
        </w:rPr>
        <w:t>6.3.6.1.2.1</w:t>
      </w:r>
      <w:r w:rsidR="00330DF7" w:rsidRPr="00522C02">
        <w:rPr>
          <w:lang w:val="fr-FR"/>
        </w:rPr>
        <w:tab/>
        <w:t>Lorsque le flux lumineux normal total de la source lumineuse n’excède pas 2</w:t>
      </w:r>
      <w:r>
        <w:rPr>
          <w:lang w:val="fr-FR"/>
        </w:rPr>
        <w:t> </w:t>
      </w:r>
      <w:r w:rsidR="00330DF7" w:rsidRPr="00522C02">
        <w:rPr>
          <w:lang w:val="fr-FR"/>
        </w:rPr>
        <w:t>000 lm par feu de brouillard avant</w:t>
      </w:r>
      <w:r w:rsidR="0003222C">
        <w:rPr>
          <w:lang w:val="fr-FR"/>
        </w:rPr>
        <w:t> :</w:t>
      </w:r>
      <w:r>
        <w:rPr>
          <w:lang w:val="fr-FR"/>
        </w:rPr>
        <w:t> »</w:t>
      </w:r>
      <w:r w:rsidR="00330DF7" w:rsidRPr="00522C02">
        <w:rPr>
          <w:lang w:val="fr-FR"/>
        </w:rPr>
        <w:t>.</w:t>
      </w:r>
    </w:p>
    <w:p w:rsidR="00330DF7" w:rsidRPr="00522C02" w:rsidRDefault="00330DF7" w:rsidP="0003222C">
      <w:pPr>
        <w:pStyle w:val="SingleTxtG"/>
        <w:keepNext/>
        <w:rPr>
          <w:rFonts w:eastAsia="Calibri"/>
          <w:lang w:val="fr-FR"/>
        </w:rPr>
      </w:pPr>
      <w:r w:rsidRPr="00A27C4C">
        <w:rPr>
          <w:i/>
          <w:lang w:val="fr-FR"/>
        </w:rPr>
        <w:t>Paragraphe 6.3.6.1.2.2</w:t>
      </w:r>
      <w:r w:rsidRPr="00522C02">
        <w:rPr>
          <w:lang w:val="fr-FR"/>
        </w:rPr>
        <w:t>, lire</w:t>
      </w:r>
      <w:r w:rsidR="0003222C">
        <w:rPr>
          <w:lang w:val="fr-FR"/>
        </w:rPr>
        <w:t> :</w:t>
      </w:r>
    </w:p>
    <w:p w:rsidR="00330DF7" w:rsidRPr="00522C02" w:rsidRDefault="0025773D" w:rsidP="00E93531">
      <w:pPr>
        <w:pStyle w:val="SingleTxtG"/>
        <w:spacing w:after="100" w:line="236" w:lineRule="atLeast"/>
        <w:ind w:left="2438" w:hanging="1304"/>
        <w:rPr>
          <w:lang w:val="fr-FR"/>
        </w:rPr>
      </w:pPr>
      <w:r>
        <w:rPr>
          <w:lang w:val="fr-FR"/>
        </w:rPr>
        <w:t>« </w:t>
      </w:r>
      <w:r w:rsidR="00BA6D42">
        <w:rPr>
          <w:lang w:val="fr-FR"/>
        </w:rPr>
        <w:t>6.3.6.1.2.2</w:t>
      </w:r>
      <w:r w:rsidR="00330DF7" w:rsidRPr="00522C02">
        <w:rPr>
          <w:lang w:val="fr-FR"/>
        </w:rPr>
        <w:tab/>
        <w:t>Lorsque le flux lumineux normal total de la source lumineuse excède 2</w:t>
      </w:r>
      <w:r>
        <w:rPr>
          <w:lang w:val="fr-FR"/>
        </w:rPr>
        <w:t> </w:t>
      </w:r>
      <w:r w:rsidR="00330DF7" w:rsidRPr="00522C02">
        <w:rPr>
          <w:lang w:val="fr-FR"/>
        </w:rPr>
        <w:t>000</w:t>
      </w:r>
      <w:r>
        <w:rPr>
          <w:lang w:val="fr-FR"/>
        </w:rPr>
        <w:t> </w:t>
      </w:r>
      <w:r w:rsidR="00330DF7" w:rsidRPr="00522C02">
        <w:rPr>
          <w:lang w:val="fr-FR"/>
        </w:rPr>
        <w:t>lm par feu de brouillard avant</w:t>
      </w:r>
      <w:r w:rsidR="0003222C">
        <w:rPr>
          <w:lang w:val="fr-FR"/>
        </w:rPr>
        <w:t> :</w:t>
      </w:r>
      <w:r w:rsidR="00330DF7" w:rsidRPr="00522C02">
        <w:rPr>
          <w:lang w:val="fr-FR"/>
        </w:rPr>
        <w:t xml:space="preserve"> ».</w:t>
      </w:r>
    </w:p>
    <w:p w:rsidR="00330DF7" w:rsidRPr="00522C02" w:rsidRDefault="00330DF7" w:rsidP="0003222C">
      <w:pPr>
        <w:pStyle w:val="SingleTxtG"/>
        <w:keepNext/>
        <w:rPr>
          <w:bCs/>
          <w:lang w:val="fr-FR"/>
        </w:rPr>
      </w:pPr>
      <w:r w:rsidRPr="00A27C4C">
        <w:rPr>
          <w:i/>
          <w:lang w:val="fr-FR"/>
        </w:rPr>
        <w:lastRenderedPageBreak/>
        <w:t>Paragraphe 6.18.9</w:t>
      </w:r>
      <w:r w:rsidRPr="00522C02">
        <w:rPr>
          <w:lang w:val="fr-FR"/>
        </w:rPr>
        <w:t>, lire</w:t>
      </w:r>
      <w:r w:rsidR="0003222C">
        <w:rPr>
          <w:lang w:val="fr-FR"/>
        </w:rPr>
        <w:t> :</w:t>
      </w:r>
    </w:p>
    <w:p w:rsidR="00330DF7" w:rsidRPr="00522C02" w:rsidRDefault="00A27C4C" w:rsidP="00E93531">
      <w:pPr>
        <w:pStyle w:val="SingleTxtG"/>
        <w:spacing w:after="100" w:line="236" w:lineRule="atLeast"/>
        <w:ind w:left="2438" w:hanging="1304"/>
        <w:rPr>
          <w:lang w:val="fr-FR"/>
        </w:rPr>
      </w:pPr>
      <w:r>
        <w:rPr>
          <w:lang w:val="fr-FR"/>
        </w:rPr>
        <w:t>« </w:t>
      </w:r>
      <w:r w:rsidR="00BA6D42">
        <w:rPr>
          <w:lang w:val="fr-FR"/>
        </w:rPr>
        <w:t>6.18.9</w:t>
      </w:r>
      <w:r w:rsidR="00330DF7" w:rsidRPr="00522C02">
        <w:rPr>
          <w:lang w:val="fr-FR"/>
        </w:rPr>
        <w:tab/>
        <w:t>Autres prescriptions</w:t>
      </w:r>
    </w:p>
    <w:p w:rsidR="00330DF7" w:rsidRPr="00522C02" w:rsidRDefault="00330DF7" w:rsidP="00FC4D79">
      <w:pPr>
        <w:pStyle w:val="SingleTxtG"/>
        <w:spacing w:after="100" w:line="236" w:lineRule="atLeast"/>
        <w:ind w:left="2438"/>
        <w:rPr>
          <w:lang w:val="fr-FR"/>
        </w:rPr>
      </w:pPr>
      <w:r w:rsidRPr="00522C02">
        <w:rPr>
          <w:lang w:val="fr-FR"/>
        </w:rPr>
        <w:t>Si les feux de position latéraux les plus en arrière sont combinés avec des feux de position arrière eux-mêmes mutuellement incorporés aux feux de brouillard arrière ou aux feux-stop, leurs caractéristiques photométriques peuvent être modifiées lorsque les feux de brouillard arrière ou les feux</w:t>
      </w:r>
      <w:r w:rsidR="00A27C4C">
        <w:rPr>
          <w:lang w:val="fr-FR"/>
        </w:rPr>
        <w:noBreakHyphen/>
      </w:r>
      <w:r w:rsidRPr="00522C02">
        <w:rPr>
          <w:lang w:val="fr-FR"/>
        </w:rPr>
        <w:t>stop sont allumés.</w:t>
      </w:r>
    </w:p>
    <w:p w:rsidR="00330DF7" w:rsidRPr="00522C02" w:rsidRDefault="00330DF7" w:rsidP="00FC4D79">
      <w:pPr>
        <w:pStyle w:val="SingleTxtG"/>
        <w:spacing w:after="100" w:line="236" w:lineRule="atLeast"/>
        <w:ind w:left="2438"/>
        <w:rPr>
          <w:lang w:val="fr-FR"/>
        </w:rPr>
      </w:pPr>
      <w:r w:rsidRPr="00522C02">
        <w:rPr>
          <w:lang w:val="fr-FR"/>
        </w:rPr>
        <w:t>Les feux de position latéraux arrière doivent être orange s’ils clignotent avec le feu de position arrière.</w:t>
      </w:r>
    </w:p>
    <w:p w:rsidR="00330DF7" w:rsidRPr="00522C02" w:rsidRDefault="00330DF7" w:rsidP="00FC4D79">
      <w:pPr>
        <w:pStyle w:val="SingleTxtG"/>
        <w:spacing w:after="100" w:line="236" w:lineRule="atLeast"/>
        <w:ind w:left="2438"/>
        <w:rPr>
          <w:lang w:val="fr-FR"/>
        </w:rPr>
      </w:pPr>
      <w:r w:rsidRPr="00522C02">
        <w:rPr>
          <w:lang w:val="fr-FR"/>
        </w:rPr>
        <w:t>Si un feu de position latéral facultatif est groupé ou combiné avec un feu de position lui-même mutuellement incorporé ou groupé avec le feu indicateur de direction, les branchements électriques du feu de position latéral du côté correspondant du véhicule peuvent être conçus de telle sorte que le feu de position latéral soit éteint pendant la totalité de la période d’activation du feu indicateur de direction (autant pendant les phases d’allumage que pendant les phases d’extinction). ».</w:t>
      </w:r>
    </w:p>
    <w:p w:rsidR="00330DF7" w:rsidRPr="00522C02" w:rsidRDefault="00330DF7" w:rsidP="0003222C">
      <w:pPr>
        <w:pStyle w:val="SingleTxtG"/>
        <w:keepNext/>
        <w:rPr>
          <w:rFonts w:eastAsia="Calibri"/>
          <w:lang w:val="fr-FR"/>
        </w:rPr>
      </w:pPr>
      <w:r w:rsidRPr="00A27C4C">
        <w:rPr>
          <w:i/>
          <w:lang w:val="fr-FR"/>
        </w:rPr>
        <w:t>Paragraphe 6.26.9.2</w:t>
      </w:r>
      <w:r w:rsidRPr="00522C02">
        <w:rPr>
          <w:lang w:val="fr-FR"/>
        </w:rPr>
        <w:t>, lire</w:t>
      </w:r>
      <w:r w:rsidR="0003222C">
        <w:rPr>
          <w:lang w:val="fr-FR"/>
        </w:rPr>
        <w:t> :</w:t>
      </w:r>
    </w:p>
    <w:p w:rsidR="00330DF7" w:rsidRPr="00C5343C" w:rsidRDefault="00A27C4C" w:rsidP="00E93531">
      <w:pPr>
        <w:pStyle w:val="SingleTxtG"/>
        <w:spacing w:after="100" w:line="236" w:lineRule="atLeast"/>
        <w:ind w:left="2438" w:hanging="1304"/>
        <w:rPr>
          <w:rFonts w:eastAsia="Calibri"/>
          <w:lang w:val="fr-FR"/>
        </w:rPr>
      </w:pPr>
      <w:r>
        <w:rPr>
          <w:lang w:val="fr-FR"/>
        </w:rPr>
        <w:t>« 6.26.9.2</w:t>
      </w:r>
      <w:r w:rsidR="00330DF7" w:rsidRPr="00522C02">
        <w:rPr>
          <w:lang w:val="fr-FR"/>
        </w:rPr>
        <w:tab/>
        <w:t xml:space="preserve">À la demande du demandeur de l’homologation et avec l’accord du service technique, le respect des prescriptions du paragraphe 6.26.9.1 peut être vérifié sur schéma ou par simulation ou jugé réalisé si les conditions d’installation satisfont aux prescriptions du paragraphe 6.2.2 du Règlement ONU </w:t>
      </w:r>
      <w:r w:rsidR="00BA6D42" w:rsidRPr="00BA6D42">
        <w:rPr>
          <w:rFonts w:eastAsia="MS Mincho"/>
          <w:lang w:val="fr-FR"/>
        </w:rPr>
        <w:t>n</w:t>
      </w:r>
      <w:r w:rsidR="00BA6D42" w:rsidRPr="00BA6D42">
        <w:rPr>
          <w:rFonts w:eastAsia="MS Mincho"/>
          <w:vertAlign w:val="superscript"/>
          <w:lang w:val="fr-FR"/>
        </w:rPr>
        <w:t>o</w:t>
      </w:r>
      <w:r w:rsidR="00BA6D42">
        <w:rPr>
          <w:lang w:val="fr-FR"/>
        </w:rPr>
        <w:t> </w:t>
      </w:r>
      <w:r w:rsidR="00330DF7" w:rsidRPr="00522C02">
        <w:rPr>
          <w:lang w:val="fr-FR"/>
        </w:rPr>
        <w:t>23, comme noté dans le document d’homologation de l’annexe</w:t>
      </w:r>
      <w:r w:rsidR="00BA6D42">
        <w:rPr>
          <w:lang w:val="fr-FR"/>
        </w:rPr>
        <w:t> </w:t>
      </w:r>
      <w:r w:rsidR="00330DF7" w:rsidRPr="00522C02">
        <w:rPr>
          <w:lang w:val="fr-FR"/>
        </w:rPr>
        <w:t>1, au paragraphe 9.</w:t>
      </w:r>
      <w:r w:rsidR="00BA6D42">
        <w:rPr>
          <w:lang w:val="fr-FR"/>
        </w:rPr>
        <w:t> ».</w:t>
      </w:r>
    </w:p>
    <w:p w:rsidR="00F9573C" w:rsidRPr="00BA6D42" w:rsidRDefault="00BA6D42" w:rsidP="00BA6D4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BA6D42" w:rsidSect="00301D8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195" w:rsidRDefault="00757195" w:rsidP="00F95C08">
      <w:pPr>
        <w:spacing w:line="240" w:lineRule="auto"/>
      </w:pPr>
    </w:p>
  </w:endnote>
  <w:endnote w:type="continuationSeparator" w:id="0">
    <w:p w:rsidR="00757195" w:rsidRPr="00AC3823" w:rsidRDefault="00757195" w:rsidP="00AC3823">
      <w:pPr>
        <w:pStyle w:val="Footer"/>
      </w:pPr>
    </w:p>
  </w:endnote>
  <w:endnote w:type="continuationNotice" w:id="1">
    <w:p w:rsidR="00757195" w:rsidRDefault="007571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8C" w:rsidRPr="00301D8C" w:rsidRDefault="00301D8C" w:rsidP="00301D8C">
    <w:pPr>
      <w:pStyle w:val="Footer"/>
      <w:tabs>
        <w:tab w:val="right" w:pos="9638"/>
      </w:tabs>
    </w:pPr>
    <w:r w:rsidRPr="00301D8C">
      <w:rPr>
        <w:b/>
        <w:sz w:val="18"/>
      </w:rPr>
      <w:fldChar w:fldCharType="begin"/>
    </w:r>
    <w:r w:rsidRPr="00301D8C">
      <w:rPr>
        <w:b/>
        <w:sz w:val="18"/>
      </w:rPr>
      <w:instrText xml:space="preserve"> PAGE  \* MERGEFORMAT </w:instrText>
    </w:r>
    <w:r w:rsidRPr="00301D8C">
      <w:rPr>
        <w:b/>
        <w:sz w:val="18"/>
      </w:rPr>
      <w:fldChar w:fldCharType="separate"/>
    </w:r>
    <w:r w:rsidR="002B0BED">
      <w:rPr>
        <w:b/>
        <w:noProof/>
        <w:sz w:val="18"/>
      </w:rPr>
      <w:t>4</w:t>
    </w:r>
    <w:r w:rsidRPr="00301D8C">
      <w:rPr>
        <w:b/>
        <w:sz w:val="18"/>
      </w:rPr>
      <w:fldChar w:fldCharType="end"/>
    </w:r>
    <w:r>
      <w:rPr>
        <w:b/>
        <w:sz w:val="18"/>
      </w:rPr>
      <w:tab/>
    </w:r>
    <w:r>
      <w:t>GE.18-13744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8C" w:rsidRPr="00301D8C" w:rsidRDefault="00301D8C" w:rsidP="00301D8C">
    <w:pPr>
      <w:pStyle w:val="Footer"/>
      <w:tabs>
        <w:tab w:val="right" w:pos="9638"/>
      </w:tabs>
      <w:rPr>
        <w:b/>
        <w:sz w:val="18"/>
      </w:rPr>
    </w:pPr>
    <w:r>
      <w:t>GE.18-13744</w:t>
    </w:r>
    <w:r>
      <w:tab/>
    </w:r>
    <w:r w:rsidRPr="00301D8C">
      <w:rPr>
        <w:b/>
        <w:sz w:val="18"/>
      </w:rPr>
      <w:fldChar w:fldCharType="begin"/>
    </w:r>
    <w:r w:rsidRPr="00301D8C">
      <w:rPr>
        <w:b/>
        <w:sz w:val="18"/>
      </w:rPr>
      <w:instrText xml:space="preserve"> PAGE  \* MERGEFORMAT </w:instrText>
    </w:r>
    <w:r w:rsidRPr="00301D8C">
      <w:rPr>
        <w:b/>
        <w:sz w:val="18"/>
      </w:rPr>
      <w:fldChar w:fldCharType="separate"/>
    </w:r>
    <w:r w:rsidR="002B0BED">
      <w:rPr>
        <w:b/>
        <w:noProof/>
        <w:sz w:val="18"/>
      </w:rPr>
      <w:t>3</w:t>
    </w:r>
    <w:r w:rsidRPr="00301D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01D8C" w:rsidRDefault="00301D8C" w:rsidP="00301D8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13744  (</w:t>
    </w:r>
    <w:proofErr w:type="gramEnd"/>
    <w:r>
      <w:rPr>
        <w:sz w:val="20"/>
      </w:rPr>
      <w:t>F)    130918    280918</w:t>
    </w:r>
    <w:r>
      <w:rPr>
        <w:sz w:val="20"/>
      </w:rPr>
      <w:br/>
    </w:r>
    <w:r w:rsidRPr="00301D8C">
      <w:rPr>
        <w:rFonts w:ascii="C39T30Lfz" w:hAnsi="C39T30Lfz"/>
        <w:sz w:val="56"/>
      </w:rPr>
      <w:t></w:t>
    </w:r>
    <w:r w:rsidRPr="00301D8C">
      <w:rPr>
        <w:rFonts w:ascii="C39T30Lfz" w:hAnsi="C39T30Lfz"/>
        <w:sz w:val="56"/>
      </w:rPr>
      <w:t></w:t>
    </w:r>
    <w:r w:rsidRPr="00301D8C">
      <w:rPr>
        <w:rFonts w:ascii="C39T30Lfz" w:hAnsi="C39T30Lfz"/>
        <w:sz w:val="56"/>
      </w:rPr>
      <w:t></w:t>
    </w:r>
    <w:r w:rsidRPr="00301D8C">
      <w:rPr>
        <w:rFonts w:ascii="C39T30Lfz" w:hAnsi="C39T30Lfz"/>
        <w:sz w:val="56"/>
      </w:rPr>
      <w:t></w:t>
    </w:r>
    <w:r w:rsidRPr="00301D8C">
      <w:rPr>
        <w:rFonts w:ascii="C39T30Lfz" w:hAnsi="C39T30Lfz"/>
        <w:sz w:val="56"/>
      </w:rPr>
      <w:t></w:t>
    </w:r>
    <w:r w:rsidRPr="00301D8C">
      <w:rPr>
        <w:rFonts w:ascii="C39T30Lfz" w:hAnsi="C39T30Lfz"/>
        <w:sz w:val="56"/>
      </w:rPr>
      <w:t></w:t>
    </w:r>
    <w:r w:rsidRPr="00301D8C">
      <w:rPr>
        <w:rFonts w:ascii="C39T30Lfz" w:hAnsi="C39T30Lfz"/>
        <w:sz w:val="56"/>
      </w:rPr>
      <w:t></w:t>
    </w:r>
    <w:r w:rsidRPr="00301D8C">
      <w:rPr>
        <w:rFonts w:ascii="C39T30Lfz" w:hAnsi="C39T30Lfz"/>
        <w:sz w:val="56"/>
      </w:rPr>
      <w:t></w:t>
    </w:r>
    <w:r w:rsidRPr="00301D8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8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8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195" w:rsidRPr="00AC3823" w:rsidRDefault="00757195" w:rsidP="00AC3823">
      <w:pPr>
        <w:pStyle w:val="Footer"/>
        <w:tabs>
          <w:tab w:val="right" w:pos="2155"/>
        </w:tabs>
        <w:spacing w:after="80" w:line="240" w:lineRule="atLeast"/>
        <w:ind w:left="680"/>
        <w:rPr>
          <w:u w:val="single"/>
        </w:rPr>
      </w:pPr>
      <w:r>
        <w:rPr>
          <w:u w:val="single"/>
        </w:rPr>
        <w:tab/>
      </w:r>
    </w:p>
  </w:footnote>
  <w:footnote w:type="continuationSeparator" w:id="0">
    <w:p w:rsidR="00757195" w:rsidRPr="00AC3823" w:rsidRDefault="00757195" w:rsidP="00AC3823">
      <w:pPr>
        <w:pStyle w:val="Footer"/>
        <w:tabs>
          <w:tab w:val="right" w:pos="2155"/>
        </w:tabs>
        <w:spacing w:after="80" w:line="240" w:lineRule="atLeast"/>
        <w:ind w:left="680"/>
        <w:rPr>
          <w:u w:val="single"/>
        </w:rPr>
      </w:pPr>
      <w:r>
        <w:rPr>
          <w:u w:val="single"/>
        </w:rPr>
        <w:tab/>
      </w:r>
    </w:p>
  </w:footnote>
  <w:footnote w:type="continuationNotice" w:id="1">
    <w:p w:rsidR="00757195" w:rsidRPr="00AC3823" w:rsidRDefault="00757195">
      <w:pPr>
        <w:spacing w:line="240" w:lineRule="auto"/>
        <w:rPr>
          <w:sz w:val="2"/>
          <w:szCs w:val="2"/>
        </w:rPr>
      </w:pPr>
    </w:p>
  </w:footnote>
  <w:footnote w:id="2">
    <w:p w:rsidR="0066254D" w:rsidRPr="0066254D" w:rsidRDefault="0066254D">
      <w:pPr>
        <w:pStyle w:val="FootnoteText"/>
      </w:pPr>
      <w:r>
        <w:rPr>
          <w:rStyle w:val="FootnoteReference"/>
        </w:rPr>
        <w:tab/>
      </w:r>
      <w:r w:rsidRPr="0066254D">
        <w:rPr>
          <w:rStyle w:val="FootnoteReference"/>
          <w:sz w:val="20"/>
          <w:vertAlign w:val="baseline"/>
        </w:rPr>
        <w:t>*</w:t>
      </w:r>
      <w:r>
        <w:rPr>
          <w:rStyle w:val="FootnoteReference"/>
          <w:sz w:val="20"/>
          <w:vertAlign w:val="baseline"/>
        </w:rPr>
        <w:tab/>
      </w:r>
      <w:r>
        <w:t>Nouveau tirage pour raisons techniques (12 octobre 2018)</w:t>
      </w:r>
      <w:r w:rsidR="00785AD1">
        <w:t>.</w:t>
      </w:r>
    </w:p>
  </w:footnote>
  <w:footnote w:id="3">
    <w:p w:rsidR="0066254D" w:rsidRPr="0066254D" w:rsidRDefault="0066254D">
      <w:pPr>
        <w:pStyle w:val="FootnoteText"/>
      </w:pPr>
      <w:r>
        <w:rPr>
          <w:rStyle w:val="FootnoteReference"/>
        </w:rPr>
        <w:tab/>
      </w:r>
      <w:r w:rsidRPr="0066254D">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8C" w:rsidRPr="00301D8C" w:rsidRDefault="001B2FF7">
    <w:pPr>
      <w:pStyle w:val="Header"/>
    </w:pPr>
    <w:r>
      <w:fldChar w:fldCharType="begin"/>
    </w:r>
    <w:r>
      <w:instrText xml:space="preserve"> TITLE  \* MERGEFORMAT </w:instrText>
    </w:r>
    <w:r>
      <w:fldChar w:fldCharType="separate"/>
    </w:r>
    <w:r w:rsidR="002B0BED">
      <w:t>ECE/TRANS/WP.29/2018/84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8C" w:rsidRPr="00301D8C" w:rsidRDefault="001B2FF7" w:rsidP="00301D8C">
    <w:pPr>
      <w:pStyle w:val="Header"/>
      <w:jc w:val="right"/>
    </w:pPr>
    <w:r>
      <w:fldChar w:fldCharType="begin"/>
    </w:r>
    <w:r>
      <w:instrText xml:space="preserve"> TITLE  \* MERGEFORMAT </w:instrText>
    </w:r>
    <w:r>
      <w:fldChar w:fldCharType="separate"/>
    </w:r>
    <w:r w:rsidR="002B0BED">
      <w:t>ECE/TRANS/WP.29/2018/84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195"/>
    <w:rsid w:val="00017F94"/>
    <w:rsid w:val="00023842"/>
    <w:rsid w:val="0003222C"/>
    <w:rsid w:val="000334F9"/>
    <w:rsid w:val="00045FEB"/>
    <w:rsid w:val="0007796D"/>
    <w:rsid w:val="00082E66"/>
    <w:rsid w:val="000B7790"/>
    <w:rsid w:val="00111F2F"/>
    <w:rsid w:val="0014365E"/>
    <w:rsid w:val="00143C66"/>
    <w:rsid w:val="00176178"/>
    <w:rsid w:val="001B2FF7"/>
    <w:rsid w:val="001F525A"/>
    <w:rsid w:val="0020672E"/>
    <w:rsid w:val="00223272"/>
    <w:rsid w:val="0024779E"/>
    <w:rsid w:val="00257168"/>
    <w:rsid w:val="0025773D"/>
    <w:rsid w:val="002744B8"/>
    <w:rsid w:val="002832AC"/>
    <w:rsid w:val="002B0BED"/>
    <w:rsid w:val="002D7C93"/>
    <w:rsid w:val="00301D8C"/>
    <w:rsid w:val="00305801"/>
    <w:rsid w:val="00327DE0"/>
    <w:rsid w:val="00330DF7"/>
    <w:rsid w:val="003916DE"/>
    <w:rsid w:val="00421996"/>
    <w:rsid w:val="00441C3B"/>
    <w:rsid w:val="00446FE5"/>
    <w:rsid w:val="00447F43"/>
    <w:rsid w:val="00452396"/>
    <w:rsid w:val="004837D8"/>
    <w:rsid w:val="004E2EED"/>
    <w:rsid w:val="004E468C"/>
    <w:rsid w:val="00515DCB"/>
    <w:rsid w:val="005505B7"/>
    <w:rsid w:val="00555587"/>
    <w:rsid w:val="00573BE5"/>
    <w:rsid w:val="00586ED3"/>
    <w:rsid w:val="00596AA9"/>
    <w:rsid w:val="0066254D"/>
    <w:rsid w:val="0071601D"/>
    <w:rsid w:val="00747C1C"/>
    <w:rsid w:val="00757195"/>
    <w:rsid w:val="007755B8"/>
    <w:rsid w:val="00785AD1"/>
    <w:rsid w:val="007A62E6"/>
    <w:rsid w:val="007F20FA"/>
    <w:rsid w:val="0080684C"/>
    <w:rsid w:val="00871C75"/>
    <w:rsid w:val="008776DC"/>
    <w:rsid w:val="009446C0"/>
    <w:rsid w:val="00970287"/>
    <w:rsid w:val="009705C8"/>
    <w:rsid w:val="009C1CF4"/>
    <w:rsid w:val="009F6B74"/>
    <w:rsid w:val="00A27C4C"/>
    <w:rsid w:val="00A3029F"/>
    <w:rsid w:val="00A30353"/>
    <w:rsid w:val="00A744BC"/>
    <w:rsid w:val="00A92EC2"/>
    <w:rsid w:val="00AC3823"/>
    <w:rsid w:val="00AE323C"/>
    <w:rsid w:val="00AF0CB5"/>
    <w:rsid w:val="00B00181"/>
    <w:rsid w:val="00B00B0D"/>
    <w:rsid w:val="00B45F2E"/>
    <w:rsid w:val="00B56282"/>
    <w:rsid w:val="00B61772"/>
    <w:rsid w:val="00B6719B"/>
    <w:rsid w:val="00B765F7"/>
    <w:rsid w:val="00BA0CA9"/>
    <w:rsid w:val="00BA6D42"/>
    <w:rsid w:val="00C02897"/>
    <w:rsid w:val="00C60F3A"/>
    <w:rsid w:val="00C84EF6"/>
    <w:rsid w:val="00C97039"/>
    <w:rsid w:val="00CE3F2B"/>
    <w:rsid w:val="00D3439C"/>
    <w:rsid w:val="00DB1831"/>
    <w:rsid w:val="00DD3BFD"/>
    <w:rsid w:val="00DF5857"/>
    <w:rsid w:val="00DF6678"/>
    <w:rsid w:val="00E0299A"/>
    <w:rsid w:val="00E85C74"/>
    <w:rsid w:val="00E93531"/>
    <w:rsid w:val="00EA6547"/>
    <w:rsid w:val="00EF2E22"/>
    <w:rsid w:val="00F35BAF"/>
    <w:rsid w:val="00F660DF"/>
    <w:rsid w:val="00F82889"/>
    <w:rsid w:val="00F94664"/>
    <w:rsid w:val="00F9573C"/>
    <w:rsid w:val="00F95C08"/>
    <w:rsid w:val="00FC4D79"/>
    <w:rsid w:val="00FF387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708160-8E84-4F85-90A9-A4639C49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30DF7"/>
    <w:rPr>
      <w:rFonts w:ascii="Times New Roman" w:eastAsiaTheme="minorHAnsi" w:hAnsi="Times New Roman" w:cs="Times New Roman"/>
      <w:sz w:val="20"/>
      <w:szCs w:val="20"/>
      <w:lang w:eastAsia="en-US"/>
    </w:rPr>
  </w:style>
  <w:style w:type="character" w:customStyle="1" w:styleId="HChGChar">
    <w:name w:val="_ H _Ch_G Char"/>
    <w:link w:val="HChG"/>
    <w:rsid w:val="00330DF7"/>
    <w:rPr>
      <w:rFonts w:ascii="Times New Roman" w:eastAsiaTheme="minorHAnsi" w:hAnsi="Times New Roman" w:cs="Times New Roman"/>
      <w:b/>
      <w:sz w:val="28"/>
      <w:szCs w:val="20"/>
      <w:lang w:eastAsia="en-US"/>
    </w:rPr>
  </w:style>
  <w:style w:type="paragraph" w:customStyle="1" w:styleId="para">
    <w:name w:val="para"/>
    <w:basedOn w:val="SingleTxtG"/>
    <w:link w:val="paraChar"/>
    <w:qFormat/>
    <w:rsid w:val="00330DF7"/>
    <w:pPr>
      <w:ind w:left="2268" w:hanging="1134"/>
    </w:pPr>
  </w:style>
  <w:style w:type="character" w:customStyle="1" w:styleId="paraChar">
    <w:name w:val="para Char"/>
    <w:link w:val="para"/>
    <w:rsid w:val="00330DF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7461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ECE/TRANS/WP.29/2018/84</vt:lpstr>
      <vt:lpstr>ECE/TRANS/WP.29/2018/84</vt:lpstr>
    </vt:vector>
  </TitlesOfParts>
  <Company>DCM</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ECE/TRANS/WP.29/2018/84</dc:title>
  <dc:subject/>
  <dc:creator>Nath VITTOZ</dc:creator>
  <cp:keywords/>
  <cp:lastModifiedBy>Secretariat</cp:lastModifiedBy>
  <cp:revision>2</cp:revision>
  <cp:lastPrinted>2018-10-12T05:06:00Z</cp:lastPrinted>
  <dcterms:created xsi:type="dcterms:W3CDTF">2018-10-18T13:05:00Z</dcterms:created>
  <dcterms:modified xsi:type="dcterms:W3CDTF">2018-10-18T13:05:00Z</dcterms:modified>
</cp:coreProperties>
</file>