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781" w:type="dxa"/>
        <w:tblLayout w:type="fixed"/>
        <w:tblCellMar>
          <w:left w:w="0" w:type="dxa"/>
          <w:right w:w="0" w:type="dxa"/>
        </w:tblCellMar>
        <w:tblLook w:val="01E0" w:firstRow="1" w:lastRow="1" w:firstColumn="1" w:lastColumn="1" w:noHBand="0" w:noVBand="0"/>
      </w:tblPr>
      <w:tblGrid>
        <w:gridCol w:w="9781"/>
      </w:tblGrid>
      <w:tr w:rsidR="0086569E" w:rsidRPr="0086569E" w:rsidTr="00C86D11">
        <w:trPr>
          <w:cantSplit/>
          <w:trHeight w:hRule="exact" w:val="851"/>
        </w:trPr>
        <w:tc>
          <w:tcPr>
            <w:tcW w:w="9781" w:type="dxa"/>
            <w:tcBorders>
              <w:bottom w:val="single" w:sz="4" w:space="0" w:color="auto"/>
            </w:tcBorders>
            <w:vAlign w:val="bottom"/>
          </w:tcPr>
          <w:p w:rsidR="0086569E" w:rsidRPr="0086569E" w:rsidRDefault="0086569E" w:rsidP="0086569E">
            <w:pPr>
              <w:widowControl/>
              <w:autoSpaceDN/>
              <w:spacing w:line="240" w:lineRule="atLeast"/>
              <w:ind w:firstLine="284"/>
              <w:jc w:val="right"/>
              <w:textAlignment w:val="auto"/>
              <w:rPr>
                <w:color w:val="000000"/>
                <w:spacing w:val="-3"/>
                <w:kern w:val="0"/>
                <w:lang w:val="en-GB" w:eastAsia="en-US"/>
              </w:rPr>
            </w:pPr>
            <w:r w:rsidRPr="0086569E">
              <w:rPr>
                <w:b/>
                <w:color w:val="000000"/>
                <w:spacing w:val="-3"/>
                <w:kern w:val="0"/>
                <w:sz w:val="40"/>
                <w:szCs w:val="40"/>
                <w:lang w:val="en-GB" w:eastAsia="en-US"/>
              </w:rPr>
              <w:t>INF.4</w:t>
            </w:r>
          </w:p>
        </w:tc>
      </w:tr>
      <w:tr w:rsidR="0086569E" w:rsidRPr="0086569E" w:rsidTr="00C86D11">
        <w:trPr>
          <w:cantSplit/>
          <w:trHeight w:hRule="exact" w:val="2704"/>
        </w:trPr>
        <w:tc>
          <w:tcPr>
            <w:tcW w:w="9781" w:type="dxa"/>
            <w:tcBorders>
              <w:top w:val="single" w:sz="4" w:space="0" w:color="auto"/>
              <w:bottom w:val="single" w:sz="8" w:space="0" w:color="auto"/>
            </w:tcBorders>
          </w:tcPr>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7230"/>
              <w:gridCol w:w="2409"/>
            </w:tblGrid>
            <w:tr w:rsidR="0086569E" w:rsidRPr="0086569E" w:rsidTr="00C86D11">
              <w:trPr>
                <w:cantSplit/>
                <w:trHeight w:val="20"/>
              </w:trPr>
              <w:tc>
                <w:tcPr>
                  <w:tcW w:w="7230" w:type="dxa"/>
                </w:tcPr>
                <w:p w:rsidR="0086569E" w:rsidRDefault="0086569E" w:rsidP="0086569E">
                  <w:pPr>
                    <w:pStyle w:val="Standard"/>
                    <w:spacing w:before="120"/>
                    <w:rPr>
                      <w:b/>
                      <w:sz w:val="28"/>
                      <w:szCs w:val="28"/>
                    </w:rPr>
                  </w:pPr>
                  <w:r>
                    <w:rPr>
                      <w:b/>
                      <w:sz w:val="28"/>
                      <w:szCs w:val="28"/>
                    </w:rPr>
                    <w:t>Commission économique pour l’Europe</w:t>
                  </w:r>
                </w:p>
                <w:p w:rsidR="0086569E" w:rsidRDefault="0086569E" w:rsidP="0086569E">
                  <w:pPr>
                    <w:pStyle w:val="Standard"/>
                    <w:spacing w:before="120"/>
                    <w:rPr>
                      <w:sz w:val="28"/>
                      <w:szCs w:val="28"/>
                    </w:rPr>
                  </w:pPr>
                  <w:r>
                    <w:rPr>
                      <w:sz w:val="28"/>
                      <w:szCs w:val="28"/>
                    </w:rPr>
                    <w:t>Comité des transports intérieurs</w:t>
                  </w:r>
                </w:p>
                <w:p w:rsidR="0086569E" w:rsidRDefault="0086569E" w:rsidP="0086569E">
                  <w:pPr>
                    <w:pStyle w:val="Standard"/>
                    <w:spacing w:before="120"/>
                    <w:rPr>
                      <w:b/>
                      <w:sz w:val="24"/>
                      <w:szCs w:val="24"/>
                    </w:rPr>
                  </w:pPr>
                  <w:r>
                    <w:rPr>
                      <w:b/>
                      <w:sz w:val="24"/>
                      <w:szCs w:val="24"/>
                    </w:rPr>
                    <w:t>Groupe de travail des transports des denrées périssables</w:t>
                  </w:r>
                </w:p>
                <w:p w:rsidR="0086569E" w:rsidRDefault="0086569E" w:rsidP="0086569E">
                  <w:pPr>
                    <w:pStyle w:val="Standard"/>
                    <w:spacing w:before="120"/>
                  </w:pPr>
                  <w:r>
                    <w:rPr>
                      <w:b/>
                      <w:bCs/>
                      <w:lang w:val="fr-FR"/>
                    </w:rPr>
                    <w:t xml:space="preserve">Soixante quatorzième </w:t>
                  </w:r>
                  <w:r>
                    <w:rPr>
                      <w:b/>
                    </w:rPr>
                    <w:t>session</w:t>
                  </w:r>
                </w:p>
                <w:p w:rsidR="0086569E" w:rsidRDefault="0086569E" w:rsidP="0086569E">
                  <w:pPr>
                    <w:pStyle w:val="Standard"/>
                  </w:pPr>
                  <w:r>
                    <w:t>Genève, 8-12 octobre 2018</w:t>
                  </w:r>
                </w:p>
                <w:p w:rsidR="0086569E" w:rsidRDefault="0086569E" w:rsidP="0086569E">
                  <w:pPr>
                    <w:pStyle w:val="Standard"/>
                  </w:pPr>
                  <w:r>
                    <w:t>Point 6 a) de l’ordre du jour provisoire</w:t>
                  </w:r>
                </w:p>
                <w:p w:rsidR="0086569E" w:rsidRPr="0086569E" w:rsidRDefault="0086569E" w:rsidP="0086569E">
                  <w:pPr>
                    <w:widowControl/>
                    <w:autoSpaceDN/>
                    <w:spacing w:line="240" w:lineRule="atLeast"/>
                    <w:textAlignment w:val="auto"/>
                    <w:rPr>
                      <w:b/>
                      <w:kern w:val="0"/>
                      <w:lang w:val="en-GB" w:eastAsia="en-US"/>
                    </w:rPr>
                  </w:pPr>
                  <w:r>
                    <w:rPr>
                      <w:b/>
                    </w:rPr>
                    <w:t xml:space="preserve">Propositions d’amendements à l’ATP: </w:t>
                  </w:r>
                  <w:r>
                    <w:rPr>
                      <w:b/>
                    </w:rPr>
                    <w:br/>
                    <w:t>Propositions en suspens</w:t>
                  </w:r>
                </w:p>
              </w:tc>
              <w:tc>
                <w:tcPr>
                  <w:tcW w:w="2409" w:type="dxa"/>
                </w:tcPr>
                <w:p w:rsidR="0086569E" w:rsidRPr="0086569E" w:rsidRDefault="0086569E" w:rsidP="0086569E">
                  <w:pPr>
                    <w:widowControl/>
                    <w:autoSpaceDN/>
                    <w:spacing w:line="240" w:lineRule="atLeast"/>
                    <w:textAlignment w:val="auto"/>
                    <w:rPr>
                      <w:b/>
                      <w:kern w:val="0"/>
                      <w:lang w:val="en-GB" w:eastAsia="en-US"/>
                    </w:rPr>
                  </w:pPr>
                </w:p>
                <w:p w:rsidR="0086569E" w:rsidRPr="0086569E" w:rsidRDefault="0086569E" w:rsidP="0086569E">
                  <w:pPr>
                    <w:widowControl/>
                    <w:autoSpaceDN/>
                    <w:spacing w:line="240" w:lineRule="atLeast"/>
                    <w:textAlignment w:val="auto"/>
                    <w:rPr>
                      <w:b/>
                      <w:kern w:val="0"/>
                      <w:lang w:val="en-GB" w:eastAsia="en-US"/>
                    </w:rPr>
                  </w:pPr>
                </w:p>
                <w:p w:rsidR="0086569E" w:rsidRPr="0086569E" w:rsidRDefault="0086569E" w:rsidP="0086569E">
                  <w:pPr>
                    <w:widowControl/>
                    <w:autoSpaceDN/>
                    <w:spacing w:line="240" w:lineRule="atLeast"/>
                    <w:textAlignment w:val="auto"/>
                    <w:rPr>
                      <w:b/>
                      <w:kern w:val="0"/>
                      <w:lang w:val="en-GB" w:eastAsia="en-US"/>
                    </w:rPr>
                  </w:pPr>
                  <w:r w:rsidRPr="0086569E">
                    <w:rPr>
                      <w:b/>
                      <w:kern w:val="0"/>
                      <w:lang w:val="en-GB" w:eastAsia="en-US"/>
                    </w:rPr>
                    <w:t>23 August 2018</w:t>
                  </w:r>
                </w:p>
                <w:p w:rsidR="0086569E" w:rsidRPr="0086569E" w:rsidRDefault="0098234A" w:rsidP="0086569E">
                  <w:pPr>
                    <w:widowControl/>
                    <w:autoSpaceDN/>
                    <w:spacing w:line="240" w:lineRule="atLeast"/>
                    <w:textAlignment w:val="auto"/>
                    <w:rPr>
                      <w:bCs/>
                      <w:kern w:val="0"/>
                      <w:lang w:val="en-GB" w:eastAsia="en-US"/>
                    </w:rPr>
                  </w:pPr>
                  <w:r>
                    <w:rPr>
                      <w:bCs/>
                      <w:kern w:val="0"/>
                      <w:lang w:val="en-GB" w:eastAsia="en-US"/>
                    </w:rPr>
                    <w:t>Français</w:t>
                  </w:r>
                  <w:bookmarkStart w:id="0" w:name="_GoBack"/>
                  <w:bookmarkEnd w:id="0"/>
                </w:p>
              </w:tc>
            </w:tr>
          </w:tbl>
          <w:p w:rsidR="0086569E" w:rsidRPr="0086569E" w:rsidRDefault="0086569E" w:rsidP="0086569E">
            <w:pPr>
              <w:keepNext/>
              <w:keepLines/>
              <w:widowControl/>
              <w:tabs>
                <w:tab w:val="right" w:pos="851"/>
              </w:tabs>
              <w:autoSpaceDN/>
              <w:spacing w:before="360" w:after="240" w:line="300" w:lineRule="exact"/>
              <w:ind w:left="1134" w:right="1134" w:hanging="1134"/>
              <w:textAlignment w:val="auto"/>
              <w:rPr>
                <w:b/>
                <w:color w:val="000000"/>
                <w:spacing w:val="-3"/>
                <w:kern w:val="0"/>
                <w:sz w:val="28"/>
                <w:lang w:val="en-US" w:eastAsia="en-US"/>
              </w:rPr>
            </w:pPr>
          </w:p>
          <w:p w:rsidR="0086569E" w:rsidRPr="0086569E" w:rsidRDefault="0086569E" w:rsidP="0086569E">
            <w:pPr>
              <w:widowControl/>
              <w:autoSpaceDN/>
              <w:spacing w:before="120" w:line="240" w:lineRule="atLeast"/>
              <w:ind w:right="425" w:firstLine="284"/>
              <w:textAlignment w:val="auto"/>
              <w:rPr>
                <w:color w:val="000000"/>
                <w:spacing w:val="-3"/>
                <w:kern w:val="0"/>
                <w:lang w:val="en-GB" w:eastAsia="en-US"/>
              </w:rPr>
            </w:pPr>
          </w:p>
        </w:tc>
      </w:tr>
    </w:tbl>
    <w:p w:rsidR="00F66495" w:rsidRDefault="005E38EA" w:rsidP="0086569E">
      <w:pPr>
        <w:pStyle w:val="HChG"/>
      </w:pPr>
      <w:r>
        <w:tab/>
      </w:r>
      <w:r>
        <w:tab/>
        <w:t>Prescriptions relatives aux essais de cloisons mobiles et fixes visant à mesurer leurs coefficients de transfert thermique</w:t>
      </w:r>
    </w:p>
    <w:p w:rsidR="00F66495" w:rsidRDefault="005E38EA" w:rsidP="0086569E">
      <w:pPr>
        <w:pStyle w:val="H1G"/>
      </w:pPr>
      <w:r>
        <w:rPr>
          <w:lang w:val="fr-FR"/>
        </w:rPr>
        <w:tab/>
      </w:r>
      <w:r>
        <w:rPr>
          <w:lang w:val="fr-FR"/>
        </w:rPr>
        <w:tab/>
      </w:r>
      <w:r>
        <w:t>Communication de la France</w:t>
      </w:r>
    </w:p>
    <w:p w:rsidR="00F66495" w:rsidRDefault="005E38EA">
      <w:pPr>
        <w:pStyle w:val="H1G"/>
      </w:pPr>
      <w:r>
        <w:rPr>
          <w:rFonts w:eastAsia="Arial Unicode MS"/>
          <w:lang w:val="fr-FR" w:eastAsia="fr-FR"/>
        </w:rPr>
        <w:tab/>
      </w:r>
      <w:r>
        <w:rPr>
          <w:rFonts w:eastAsia="Arial Unicode MS"/>
          <w:lang w:val="fr-FR" w:eastAsia="fr-FR"/>
        </w:rPr>
        <w:tab/>
      </w:r>
      <w:r>
        <w:rPr>
          <w:lang w:val="fr-FR" w:eastAsia="ar-SA"/>
        </w:rPr>
        <w:t>Contexte</w:t>
      </w:r>
    </w:p>
    <w:p w:rsidR="00F66495" w:rsidRDefault="005E38EA">
      <w:pPr>
        <w:pStyle w:val="SingleTxtG"/>
        <w:numPr>
          <w:ilvl w:val="0"/>
          <w:numId w:val="33"/>
        </w:numPr>
        <w:ind w:left="1134" w:hanging="425"/>
        <w:rPr>
          <w:lang w:val="fr-FR" w:eastAsia="ar-SA"/>
        </w:rPr>
      </w:pPr>
      <w:r>
        <w:rPr>
          <w:lang w:val="fr-FR" w:eastAsia="ar-SA"/>
        </w:rPr>
        <w:t>Le paragraphe 7.3.7 de l’appendice 2 de l’annexe 1 de l’ATP fixe les valeurs du coefficient de transfert thermique (coefficient K) des cloisons internes mobiles et fixes. La valeur de ces coefficients est dépendante :</w:t>
      </w:r>
    </w:p>
    <w:p w:rsidR="00F66495" w:rsidRDefault="005E38EA">
      <w:pPr>
        <w:pStyle w:val="SingleTxtG"/>
        <w:numPr>
          <w:ilvl w:val="0"/>
          <w:numId w:val="34"/>
        </w:numPr>
      </w:pPr>
      <w:r>
        <w:rPr>
          <w:lang w:val="fr-FR" w:eastAsia="ar-SA"/>
        </w:rPr>
        <w:t>de l’implantation  des cloisons dans l’engin de transport,</w:t>
      </w:r>
    </w:p>
    <w:p w:rsidR="00F66495" w:rsidRDefault="005E38EA">
      <w:pPr>
        <w:pStyle w:val="SingleTxtG"/>
        <w:numPr>
          <w:ilvl w:val="0"/>
          <w:numId w:val="27"/>
        </w:numPr>
      </w:pPr>
      <w:r>
        <w:rPr>
          <w:lang w:val="fr-FR" w:eastAsia="ar-SA"/>
        </w:rPr>
        <w:t>de leur mobilité et,</w:t>
      </w:r>
    </w:p>
    <w:p w:rsidR="00F66495" w:rsidRDefault="005E38EA">
      <w:pPr>
        <w:pStyle w:val="SingleTxtG"/>
        <w:numPr>
          <w:ilvl w:val="0"/>
          <w:numId w:val="27"/>
        </w:numPr>
      </w:pPr>
      <w:r>
        <w:rPr>
          <w:lang w:val="fr-FR" w:eastAsia="ar-SA"/>
        </w:rPr>
        <w:t>du type de matériau revêtant la surface du plancher sur lequel ces cloisons retombent.</w:t>
      </w:r>
    </w:p>
    <w:p w:rsidR="00F66495" w:rsidRDefault="005E38EA">
      <w:pPr>
        <w:pStyle w:val="SingleTxtG"/>
      </w:pPr>
      <w:r>
        <w:rPr>
          <w:lang w:val="fr-FR" w:eastAsia="ar-SA"/>
        </w:rPr>
        <w:t>Afin de vérifier la valeur de ces coefficients, l’ATP impose un critère d’épaisseur minimum de mousse que doivent respecter les cloisons.</w:t>
      </w:r>
    </w:p>
    <w:p w:rsidR="00F66495" w:rsidRDefault="005E38EA">
      <w:pPr>
        <w:pStyle w:val="SingleTxtG"/>
        <w:numPr>
          <w:ilvl w:val="0"/>
          <w:numId w:val="14"/>
        </w:numPr>
        <w:ind w:left="1134" w:hanging="425"/>
      </w:pPr>
      <w:r>
        <w:rPr>
          <w:lang w:val="fr-FR" w:eastAsia="ar-SA"/>
        </w:rPr>
        <w:t>Les valeurs des coefficients imposées dans l’ATP sont forfaitaires. Cette stratégie rabaisse et nivelle le niveau d’isolation réellement offert par les cloisons avec, pour conséquence, une incitation à  :</w:t>
      </w:r>
    </w:p>
    <w:p w:rsidR="00F66495" w:rsidRDefault="005E38EA">
      <w:pPr>
        <w:pStyle w:val="SingleTxtG"/>
        <w:numPr>
          <w:ilvl w:val="1"/>
          <w:numId w:val="14"/>
        </w:numPr>
        <w:rPr>
          <w:lang w:val="fr-FR" w:eastAsia="ar-SA"/>
        </w:rPr>
      </w:pPr>
      <w:r>
        <w:rPr>
          <w:lang w:val="fr-FR" w:eastAsia="ar-SA"/>
        </w:rPr>
        <w:t>préférer celles à l’isolation thermique réduite et</w:t>
      </w:r>
    </w:p>
    <w:p w:rsidR="00F66495" w:rsidRDefault="005E38EA">
      <w:pPr>
        <w:pStyle w:val="SingleTxtG"/>
        <w:numPr>
          <w:ilvl w:val="1"/>
          <w:numId w:val="14"/>
        </w:numPr>
      </w:pPr>
      <w:r>
        <w:rPr>
          <w:lang w:val="fr-FR" w:eastAsia="ar-SA"/>
        </w:rPr>
        <w:t>pour les constructeurs de cloisons fixes et mobiles, à ne pas améliorer leurs solutions de cloisonnement interne proposées pour un engin utilisé dans le cadre de l’ATP.</w:t>
      </w:r>
    </w:p>
    <w:p w:rsidR="00F66495" w:rsidRDefault="005E38EA">
      <w:pPr>
        <w:pStyle w:val="SingleTxtG"/>
        <w:numPr>
          <w:ilvl w:val="0"/>
          <w:numId w:val="14"/>
        </w:numPr>
        <w:ind w:left="1134" w:hanging="425"/>
      </w:pPr>
      <w:r>
        <w:rPr>
          <w:lang w:val="fr-FR" w:eastAsia="ar-SA"/>
        </w:rPr>
        <w:t>Le point 7 de l’appendice 2 de l’annexe 1 de l’ATP définit la « Procédure de mesure de la puissance des groupes frigorifiques multi-températures mécaniques et de dimensionnement des engins à compartiments multiples ». Etant donné qu’aucune méthode n’existe au sein de l’ATP pour mesurer la valeur du coefficient K des parois internes fixes et mobile, le paragraphe 7.2.1 définit la procédure générale de l’essai avec l’obligation de tester chaque évaporateur dans un calorimètre distinct. Si cette mesure est applicable aux groupes frigorifiques dotés d’évaporateurs indépendants, certains autres groupes frigorifiques à évaporateurs multiples intégrés ne peuvent pas être testés conformément à ce paragraphe. De tels groupes frigorifiques se trouvent donc écartés de l’ATP ce qui créait un crible d’acceptation des groupes frigorifiques au titre de l’ATP techniquement injustifiable.</w:t>
      </w:r>
    </w:p>
    <w:p w:rsidR="00F66495" w:rsidRDefault="005E38EA">
      <w:pPr>
        <w:pStyle w:val="SingleTxtG"/>
        <w:numPr>
          <w:ilvl w:val="0"/>
          <w:numId w:val="14"/>
        </w:numPr>
        <w:ind w:left="1134" w:hanging="425"/>
        <w:rPr>
          <w:lang w:val="fr-FR" w:eastAsia="ar-SA"/>
        </w:rPr>
      </w:pPr>
      <w:r>
        <w:rPr>
          <w:lang w:val="fr-FR" w:eastAsia="ar-SA"/>
        </w:rPr>
        <w:t>Tenant compte que l’application du paragraphe 7.3.7 de l’appendice 2 de l’annexe 1 de l’ATP :</w:t>
      </w:r>
    </w:p>
    <w:p w:rsidR="00F66495" w:rsidRDefault="005E38EA">
      <w:pPr>
        <w:pStyle w:val="SingleTxtG"/>
        <w:numPr>
          <w:ilvl w:val="1"/>
          <w:numId w:val="14"/>
        </w:numPr>
        <w:ind w:left="1985" w:hanging="284"/>
      </w:pPr>
      <w:r>
        <w:rPr>
          <w:lang w:val="fr-FR" w:eastAsia="ar-SA"/>
        </w:rPr>
        <w:t>est préjudiciable à l’amélioration du coefficient K des cloisons fixes et mobiles pour créer un engin mieux maîtrisé et,</w:t>
      </w:r>
    </w:p>
    <w:p w:rsidR="00F66495" w:rsidRDefault="005E38EA">
      <w:pPr>
        <w:pStyle w:val="SingleTxtG"/>
        <w:numPr>
          <w:ilvl w:val="1"/>
          <w:numId w:val="14"/>
        </w:numPr>
        <w:ind w:left="1985" w:hanging="284"/>
      </w:pPr>
      <w:r>
        <w:rPr>
          <w:lang w:val="fr-FR" w:eastAsia="ar-SA"/>
        </w:rPr>
        <w:lastRenderedPageBreak/>
        <w:t>rend impossible la réalisation des essais d’un groupe frigorifique multi-températures à évaporateurs multiples intégrés conformément au point 7 de l’appendice 2 de l’annexe 1 de l’ATP,</w:t>
      </w:r>
    </w:p>
    <w:p w:rsidR="00F66495" w:rsidRDefault="005E38EA">
      <w:pPr>
        <w:pStyle w:val="SingleTxtG"/>
        <w:rPr>
          <w:lang w:val="fr-FR" w:eastAsia="ar-SA"/>
        </w:rPr>
      </w:pPr>
      <w:r>
        <w:rPr>
          <w:lang w:val="fr-FR" w:eastAsia="ar-SA"/>
        </w:rPr>
        <w:t>Il serait bénéfique d’ajouter aux valeurs forfaitaires proposées de coefficient K une méthode visant à mesurer la valeur des coefficients K de cloisons mobiles et fixes.</w:t>
      </w:r>
    </w:p>
    <w:p w:rsidR="00F66495" w:rsidRDefault="005E38EA">
      <w:pPr>
        <w:pStyle w:val="H1G"/>
        <w:rPr>
          <w:lang w:val="fr-FR" w:eastAsia="ar-SA"/>
        </w:rPr>
      </w:pPr>
      <w:r>
        <w:rPr>
          <w:lang w:val="fr-FR" w:eastAsia="ar-SA"/>
        </w:rPr>
        <w:tab/>
      </w:r>
      <w:r>
        <w:rPr>
          <w:lang w:val="fr-FR" w:eastAsia="ar-SA"/>
        </w:rPr>
        <w:tab/>
        <w:t>Proposition N° 3</w:t>
      </w:r>
    </w:p>
    <w:p w:rsidR="00F66495" w:rsidRDefault="005E38EA">
      <w:pPr>
        <w:pStyle w:val="SingleTxtG"/>
        <w:numPr>
          <w:ilvl w:val="0"/>
          <w:numId w:val="14"/>
        </w:numPr>
        <w:ind w:left="1134" w:hanging="425"/>
        <w:rPr>
          <w:lang w:val="fr-FR" w:eastAsia="ar-SA"/>
        </w:rPr>
      </w:pPr>
      <w:r>
        <w:rPr>
          <w:lang w:val="fr-FR" w:eastAsia="ar-SA"/>
        </w:rPr>
        <w:t>La présente proposition introduit une méthodologie de test visant à mesurer les coefficients de transfert thermique de parois fixes. Cette méthodologie est à inscrire dans le paragraphe 7.3.7 comme étant une méthode donnant lieu à des résultats pouvant être utilisés en lieu et place des valeurs proposées par défaut pour les coefficients K des cloisons fixes.</w:t>
      </w:r>
    </w:p>
    <w:p w:rsidR="00F66495" w:rsidRDefault="005E38EA">
      <w:pPr>
        <w:pStyle w:val="SingleTxtG"/>
        <w:numPr>
          <w:ilvl w:val="0"/>
          <w:numId w:val="14"/>
        </w:numPr>
        <w:ind w:left="1134" w:hanging="425"/>
        <w:rPr>
          <w:lang w:val="fr-FR" w:eastAsia="ar-SA"/>
        </w:rPr>
      </w:pPr>
      <w:r>
        <w:rPr>
          <w:lang w:val="fr-FR" w:eastAsia="ar-SA"/>
        </w:rPr>
        <w:t>Sous réserve qu’un amendement à l’ATP puisse être enregistré sur la base de cette méthodologie, la procédure générale du paragraphe 7.2.1 où sont spécifiées les conditions d’essais de groupes frigorifiques multi-températures mécaniques pourrait alors être modifiée.</w:t>
      </w:r>
    </w:p>
    <w:p w:rsidR="00F66495" w:rsidRDefault="005E38EA">
      <w:pPr>
        <w:pStyle w:val="H1G"/>
        <w:rPr>
          <w:lang w:val="fr-FR" w:eastAsia="ar-SA"/>
        </w:rPr>
      </w:pPr>
      <w:r>
        <w:rPr>
          <w:lang w:val="fr-FR" w:eastAsia="ar-SA"/>
        </w:rPr>
        <w:tab/>
      </w:r>
      <w:r>
        <w:rPr>
          <w:lang w:val="fr-FR" w:eastAsia="ar-SA"/>
        </w:rPr>
        <w:tab/>
        <w:t>Principe de la méthodologie d’essai des cloisons fixes et mobiles</w:t>
      </w:r>
    </w:p>
    <w:p w:rsidR="00F66495" w:rsidRDefault="005E38EA">
      <w:pPr>
        <w:pStyle w:val="SingleTxtG"/>
        <w:numPr>
          <w:ilvl w:val="0"/>
          <w:numId w:val="14"/>
        </w:numPr>
        <w:ind w:left="1134" w:hanging="425"/>
        <w:rPr>
          <w:lang w:val="fr-FR" w:eastAsia="ar-SA"/>
        </w:rPr>
      </w:pPr>
      <w:r>
        <w:rPr>
          <w:lang w:val="fr-FR" w:eastAsia="ar-SA"/>
        </w:rPr>
        <w:t>La méthodologie de test repose sur celle décrite dans la section 2, appendice 2 de l’annexe 1 de l’ATP « Isothermie des engins » dans sa version validée du 6 janvier 2018.</w:t>
      </w:r>
    </w:p>
    <w:p w:rsidR="00F66495" w:rsidRDefault="005E38EA">
      <w:pPr>
        <w:pStyle w:val="SingleTxtG"/>
        <w:numPr>
          <w:ilvl w:val="0"/>
          <w:numId w:val="14"/>
        </w:numPr>
        <w:ind w:left="1134" w:hanging="425"/>
      </w:pPr>
      <w:r>
        <w:rPr>
          <w:lang w:val="fr-FR" w:eastAsia="ar-SA"/>
        </w:rPr>
        <w:t>Elle introduit au travers d’un complément au paragraphe 7.3.7 les aménagements rendus nécessaires pour répondre aux besoins :</w:t>
      </w:r>
    </w:p>
    <w:p w:rsidR="00F66495" w:rsidRDefault="005E38EA">
      <w:pPr>
        <w:pStyle w:val="SingleTxtG"/>
        <w:ind w:left="1843" w:hanging="283"/>
        <w:rPr>
          <w:lang w:val="fr-FR" w:eastAsia="ar-SA"/>
        </w:rPr>
      </w:pPr>
      <w:r>
        <w:rPr>
          <w:lang w:val="fr-FR" w:eastAsia="ar-SA"/>
        </w:rPr>
        <w:t xml:space="preserve">-  </w:t>
      </w:r>
      <w:r>
        <w:rPr>
          <w:lang w:val="fr-FR" w:eastAsia="ar-SA"/>
        </w:rPr>
        <w:tab/>
        <w:t>d’adaptation de la méthode d’essais de groupes frigorifiques multi-températures proposée au paragraphe 7.2 pour intégrer les groupes frigorifiques à évaporateurs multiples intégrés à l’ATP,</w:t>
      </w:r>
    </w:p>
    <w:p w:rsidR="00F66495" w:rsidRDefault="005E38EA">
      <w:pPr>
        <w:pStyle w:val="SingleTxtG"/>
        <w:ind w:left="1843" w:hanging="283"/>
        <w:rPr>
          <w:lang w:val="fr-FR" w:eastAsia="ar-SA"/>
        </w:rPr>
      </w:pPr>
      <w:r>
        <w:rPr>
          <w:lang w:val="fr-FR" w:eastAsia="ar-SA"/>
        </w:rPr>
        <w:t xml:space="preserve">- </w:t>
      </w:r>
      <w:r>
        <w:rPr>
          <w:lang w:val="fr-FR" w:eastAsia="ar-SA"/>
        </w:rPr>
        <w:tab/>
        <w:t>de pousser les constructeurs à proposer de meilleures solutions dans le cas de compartimentages des engins de transport répondant à l’ATP.</w:t>
      </w:r>
    </w:p>
    <w:p w:rsidR="00F66495" w:rsidRDefault="00F66495">
      <w:pPr>
        <w:pStyle w:val="SingleTxtG"/>
        <w:ind w:left="1843" w:hanging="283"/>
        <w:rPr>
          <w:lang w:val="fr-FR" w:eastAsia="ar-SA"/>
        </w:rPr>
      </w:pPr>
    </w:p>
    <w:p w:rsidR="00F66495" w:rsidRDefault="005E38EA">
      <w:pPr>
        <w:pStyle w:val="SingleTxtG"/>
        <w:rPr>
          <w:lang w:val="fr-FR" w:eastAsia="ar-SA"/>
        </w:rPr>
      </w:pPr>
      <w:r>
        <w:rPr>
          <w:lang w:val="fr-FR" w:eastAsia="ar-SA"/>
        </w:rPr>
        <w:t>Le principe de la méthode repose sur :</w:t>
      </w:r>
    </w:p>
    <w:p w:rsidR="00F66495" w:rsidRDefault="005E38EA">
      <w:pPr>
        <w:pStyle w:val="SingleTxtG"/>
        <w:numPr>
          <w:ilvl w:val="0"/>
          <w:numId w:val="27"/>
        </w:numPr>
      </w:pPr>
      <w:r>
        <w:rPr>
          <w:lang w:val="fr-FR" w:eastAsia="ar-SA"/>
        </w:rPr>
        <w:t>la création d’un flux thermique maîtrisé au travers d’une cloison interne fixe dont la détermination du coefficient K est recherchée,</w:t>
      </w:r>
    </w:p>
    <w:p w:rsidR="00F66495" w:rsidRDefault="005E38EA">
      <w:pPr>
        <w:pStyle w:val="SingleTxtG"/>
        <w:numPr>
          <w:ilvl w:val="0"/>
          <w:numId w:val="27"/>
        </w:numPr>
      </w:pPr>
      <w:r>
        <w:rPr>
          <w:lang w:val="fr-FR" w:eastAsia="ar-SA"/>
        </w:rPr>
        <w:t>l’annulation de flux thermiques de l’ensemble des autres parois du compartiment dans lequel est effectué la mesure de puissance nécessaire à l’estimation du coefficient K de la cloison fixe.</w:t>
      </w:r>
    </w:p>
    <w:p w:rsidR="00F66495" w:rsidRDefault="005E38EA">
      <w:pPr>
        <w:pStyle w:val="SingleTxtG"/>
        <w:ind w:left="0"/>
      </w:pPr>
      <w:r>
        <w:rPr>
          <w:lang w:val="fr-FR" w:eastAsia="ar-SA"/>
        </w:rPr>
        <w:lastRenderedPageBreak/>
        <w:t xml:space="preserve">Les quatre exemples ci-dessous explicitent la méthode pour plusieurs configurations données : </w:t>
      </w:r>
      <w:r>
        <w:rPr>
          <w:noProof/>
        </w:rPr>
        <w:drawing>
          <wp:inline distT="0" distB="0" distL="0" distR="0">
            <wp:extent cx="5486399" cy="3143159"/>
            <wp:effectExtent l="0" t="0" r="1" b="91"/>
            <wp:docPr id="4"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3435" t="21554" r="70240" b="34520"/>
                    <a:stretch>
                      <a:fillRect/>
                    </a:stretch>
                  </pic:blipFill>
                  <pic:spPr>
                    <a:xfrm>
                      <a:off x="0" y="0"/>
                      <a:ext cx="5486399" cy="3143159"/>
                    </a:xfrm>
                    <a:prstGeom prst="rect">
                      <a:avLst/>
                    </a:prstGeom>
                    <a:ln>
                      <a:noFill/>
                      <a:prstDash/>
                    </a:ln>
                  </pic:spPr>
                </pic:pic>
              </a:graphicData>
            </a:graphic>
          </wp:inline>
        </w:drawing>
      </w:r>
    </w:p>
    <w:p w:rsidR="00F66495" w:rsidRDefault="005E38EA">
      <w:pPr>
        <w:pStyle w:val="SingleTxtG"/>
        <w:ind w:right="0" w:hanging="1134"/>
        <w:jc w:val="center"/>
      </w:pPr>
      <w:r>
        <w:rPr>
          <w:noProof/>
        </w:rPr>
        <w:drawing>
          <wp:inline distT="0" distB="0" distL="0" distR="0">
            <wp:extent cx="5295959" cy="628560"/>
            <wp:effectExtent l="0" t="0" r="0" b="90"/>
            <wp:docPr id="5"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4062" t="43270" r="69924" b="47741"/>
                    <a:stretch>
                      <a:fillRect/>
                    </a:stretch>
                  </pic:blipFill>
                  <pic:spPr>
                    <a:xfrm>
                      <a:off x="0" y="0"/>
                      <a:ext cx="5295959" cy="628560"/>
                    </a:xfrm>
                    <a:prstGeom prst="rect">
                      <a:avLst/>
                    </a:prstGeom>
                    <a:ln>
                      <a:noFill/>
                      <a:prstDash/>
                    </a:ln>
                  </pic:spPr>
                </pic:pic>
              </a:graphicData>
            </a:graphic>
          </wp:inline>
        </w:drawing>
      </w:r>
    </w:p>
    <w:p w:rsidR="00F66495" w:rsidRDefault="005E38EA">
      <w:pPr>
        <w:pStyle w:val="SingleTxtG"/>
        <w:ind w:right="0" w:hanging="1134"/>
        <w:jc w:val="center"/>
        <w:rPr>
          <w:lang w:val="en-US" w:eastAsia="ar-SA"/>
        </w:rPr>
      </w:pPr>
      <w:r>
        <w:rPr>
          <w:lang w:val="en-US" w:eastAsia="ar-SA"/>
        </w:rPr>
        <w:t>With 'Cp.N ° X, the compartment number X.</w:t>
      </w:r>
    </w:p>
    <w:p w:rsidR="00F66495" w:rsidRDefault="005E38EA">
      <w:pPr>
        <w:pStyle w:val="H1G"/>
      </w:pPr>
      <w:r>
        <w:rPr>
          <w:lang w:val="en-US" w:eastAsia="ar-SA"/>
        </w:rPr>
        <w:tab/>
      </w:r>
      <w:r>
        <w:rPr>
          <w:lang w:val="en-US" w:eastAsia="ar-SA"/>
        </w:rPr>
        <w:tab/>
      </w:r>
      <w:r>
        <w:rPr>
          <w:lang w:val="fr-FR" w:eastAsia="ar-SA"/>
        </w:rPr>
        <w:t>Impact</w:t>
      </w:r>
    </w:p>
    <w:p w:rsidR="00F66495" w:rsidRDefault="005E38EA">
      <w:pPr>
        <w:pStyle w:val="SingleTxtG"/>
        <w:numPr>
          <w:ilvl w:val="0"/>
          <w:numId w:val="14"/>
        </w:numPr>
        <w:ind w:left="1134" w:hanging="425"/>
        <w:rPr>
          <w:lang w:val="fr-FR" w:eastAsia="ar-SA"/>
        </w:rPr>
      </w:pPr>
      <w:r>
        <w:rPr>
          <w:lang w:val="fr-FR" w:eastAsia="ar-SA"/>
        </w:rPr>
        <w:t>Cette proposition permet de disposer d’une méthodologie permettant d’évaluer la valeur du coefficient K des parois fixes. Cette méthodologie repose sur celle déjà existante dans l’ATP pour la détermination du coefficient K global d’une caisse ou d’un engin de transport qui a fait ses preuves depuis 1976.</w:t>
      </w:r>
    </w:p>
    <w:p w:rsidR="00F66495" w:rsidRDefault="005E38EA">
      <w:pPr>
        <w:pStyle w:val="SingleTxtG"/>
        <w:numPr>
          <w:ilvl w:val="0"/>
          <w:numId w:val="14"/>
        </w:numPr>
        <w:ind w:left="1134" w:hanging="425"/>
        <w:rPr>
          <w:lang w:val="fr-FR" w:eastAsia="ar-SA"/>
        </w:rPr>
      </w:pPr>
      <w:r>
        <w:rPr>
          <w:lang w:val="fr-FR" w:eastAsia="ar-SA"/>
        </w:rPr>
        <w:t>La proposition nécessite un amendement à l’accord pour être pleinement et directement utilisable.</w:t>
      </w:r>
    </w:p>
    <w:p w:rsidR="00F66495" w:rsidRDefault="005E38EA">
      <w:pPr>
        <w:pStyle w:val="H1G"/>
        <w:rPr>
          <w:lang w:val="fr-FR" w:eastAsia="ar-SA"/>
        </w:rPr>
      </w:pPr>
      <w:r>
        <w:rPr>
          <w:lang w:val="fr-FR" w:eastAsia="ar-SA"/>
        </w:rPr>
        <w:tab/>
      </w:r>
      <w:r>
        <w:rPr>
          <w:lang w:val="fr-FR" w:eastAsia="ar-SA"/>
        </w:rPr>
        <w:tab/>
        <w:t>Impact environnemental</w:t>
      </w:r>
    </w:p>
    <w:p w:rsidR="00F66495" w:rsidRDefault="005E38EA">
      <w:pPr>
        <w:pStyle w:val="SingleTxtG"/>
        <w:numPr>
          <w:ilvl w:val="0"/>
          <w:numId w:val="14"/>
        </w:numPr>
        <w:ind w:left="1134" w:hanging="425"/>
        <w:rPr>
          <w:lang w:val="fr-FR" w:eastAsia="ar-SA"/>
        </w:rPr>
      </w:pPr>
      <w:r>
        <w:rPr>
          <w:lang w:val="fr-FR" w:eastAsia="ar-SA"/>
        </w:rPr>
        <w:t>Cette proposition permet d’améliorer l’isolation thermique des cloisons internes des engins en favorisant la sélection de parois fixes aux isolations supérieures. Une telle disposition permet de réduire l’énergie nécessaire pour maintenir un niveau de température donné conformément à l’ATP.</w:t>
      </w:r>
    </w:p>
    <w:p w:rsidR="00F66495" w:rsidRDefault="005E38EA">
      <w:pPr>
        <w:pStyle w:val="H1G"/>
        <w:rPr>
          <w:lang w:val="fr-FR" w:eastAsia="ar-SA"/>
        </w:rPr>
      </w:pPr>
      <w:r>
        <w:rPr>
          <w:lang w:val="fr-FR" w:eastAsia="ar-SA"/>
        </w:rPr>
        <w:tab/>
      </w:r>
      <w:r>
        <w:rPr>
          <w:lang w:val="fr-FR" w:eastAsia="ar-SA"/>
        </w:rPr>
        <w:tab/>
        <w:t>Impact économique</w:t>
      </w:r>
    </w:p>
    <w:p w:rsidR="00F66495" w:rsidRDefault="005E38EA">
      <w:pPr>
        <w:pStyle w:val="SingleTxtG"/>
        <w:numPr>
          <w:ilvl w:val="0"/>
          <w:numId w:val="35"/>
        </w:numPr>
        <w:ind w:left="1134" w:hanging="425"/>
      </w:pPr>
      <w:r>
        <w:rPr>
          <w:lang w:val="fr-FR" w:eastAsia="ar-SA"/>
        </w:rPr>
        <w:t>L’usage de groupes frigorifiques multi-températures à évaporateurs multiples intégrés ne sera plus exclu de l’ATP alors même que ces groupes sont d’usage dans le monde du transport répondant à l’ATP.</w:t>
      </w:r>
    </w:p>
    <w:p w:rsidR="00F66495" w:rsidRDefault="005E38EA">
      <w:pPr>
        <w:pStyle w:val="SingleTxtG"/>
        <w:numPr>
          <w:ilvl w:val="0"/>
          <w:numId w:val="28"/>
        </w:numPr>
        <w:ind w:left="1134" w:hanging="425"/>
        <w:rPr>
          <w:lang w:val="fr-FR" w:eastAsia="ar-SA"/>
        </w:rPr>
      </w:pPr>
      <w:r>
        <w:rPr>
          <w:lang w:val="fr-FR" w:eastAsia="ar-SA"/>
        </w:rPr>
        <w:t>Les efforts consentis par les constructeurs pour l’amélioration des cloisons internes fixes pourront être reconnus via l’obtention d’une valeur de K associée à un produit donné.</w:t>
      </w:r>
    </w:p>
    <w:p w:rsidR="00F66495" w:rsidRDefault="005E38EA">
      <w:pPr>
        <w:pStyle w:val="SingleTxtG"/>
        <w:numPr>
          <w:ilvl w:val="0"/>
          <w:numId w:val="28"/>
        </w:numPr>
        <w:ind w:left="1134" w:hanging="425"/>
        <w:rPr>
          <w:lang w:val="fr-FR" w:eastAsia="ar-SA"/>
        </w:rPr>
      </w:pPr>
      <w:r>
        <w:rPr>
          <w:lang w:val="fr-FR" w:eastAsia="ar-SA"/>
        </w:rPr>
        <w:lastRenderedPageBreak/>
        <w:t>L’impact de chaque cloison pourra être évalué en fonction d’un temps de fonctionnement réduit du groupe frigorifique tel qu’indiqué selon le paragraphe 7.3 « Dimensionnement et certification des engins frigorifiques à multi-températures ».</w:t>
      </w:r>
    </w:p>
    <w:p w:rsidR="00F66495" w:rsidRDefault="005E38EA">
      <w:pPr>
        <w:pStyle w:val="H1G"/>
        <w:rPr>
          <w:lang w:val="fr-FR" w:eastAsia="ar-SA"/>
        </w:rPr>
      </w:pPr>
      <w:r>
        <w:rPr>
          <w:lang w:val="fr-FR" w:eastAsia="ar-SA"/>
        </w:rPr>
        <w:tab/>
      </w:r>
      <w:r>
        <w:rPr>
          <w:lang w:val="fr-FR" w:eastAsia="ar-SA"/>
        </w:rPr>
        <w:tab/>
        <w:t>Amendement proposé à l’accord</w:t>
      </w:r>
    </w:p>
    <w:p w:rsidR="00F66495" w:rsidRDefault="005E38EA">
      <w:pPr>
        <w:pStyle w:val="SingleTxtG"/>
        <w:numPr>
          <w:ilvl w:val="0"/>
          <w:numId w:val="28"/>
        </w:numPr>
        <w:ind w:left="1134" w:hanging="425"/>
        <w:rPr>
          <w:lang w:val="fr-FR" w:eastAsia="ar-SA"/>
        </w:rPr>
      </w:pPr>
      <w:r>
        <w:rPr>
          <w:lang w:val="fr-FR" w:eastAsia="ar-SA"/>
        </w:rPr>
        <w:t>Il est proposé d’ajouter au paragraphe 7.3.7 de l’appendice 2 de l’annexe 1 de l’ATP une méthodologie pour déterminer le coefficient K des cloisons internes fixes tel que proposé ci-après:</w:t>
      </w:r>
    </w:p>
    <w:p w:rsidR="00F66495" w:rsidRDefault="005E38EA">
      <w:pPr>
        <w:pStyle w:val="HChG"/>
        <w:jc w:val="both"/>
      </w:pPr>
      <w:r>
        <w:rPr>
          <w:lang w:val="fr-FR" w:eastAsia="ar-SA"/>
        </w:rPr>
        <w:tab/>
      </w:r>
      <w:r>
        <w:rPr>
          <w:lang w:val="fr-FR" w:eastAsia="ar-SA"/>
        </w:rPr>
        <w:tab/>
      </w:r>
      <w:r>
        <w:rPr>
          <w:b w:val="0"/>
          <w:lang w:val="fr-FR" w:eastAsia="ar-SA"/>
        </w:rPr>
        <w:t>"</w:t>
      </w:r>
      <w:r>
        <w:rPr>
          <w:lang w:val="fr-FR" w:eastAsia="ar-SA"/>
        </w:rPr>
        <w:t>7.3.7.</w:t>
      </w:r>
      <w:r>
        <w:rPr>
          <w:lang w:val="fr-FR" w:eastAsia="ar-SA"/>
        </w:rPr>
        <w:tab/>
        <w:t>Cloisons internes</w:t>
      </w:r>
    </w:p>
    <w:p w:rsidR="00F66495" w:rsidRDefault="005E38EA">
      <w:pPr>
        <w:pStyle w:val="Standard"/>
        <w:ind w:left="1134"/>
        <w:rPr>
          <w:b/>
          <w:lang w:val="fr-FR" w:eastAsia="ar-SA"/>
        </w:rPr>
      </w:pPr>
      <w:r>
        <w:rPr>
          <w:b/>
          <w:lang w:val="fr-FR" w:eastAsia="ar-SA"/>
        </w:rPr>
        <w:t>7.3.7.1.</w:t>
      </w:r>
      <w:r>
        <w:rPr>
          <w:b/>
          <w:lang w:val="fr-FR" w:eastAsia="ar-SA"/>
        </w:rPr>
        <w:tab/>
        <w:t>Conditions générales </w:t>
      </w:r>
    </w:p>
    <w:p w:rsidR="00F66495" w:rsidRDefault="005E38EA">
      <w:pPr>
        <w:pStyle w:val="Standard"/>
        <w:ind w:left="1134" w:right="1134"/>
        <w:rPr>
          <w:lang w:val="fr-FR" w:eastAsia="ar-SA"/>
        </w:rPr>
      </w:pPr>
      <w:r>
        <w:rPr>
          <w:lang w:val="fr-FR" w:eastAsia="ar-SA"/>
        </w:rPr>
        <w:t>Les déperditions thermiques par les cloisons internes doivent être calculées à l’aide des coefficients K du tableau ci-après ou selon la méthodologie d’essais qui le suit.</w:t>
      </w:r>
    </w:p>
    <w:p w:rsidR="00F66495" w:rsidRDefault="00F66495">
      <w:pPr>
        <w:pStyle w:val="Standard"/>
        <w:ind w:left="1134" w:right="1134"/>
        <w:rPr>
          <w:lang w:val="fr-FR" w:eastAsia="ar-SA"/>
        </w:rPr>
      </w:pPr>
    </w:p>
    <w:p w:rsidR="00F66495" w:rsidRDefault="005E38EA">
      <w:pPr>
        <w:pStyle w:val="Standard"/>
        <w:ind w:left="1134" w:right="1134"/>
        <w:rPr>
          <w:b/>
          <w:lang w:val="fr-FR" w:eastAsia="ar-SA"/>
        </w:rPr>
      </w:pPr>
      <w:r>
        <w:rPr>
          <w:b/>
          <w:lang w:val="fr-FR" w:eastAsia="ar-SA"/>
        </w:rPr>
        <w:t xml:space="preserve">7.3.7.2. </w:t>
      </w:r>
      <w:r>
        <w:rPr>
          <w:b/>
          <w:lang w:val="fr-FR" w:eastAsia="ar-SA"/>
        </w:rPr>
        <w:tab/>
        <w:t>Détermination des coefficients K des cloisons internes mobiles et fixes par défaut</w:t>
      </w:r>
    </w:p>
    <w:p w:rsidR="00F66495" w:rsidRDefault="005E38EA">
      <w:pPr>
        <w:pStyle w:val="Standard"/>
        <w:ind w:left="1134" w:right="1134"/>
        <w:jc w:val="center"/>
      </w:pPr>
      <w:r>
        <w:rPr>
          <w:noProof/>
        </w:rPr>
        <w:drawing>
          <wp:inline distT="0" distB="0" distL="0" distR="0">
            <wp:extent cx="4674960" cy="2162160"/>
            <wp:effectExtent l="0" t="0" r="0" b="0"/>
            <wp:docPr id="6"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13658" t="30495" r="65102" b="40970"/>
                    <a:stretch>
                      <a:fillRect/>
                    </a:stretch>
                  </pic:blipFill>
                  <pic:spPr>
                    <a:xfrm>
                      <a:off x="0" y="0"/>
                      <a:ext cx="4674960" cy="2162160"/>
                    </a:xfrm>
                    <a:prstGeom prst="rect">
                      <a:avLst/>
                    </a:prstGeom>
                    <a:ln>
                      <a:noFill/>
                      <a:prstDash/>
                    </a:ln>
                  </pic:spPr>
                </pic:pic>
              </a:graphicData>
            </a:graphic>
          </wp:inline>
        </w:drawing>
      </w:r>
    </w:p>
    <w:p w:rsidR="00F66495" w:rsidRDefault="00F66495">
      <w:pPr>
        <w:pStyle w:val="Standard"/>
        <w:ind w:left="1134" w:right="1134"/>
        <w:rPr>
          <w:b/>
          <w:lang w:val="fr-FR" w:eastAsia="ar-SA"/>
        </w:rPr>
      </w:pPr>
    </w:p>
    <w:p w:rsidR="00F66495" w:rsidRDefault="005E38EA">
      <w:pPr>
        <w:pStyle w:val="Standard"/>
        <w:ind w:left="1134" w:right="1134"/>
        <w:rPr>
          <w:b/>
          <w:lang w:val="fr-FR" w:eastAsia="ar-SA"/>
        </w:rPr>
      </w:pPr>
      <w:r>
        <w:rPr>
          <w:b/>
          <w:lang w:val="fr-FR" w:eastAsia="ar-SA"/>
        </w:rPr>
        <w:t xml:space="preserve">7.3.7.3. </w:t>
      </w:r>
      <w:r>
        <w:rPr>
          <w:b/>
          <w:lang w:val="fr-FR" w:eastAsia="ar-SA"/>
        </w:rPr>
        <w:tab/>
        <w:t>Mode opératoire pour mesurer le coefficient K de cloisons internes fixes</w:t>
      </w:r>
    </w:p>
    <w:p w:rsidR="00F66495" w:rsidRDefault="005E38EA">
      <w:pPr>
        <w:pStyle w:val="Standard"/>
        <w:ind w:left="1134" w:right="1134"/>
        <w:jc w:val="both"/>
        <w:rPr>
          <w:lang w:val="fr-FR" w:eastAsia="ar-SA"/>
        </w:rPr>
      </w:pPr>
      <w:r>
        <w:rPr>
          <w:lang w:val="fr-FR" w:eastAsia="ar-SA"/>
        </w:rPr>
        <w:t>La mesure du coefficient K est effectuée en régime permanent par la méthode de refroidissement et de chauffage intérieur. L'engin est placé, vide de tout chargement, dans une chambre isotherme.</w:t>
      </w:r>
    </w:p>
    <w:p w:rsidR="00F66495" w:rsidRDefault="00F66495">
      <w:pPr>
        <w:pStyle w:val="Standard"/>
        <w:ind w:left="1134" w:right="1134"/>
        <w:rPr>
          <w:b/>
          <w:lang w:val="fr-FR" w:eastAsia="ar-SA"/>
        </w:rPr>
      </w:pPr>
    </w:p>
    <w:p w:rsidR="00F66495" w:rsidRDefault="005E38EA">
      <w:pPr>
        <w:pStyle w:val="Standard"/>
        <w:ind w:left="1134" w:right="1134"/>
        <w:jc w:val="both"/>
        <w:rPr>
          <w:lang w:val="fr-FR" w:eastAsia="ar-SA"/>
        </w:rPr>
      </w:pPr>
      <w:r>
        <w:rPr>
          <w:lang w:val="fr-FR" w:eastAsia="ar-SA"/>
        </w:rPr>
        <w:t>Le choix des températures internes propres à chaque compartiment :</w:t>
      </w:r>
    </w:p>
    <w:p w:rsidR="00F66495" w:rsidRDefault="005E38EA">
      <w:pPr>
        <w:pStyle w:val="SingleTxtG"/>
        <w:numPr>
          <w:ilvl w:val="0"/>
          <w:numId w:val="27"/>
        </w:numPr>
      </w:pPr>
      <w:r>
        <w:rPr>
          <w:lang w:val="fr-FR" w:eastAsia="ar-SA"/>
        </w:rPr>
        <w:t>crée un flux thermique maîtrisé au travers d’une cloison interne fixe dont la détermination du coefficient K est recherchée,</w:t>
      </w:r>
    </w:p>
    <w:p w:rsidR="00F66495" w:rsidRDefault="005E38EA">
      <w:pPr>
        <w:pStyle w:val="SingleTxtG"/>
        <w:numPr>
          <w:ilvl w:val="0"/>
          <w:numId w:val="27"/>
        </w:numPr>
      </w:pPr>
      <w:r>
        <w:rPr>
          <w:lang w:val="fr-FR" w:eastAsia="ar-SA"/>
        </w:rPr>
        <w:t>annule les flux thermiques de l’ensemble des autres parois du compartiment dans lequel est effectuée la mesure de puissance nécessaire à l’estimation du coefficient K.</w:t>
      </w:r>
    </w:p>
    <w:p w:rsidR="00F66495" w:rsidRDefault="00F66495">
      <w:pPr>
        <w:pStyle w:val="Standard"/>
        <w:ind w:right="1134"/>
        <w:jc w:val="both"/>
        <w:rPr>
          <w:lang w:val="fr-FR" w:eastAsia="ar-SA"/>
        </w:rPr>
      </w:pPr>
    </w:p>
    <w:p w:rsidR="00F66495" w:rsidRDefault="005E38EA">
      <w:pPr>
        <w:pStyle w:val="Standard"/>
        <w:ind w:left="1134" w:right="1134"/>
        <w:rPr>
          <w:lang w:val="fr-FR" w:eastAsia="ar-SA"/>
        </w:rPr>
      </w:pPr>
      <w:r>
        <w:rPr>
          <w:lang w:val="fr-FR" w:eastAsia="ar-SA"/>
        </w:rPr>
        <w:t>Les points de mesure de la température :</w:t>
      </w:r>
    </w:p>
    <w:p w:rsidR="00F66495" w:rsidRDefault="005E38EA">
      <w:pPr>
        <w:pStyle w:val="ListParagraph"/>
        <w:numPr>
          <w:ilvl w:val="0"/>
          <w:numId w:val="27"/>
        </w:numPr>
        <w:ind w:right="1134"/>
        <w:rPr>
          <w:sz w:val="20"/>
          <w:szCs w:val="20"/>
          <w:lang w:eastAsia="ar-SA"/>
        </w:rPr>
      </w:pPr>
      <w:r>
        <w:rPr>
          <w:sz w:val="20"/>
          <w:szCs w:val="20"/>
          <w:lang w:eastAsia="ar-SA"/>
        </w:rPr>
        <w:t>extérieure à la caisse de l’engin respectent le point 1.4 du présent appendice.</w:t>
      </w:r>
    </w:p>
    <w:p w:rsidR="00F66495" w:rsidRDefault="005E38EA">
      <w:pPr>
        <w:pStyle w:val="ListParagraph"/>
        <w:numPr>
          <w:ilvl w:val="0"/>
          <w:numId w:val="27"/>
        </w:numPr>
        <w:ind w:right="1134"/>
        <w:rPr>
          <w:sz w:val="20"/>
          <w:szCs w:val="20"/>
          <w:lang w:eastAsia="ar-SA"/>
        </w:rPr>
      </w:pPr>
      <w:r>
        <w:rPr>
          <w:sz w:val="20"/>
          <w:szCs w:val="20"/>
          <w:lang w:eastAsia="ar-SA"/>
        </w:rPr>
        <w:t>intérieure de chaque compartiment fermé par la cloison fixe respectent le point 1.3 avec une sonde additionnelle positionnée au centre de la cloison interne.</w:t>
      </w:r>
    </w:p>
    <w:p w:rsidR="00F66495" w:rsidRDefault="00F66495">
      <w:pPr>
        <w:pStyle w:val="Standard"/>
        <w:ind w:left="1134" w:right="1134"/>
        <w:jc w:val="both"/>
        <w:rPr>
          <w:lang w:val="fr-FR" w:eastAsia="ar-SA"/>
        </w:rPr>
      </w:pPr>
    </w:p>
    <w:p w:rsidR="00F66495" w:rsidRDefault="00F66495">
      <w:pPr>
        <w:pStyle w:val="Standard"/>
        <w:ind w:left="1134" w:right="1134"/>
        <w:jc w:val="both"/>
        <w:rPr>
          <w:lang w:val="fr-FR" w:eastAsia="ar-SA"/>
        </w:rPr>
      </w:pPr>
    </w:p>
    <w:p w:rsidR="00F66495" w:rsidRDefault="005E38EA">
      <w:pPr>
        <w:pStyle w:val="Standard"/>
        <w:ind w:left="1134" w:right="1134"/>
        <w:jc w:val="both"/>
        <w:rPr>
          <w:lang w:val="fr-FR" w:eastAsia="ar-SA"/>
        </w:rPr>
      </w:pPr>
      <w:r>
        <w:rPr>
          <w:lang w:val="fr-FR" w:eastAsia="ar-SA"/>
        </w:rPr>
        <w:t>Dans le cas des compartiments :</w:t>
      </w:r>
    </w:p>
    <w:p w:rsidR="00F66495" w:rsidRDefault="005E38EA">
      <w:pPr>
        <w:pStyle w:val="ListParagraph"/>
        <w:numPr>
          <w:ilvl w:val="0"/>
          <w:numId w:val="27"/>
        </w:numPr>
        <w:ind w:right="1134"/>
      </w:pPr>
      <w:r>
        <w:rPr>
          <w:sz w:val="20"/>
          <w:szCs w:val="20"/>
          <w:lang w:eastAsia="ar-SA"/>
        </w:rPr>
        <w:t>à refroidir : un ou plusieurs échangeurs de chaleur y sont placés,</w:t>
      </w:r>
    </w:p>
    <w:p w:rsidR="00F66495" w:rsidRDefault="005E38EA">
      <w:pPr>
        <w:pStyle w:val="ListParagraph"/>
        <w:numPr>
          <w:ilvl w:val="0"/>
          <w:numId w:val="27"/>
        </w:numPr>
        <w:ind w:right="1134"/>
      </w:pPr>
      <w:r>
        <w:rPr>
          <w:sz w:val="20"/>
          <w:szCs w:val="20"/>
          <w:lang w:eastAsia="ar-SA"/>
        </w:rPr>
        <w:t>à chauffer : un dispositif de chauffage électrique (résistance, etc.) y est positionné.</w:t>
      </w:r>
    </w:p>
    <w:p w:rsidR="00F66495" w:rsidRDefault="005E38EA">
      <w:pPr>
        <w:pStyle w:val="Standard"/>
        <w:ind w:left="1701" w:right="1134"/>
        <w:rPr>
          <w:lang w:eastAsia="ar-SA"/>
        </w:rPr>
      </w:pPr>
      <w:r>
        <w:rPr>
          <w:lang w:eastAsia="ar-SA"/>
        </w:rPr>
        <w:t>L’ensemble doit respecter le point 2.1.2 et 2.1.3 du présent appendice où le volume à vide et les surfaces intérieures de la caisse correspondent, respectivement, au volume à vide et aux surfaces intérieures de chacun des compartiments considérés.</w:t>
      </w:r>
    </w:p>
    <w:p w:rsidR="00F66495" w:rsidRDefault="00F66495">
      <w:pPr>
        <w:pStyle w:val="Standard"/>
        <w:ind w:left="1701" w:right="1134"/>
        <w:rPr>
          <w:lang w:eastAsia="ar-SA"/>
        </w:rPr>
      </w:pPr>
    </w:p>
    <w:p w:rsidR="00F66495" w:rsidRDefault="005E38EA">
      <w:pPr>
        <w:pStyle w:val="Standard"/>
        <w:ind w:left="1134" w:right="1134"/>
        <w:jc w:val="both"/>
        <w:rPr>
          <w:lang w:val="fr-FR" w:eastAsia="ar-SA"/>
        </w:rPr>
      </w:pPr>
      <w:r>
        <w:rPr>
          <w:lang w:val="fr-FR" w:eastAsia="ar-SA"/>
        </w:rPr>
        <w:t>La température moyenne de la chambre isotherme est maintenue pendant toute la durée de l'essai, uniforme et constante comme indiqué au paragraphe 1.7 du présent appendice, à un niveau tel que l'écart de température existant entre l'intérieur de la caisse et la chambre isotherme soit :</w:t>
      </w:r>
    </w:p>
    <w:p w:rsidR="00F66495" w:rsidRDefault="005E38EA">
      <w:pPr>
        <w:pStyle w:val="ListParagraph"/>
        <w:numPr>
          <w:ilvl w:val="0"/>
          <w:numId w:val="27"/>
        </w:numPr>
        <w:ind w:right="1134"/>
        <w:rPr>
          <w:rFonts w:eastAsia="Times New Roman"/>
          <w:sz w:val="20"/>
          <w:szCs w:val="20"/>
          <w:lang w:eastAsia="ar-SA"/>
        </w:rPr>
      </w:pPr>
      <w:r>
        <w:rPr>
          <w:rFonts w:eastAsia="Times New Roman"/>
          <w:sz w:val="20"/>
          <w:szCs w:val="20"/>
          <w:lang w:eastAsia="ar-SA"/>
        </w:rPr>
        <w:t>de 25 °C ± 1 K, la température moyenne des parois de la caisse, pour le compartiment considéré, étant maintenue à + 20 °C ± 0,25 K pour les compartiments à 7,5 °C ou,</w:t>
      </w:r>
    </w:p>
    <w:p w:rsidR="00F66495" w:rsidRDefault="005E38EA">
      <w:pPr>
        <w:pStyle w:val="ListParagraph"/>
        <w:numPr>
          <w:ilvl w:val="0"/>
          <w:numId w:val="27"/>
        </w:numPr>
        <w:ind w:right="1134"/>
        <w:rPr>
          <w:rFonts w:eastAsia="Times New Roman"/>
          <w:sz w:val="20"/>
          <w:szCs w:val="20"/>
          <w:lang w:eastAsia="ar-SA"/>
        </w:rPr>
      </w:pPr>
      <w:r>
        <w:rPr>
          <w:rFonts w:eastAsia="Times New Roman"/>
          <w:sz w:val="20"/>
          <w:szCs w:val="20"/>
          <w:lang w:eastAsia="ar-SA"/>
        </w:rPr>
        <w:t>de  0 °C ± 1 K, la température moyenne des parois de la caisse, pour le compartiment considéré, étant maintenue à + 32,5 °C ± 0,25 K pour les compartiments à 32,5 °C.</w:t>
      </w:r>
    </w:p>
    <w:p w:rsidR="00F66495" w:rsidRDefault="005E38EA">
      <w:pPr>
        <w:pStyle w:val="Standard"/>
        <w:ind w:left="1701" w:right="1134"/>
        <w:rPr>
          <w:lang w:eastAsia="ar-SA"/>
        </w:rPr>
      </w:pPr>
      <w:r>
        <w:rPr>
          <w:lang w:eastAsia="ar-SA"/>
        </w:rPr>
        <w:t>le tout conformément aux points 2.1.5, 2.1.6, 2.1.7 et 2.1.8 du présent appendice.</w:t>
      </w:r>
    </w:p>
    <w:p w:rsidR="00F66495" w:rsidRDefault="00F66495">
      <w:pPr>
        <w:pStyle w:val="Standard"/>
        <w:ind w:left="1134" w:right="1134"/>
        <w:rPr>
          <w:b/>
          <w:lang w:val="fr-FR" w:eastAsia="ar-SA"/>
        </w:rPr>
      </w:pPr>
    </w:p>
    <w:p w:rsidR="00F66495" w:rsidRDefault="005E38EA">
      <w:pPr>
        <w:pStyle w:val="Standard"/>
        <w:ind w:left="1134" w:right="1134"/>
        <w:rPr>
          <w:lang w:val="fr-FR" w:eastAsia="ar-SA"/>
        </w:rPr>
      </w:pPr>
      <w:r>
        <w:rPr>
          <w:lang w:val="fr-FR" w:eastAsia="ar-SA"/>
        </w:rPr>
        <w:t>Le coefficient K de la cloison interne mobile ou fixe est défini par la relation suivante :</w:t>
      </w:r>
    </w:p>
    <w:p w:rsidR="00F66495" w:rsidRDefault="00F66495">
      <w:pPr>
        <w:pStyle w:val="Standard"/>
        <w:ind w:left="1134" w:right="1134"/>
        <w:rPr>
          <w:lang w:val="fr-FR" w:eastAsia="ar-SA"/>
        </w:rPr>
      </w:pPr>
    </w:p>
    <w:p w:rsidR="00F66495" w:rsidRDefault="005E38EA">
      <w:pPr>
        <w:pStyle w:val="Standard"/>
        <w:ind w:left="1134" w:right="1134"/>
      </w:pPr>
      <m:oMathPara>
        <m:oMathParaPr>
          <m:jc m:val="left"/>
        </m:oMathParaPr>
        <m:oMath>
          <m:r>
            <w:rPr>
              <w:rFonts w:ascii="Cambria Math" w:hAnsi="Cambria Math"/>
            </w:rPr>
            <m:t>K=</m:t>
          </m:r>
          <m:f>
            <m:fPr>
              <m:ctrlPr>
                <w:rPr>
                  <w:rFonts w:ascii="Cambria Math" w:hAnsi="Cambria Math"/>
                </w:rPr>
              </m:ctrlPr>
            </m:fPr>
            <m:num>
              <m:r>
                <w:rPr>
                  <w:rFonts w:ascii="Cambria Math" w:hAnsi="Cambria Math"/>
                </w:rPr>
                <m:t>W</m:t>
              </m:r>
            </m:num>
            <m:den>
              <m:r>
                <w:rPr>
                  <w:rFonts w:ascii="Cambria Math" w:hAnsi="Cambria Math"/>
                </w:rPr>
                <m:t>S</m:t>
              </m:r>
              <m:r>
                <m:rPr>
                  <m:sty m:val="p"/>
                </m:rPr>
                <w:rPr>
                  <w:rFonts w:ascii="Cambria Math" w:hAnsi="Cambria Math"/>
                </w:rPr>
                <m:t>.</m:t>
              </m:r>
              <m:r>
                <w:rPr>
                  <w:rFonts w:ascii="Cambria Math" w:hAnsi="Cambria Math"/>
                </w:rPr>
                <m:t>ΔT</m:t>
              </m:r>
            </m:den>
          </m:f>
        </m:oMath>
      </m:oMathPara>
    </w:p>
    <w:p w:rsidR="00F66495" w:rsidRDefault="00F66495">
      <w:pPr>
        <w:pStyle w:val="Standard"/>
        <w:ind w:left="1440" w:right="1134" w:hanging="360"/>
        <w:rPr>
          <w:lang w:val="fr-FR" w:eastAsia="ar-SA"/>
        </w:rPr>
      </w:pPr>
    </w:p>
    <w:p w:rsidR="00F66495" w:rsidRDefault="005E38EA">
      <w:pPr>
        <w:pStyle w:val="Standard"/>
        <w:ind w:left="1134" w:right="1134"/>
        <w:jc w:val="both"/>
        <w:rPr>
          <w:lang w:val="fr-FR" w:eastAsia="ar-SA"/>
        </w:rPr>
      </w:pPr>
      <w:r>
        <w:rPr>
          <w:lang w:val="fr-FR" w:eastAsia="ar-SA"/>
        </w:rPr>
        <w:t>Où :</w:t>
      </w:r>
    </w:p>
    <w:p w:rsidR="00F66495" w:rsidRDefault="005E38EA">
      <w:pPr>
        <w:pStyle w:val="ListParagraph"/>
        <w:numPr>
          <w:ilvl w:val="0"/>
          <w:numId w:val="27"/>
        </w:numPr>
        <w:ind w:right="1134"/>
        <w:rPr>
          <w:rFonts w:eastAsia="Times New Roman"/>
          <w:sz w:val="20"/>
          <w:szCs w:val="20"/>
          <w:lang w:eastAsia="ar-SA"/>
        </w:rPr>
      </w:pPr>
      <w:r>
        <w:rPr>
          <w:rFonts w:eastAsia="Times New Roman"/>
          <w:sz w:val="20"/>
          <w:szCs w:val="20"/>
          <w:lang w:eastAsia="ar-SA"/>
        </w:rPr>
        <w:t>W correspond à la valeur absolue de la puissance de chauffage ou de refroidissement, selon le cas, nécessaire pour atteindre les conditions de stabilités requises par la méthode,</w:t>
      </w:r>
    </w:p>
    <w:p w:rsidR="00F66495" w:rsidRDefault="005E38EA">
      <w:pPr>
        <w:pStyle w:val="ListParagraph"/>
        <w:numPr>
          <w:ilvl w:val="0"/>
          <w:numId w:val="27"/>
        </w:numPr>
        <w:ind w:right="1134"/>
        <w:rPr>
          <w:rFonts w:eastAsia="Times New Roman"/>
          <w:sz w:val="20"/>
          <w:szCs w:val="20"/>
          <w:lang w:eastAsia="ar-SA"/>
        </w:rPr>
      </w:pPr>
      <w:r>
        <w:rPr>
          <w:rFonts w:eastAsia="Times New Roman"/>
          <w:sz w:val="20"/>
          <w:szCs w:val="20"/>
          <w:lang w:eastAsia="ar-SA"/>
        </w:rPr>
        <w:t>ΔT correspond à la valeur de l'écart entre la température moyenne intérieure Ti des compartiments fermés par la cloison fixe, lorsque la température moyenne extérieure Te est constante,</w:t>
      </w:r>
    </w:p>
    <w:p w:rsidR="00F66495" w:rsidRDefault="005E38EA">
      <w:pPr>
        <w:pStyle w:val="ListParagraph"/>
        <w:numPr>
          <w:ilvl w:val="0"/>
          <w:numId w:val="27"/>
        </w:numPr>
        <w:ind w:right="1134"/>
        <w:rPr>
          <w:rFonts w:eastAsia="Times New Roman"/>
          <w:sz w:val="20"/>
          <w:szCs w:val="20"/>
          <w:lang w:eastAsia="ar-SA"/>
        </w:rPr>
      </w:pPr>
      <w:r>
        <w:rPr>
          <w:rFonts w:eastAsia="Times New Roman"/>
          <w:sz w:val="20"/>
          <w:szCs w:val="20"/>
          <w:lang w:eastAsia="ar-SA"/>
        </w:rPr>
        <w:t>S correspond à la surface d’échange interne de la cloison fixe vu dans l’un des compartiments qu’elle ferme.</w:t>
      </w:r>
    </w:p>
    <w:p w:rsidR="00F66495" w:rsidRDefault="00F66495">
      <w:pPr>
        <w:pStyle w:val="Standard"/>
        <w:ind w:left="1440" w:right="1134" w:hanging="360"/>
        <w:rPr>
          <w:lang w:eastAsia="ar-SA"/>
        </w:rPr>
      </w:pPr>
    </w:p>
    <w:p w:rsidR="00F66495" w:rsidRDefault="005E38EA">
      <w:pPr>
        <w:pStyle w:val="Standard"/>
        <w:ind w:left="1134" w:right="1134"/>
        <w:jc w:val="both"/>
        <w:rPr>
          <w:lang w:val="fr-FR" w:eastAsia="ar-SA"/>
        </w:rPr>
      </w:pPr>
      <w:r>
        <w:rPr>
          <w:lang w:val="fr-FR" w:eastAsia="ar-SA"/>
        </w:rPr>
        <w:t>Il sera fait mention, dans le rapport d’essais, du type de matériau revêtant la surface du plancher sur lequel la cloison repose.</w:t>
      </w:r>
    </w:p>
    <w:p w:rsidR="00F66495" w:rsidRDefault="00F66495">
      <w:pPr>
        <w:pStyle w:val="Standard"/>
        <w:ind w:left="1134" w:right="1134"/>
        <w:jc w:val="both"/>
        <w:rPr>
          <w:lang w:val="fr-FR" w:eastAsia="ar-SA"/>
        </w:rPr>
      </w:pPr>
    </w:p>
    <w:p w:rsidR="00F66495" w:rsidRDefault="005E38EA">
      <w:pPr>
        <w:pStyle w:val="Standard"/>
        <w:ind w:left="1134" w:right="1134"/>
        <w:jc w:val="both"/>
        <w:rPr>
          <w:lang w:val="fr-FR" w:eastAsia="ar-SA"/>
        </w:rPr>
      </w:pPr>
      <w:r>
        <w:rPr>
          <w:lang w:val="fr-FR" w:eastAsia="ar-SA"/>
        </w:rPr>
        <w:t>Les incertitudes de mesure du coefficient K doivent vérifier les précisions du point 2.3.2 du présent appendice.</w:t>
      </w:r>
    </w:p>
    <w:p w:rsidR="00600360" w:rsidRPr="00600360" w:rsidRDefault="00600360" w:rsidP="00600360">
      <w:pPr>
        <w:pStyle w:val="Standard"/>
        <w:spacing w:before="240"/>
        <w:ind w:left="1134" w:right="1134"/>
        <w:jc w:val="center"/>
        <w:rPr>
          <w:u w:val="single"/>
          <w:lang w:val="fr-FR" w:eastAsia="ar-SA"/>
        </w:rPr>
      </w:pPr>
      <w:r>
        <w:rPr>
          <w:u w:val="single"/>
          <w:lang w:val="fr-FR" w:eastAsia="ar-SA"/>
        </w:rPr>
        <w:tab/>
      </w:r>
      <w:r>
        <w:rPr>
          <w:u w:val="single"/>
          <w:lang w:val="fr-FR" w:eastAsia="ar-SA"/>
        </w:rPr>
        <w:tab/>
      </w:r>
      <w:r>
        <w:rPr>
          <w:u w:val="single"/>
          <w:lang w:val="fr-FR" w:eastAsia="ar-SA"/>
        </w:rPr>
        <w:tab/>
      </w:r>
    </w:p>
    <w:sectPr w:rsidR="00600360" w:rsidRPr="00600360" w:rsidSect="0086569E">
      <w:headerReference w:type="even" r:id="rId10"/>
      <w:headerReference w:type="default" r:id="rId11"/>
      <w:footerReference w:type="even" r:id="rId12"/>
      <w:footerReference w:type="default" r:id="rId13"/>
      <w:headerReference w:type="first" r:id="rId14"/>
      <w:endnotePr>
        <w:numFmt w:val="decimal"/>
      </w:endnotePr>
      <w:pgSz w:w="11906" w:h="16838"/>
      <w:pgMar w:top="1701" w:right="1275" w:bottom="1373" w:left="1134" w:header="1134" w:footer="131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4BA" w:rsidRDefault="005E38EA">
      <w:r>
        <w:separator/>
      </w:r>
    </w:p>
  </w:endnote>
  <w:endnote w:type="continuationSeparator" w:id="0">
    <w:p w:rsidR="009674BA" w:rsidRDefault="005E3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A24" w:rsidRDefault="005E38EA">
    <w:pPr>
      <w:pStyle w:val="Footer"/>
      <w:tabs>
        <w:tab w:val="right" w:pos="9638"/>
      </w:tabs>
    </w:pPr>
    <w:r>
      <w:rPr>
        <w:b/>
        <w:sz w:val="18"/>
      </w:rPr>
      <w:fldChar w:fldCharType="begin"/>
    </w:r>
    <w:r>
      <w:rPr>
        <w:b/>
        <w:sz w:val="18"/>
      </w:rPr>
      <w:instrText xml:space="preserve"> PAGE </w:instrText>
    </w:r>
    <w:r>
      <w:rPr>
        <w:b/>
        <w:sz w:val="18"/>
      </w:rPr>
      <w:fldChar w:fldCharType="separate"/>
    </w:r>
    <w:r>
      <w:rPr>
        <w:b/>
        <w:sz w:val="18"/>
      </w:rPr>
      <w:t>4</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A24" w:rsidRDefault="005E38EA">
    <w:pPr>
      <w:pStyle w:val="Footer"/>
      <w:tabs>
        <w:tab w:val="right" w:pos="9638"/>
      </w:tabs>
    </w:pPr>
    <w:r>
      <w:tab/>
    </w:r>
    <w:r>
      <w:rPr>
        <w:b/>
        <w:sz w:val="18"/>
      </w:rPr>
      <w:fldChar w:fldCharType="begin"/>
    </w:r>
    <w:r>
      <w:rPr>
        <w:b/>
        <w:sz w:val="18"/>
      </w:rPr>
      <w:instrText xml:space="preserve"> PAGE </w:instrText>
    </w:r>
    <w:r>
      <w:rPr>
        <w:b/>
        <w:sz w:val="18"/>
      </w:rPr>
      <w:fldChar w:fldCharType="separate"/>
    </w:r>
    <w:r>
      <w:rPr>
        <w:b/>
        <w:sz w:val="18"/>
      </w:rPr>
      <w:t>5</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4BA" w:rsidRDefault="005E38EA">
      <w:r>
        <w:rPr>
          <w:color w:val="000000"/>
        </w:rPr>
        <w:separator/>
      </w:r>
    </w:p>
  </w:footnote>
  <w:footnote w:type="continuationSeparator" w:id="0">
    <w:p w:rsidR="009674BA" w:rsidRDefault="005E3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A24" w:rsidRDefault="0086569E">
    <w:pPr>
      <w:pStyle w:val="Header"/>
    </w:pPr>
    <w:r>
      <w:t>INF.4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A24" w:rsidRDefault="0086569E">
    <w:pPr>
      <w:pStyle w:val="Header"/>
      <w:jc w:val="right"/>
    </w:pPr>
    <w:r>
      <w:t>INF.4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69E" w:rsidRDefault="0086569E" w:rsidP="0086569E">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B83"/>
    <w:multiLevelType w:val="multilevel"/>
    <w:tmpl w:val="7F1AAD5C"/>
    <w:styleLink w:val="WWNum8"/>
    <w:lvl w:ilvl="0">
      <w:numFmt w:val="bullet"/>
      <w:lvlText w:val="-"/>
      <w:lvlJc w:val="left"/>
      <w:pPr>
        <w:ind w:left="720" w:hanging="360"/>
      </w:pPr>
      <w:rPr>
        <w:rFonts w:eastAsia="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87A6F2B"/>
    <w:multiLevelType w:val="multilevel"/>
    <w:tmpl w:val="35208B00"/>
    <w:styleLink w:val="WWNum23"/>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2" w15:restartNumberingAfterBreak="0">
    <w:nsid w:val="0B660754"/>
    <w:multiLevelType w:val="multilevel"/>
    <w:tmpl w:val="C1F8BC14"/>
    <w:styleLink w:val="WWNum9"/>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119535C5"/>
    <w:multiLevelType w:val="multilevel"/>
    <w:tmpl w:val="2F60F3B0"/>
    <w:styleLink w:val="WWNum25"/>
    <w:lvl w:ilvl="0">
      <w:numFmt w:val="bullet"/>
      <w:lvlText w:val="-"/>
      <w:lvlJc w:val="left"/>
      <w:pPr>
        <w:ind w:left="2421" w:hanging="360"/>
      </w:pPr>
      <w:rPr>
        <w:rFonts w:ascii="Times New Roman" w:eastAsia="Times New Roman" w:hAnsi="Times New Roman" w:cs="Times New Roman"/>
        <w:sz w:val="20"/>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4" w15:restartNumberingAfterBreak="0">
    <w:nsid w:val="13060840"/>
    <w:multiLevelType w:val="multilevel"/>
    <w:tmpl w:val="6D0AB708"/>
    <w:styleLink w:val="WWNum28"/>
    <w:lvl w:ilvl="0">
      <w:numFmt w:val="bullet"/>
      <w:lvlText w:val="-"/>
      <w:lvlJc w:val="left"/>
      <w:pPr>
        <w:ind w:left="1440" w:hanging="360"/>
      </w:pPr>
      <w:rPr>
        <w:rFonts w:ascii="Times New Roman" w:eastAsia="Times New Roman" w:hAnsi="Times New Roman" w:cs="Times New Roman"/>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15:restartNumberingAfterBreak="0">
    <w:nsid w:val="145D5B75"/>
    <w:multiLevelType w:val="multilevel"/>
    <w:tmpl w:val="D3842692"/>
    <w:styleLink w:val="WWNum24"/>
    <w:lvl w:ilvl="0">
      <w:start w:val="1"/>
      <w:numFmt w:val="decimal"/>
      <w:lvlText w:val="%1)"/>
      <w:lvlJc w:val="left"/>
      <w:pPr>
        <w:ind w:left="1353"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4EE2C04"/>
    <w:multiLevelType w:val="multilevel"/>
    <w:tmpl w:val="BA04A620"/>
    <w:styleLink w:val="WWNum30"/>
    <w:lvl w:ilvl="0">
      <w:numFmt w:val="bullet"/>
      <w:lvlText w:val="-"/>
      <w:lvlJc w:val="left"/>
      <w:pPr>
        <w:ind w:left="1440" w:hanging="360"/>
      </w:pPr>
      <w:rPr>
        <w:rFonts w:ascii="Times New Roman" w:eastAsia="Times New Roman" w:hAnsi="Times New Roman" w:cs="Times New Roman"/>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 w15:restartNumberingAfterBreak="0">
    <w:nsid w:val="1970063E"/>
    <w:multiLevelType w:val="multilevel"/>
    <w:tmpl w:val="2F983922"/>
    <w:styleLink w:val="WWNum2"/>
    <w:lvl w:ilvl="0">
      <w:numFmt w:val="bullet"/>
      <w:lvlText w:val="•"/>
      <w:lvlJc w:val="left"/>
      <w:pPr>
        <w:ind w:left="2268" w:hanging="170"/>
      </w:pPr>
      <w:rPr>
        <w:rFonts w:ascii="Times New Roman" w:hAnsi="Times New Roman" w:cs="Times New Roman"/>
      </w:rPr>
    </w:lvl>
    <w:lvl w:ilvl="1">
      <w:numFmt w:val="bullet"/>
      <w:lvlText w:val="o"/>
      <w:lvlJc w:val="left"/>
      <w:pPr>
        <w:ind w:left="3708" w:hanging="360"/>
      </w:pPr>
      <w:rPr>
        <w:rFonts w:ascii="Courier New" w:hAnsi="Courier New"/>
      </w:rPr>
    </w:lvl>
    <w:lvl w:ilvl="2">
      <w:numFmt w:val="bullet"/>
      <w:lvlText w:val=""/>
      <w:lvlJc w:val="left"/>
      <w:pPr>
        <w:ind w:left="4428" w:hanging="360"/>
      </w:pPr>
      <w:rPr>
        <w:rFonts w:ascii="Wingdings" w:hAnsi="Wingdings"/>
      </w:rPr>
    </w:lvl>
    <w:lvl w:ilvl="3">
      <w:numFmt w:val="bullet"/>
      <w:lvlText w:val=""/>
      <w:lvlJc w:val="left"/>
      <w:pPr>
        <w:ind w:left="5148" w:hanging="360"/>
      </w:pPr>
      <w:rPr>
        <w:rFonts w:ascii="Symbol" w:hAnsi="Symbol"/>
      </w:rPr>
    </w:lvl>
    <w:lvl w:ilvl="4">
      <w:numFmt w:val="bullet"/>
      <w:lvlText w:val="o"/>
      <w:lvlJc w:val="left"/>
      <w:pPr>
        <w:ind w:left="5868" w:hanging="360"/>
      </w:pPr>
      <w:rPr>
        <w:rFonts w:ascii="Courier New" w:hAnsi="Courier New"/>
      </w:rPr>
    </w:lvl>
    <w:lvl w:ilvl="5">
      <w:numFmt w:val="bullet"/>
      <w:lvlText w:val=""/>
      <w:lvlJc w:val="left"/>
      <w:pPr>
        <w:ind w:left="6588" w:hanging="360"/>
      </w:pPr>
      <w:rPr>
        <w:rFonts w:ascii="Wingdings" w:hAnsi="Wingdings"/>
      </w:rPr>
    </w:lvl>
    <w:lvl w:ilvl="6">
      <w:numFmt w:val="bullet"/>
      <w:lvlText w:val=""/>
      <w:lvlJc w:val="left"/>
      <w:pPr>
        <w:ind w:left="7308" w:hanging="360"/>
      </w:pPr>
      <w:rPr>
        <w:rFonts w:ascii="Symbol" w:hAnsi="Symbol"/>
      </w:rPr>
    </w:lvl>
    <w:lvl w:ilvl="7">
      <w:numFmt w:val="bullet"/>
      <w:lvlText w:val="o"/>
      <w:lvlJc w:val="left"/>
      <w:pPr>
        <w:ind w:left="8028" w:hanging="360"/>
      </w:pPr>
      <w:rPr>
        <w:rFonts w:ascii="Courier New" w:hAnsi="Courier New"/>
      </w:rPr>
    </w:lvl>
    <w:lvl w:ilvl="8">
      <w:numFmt w:val="bullet"/>
      <w:lvlText w:val=""/>
      <w:lvlJc w:val="left"/>
      <w:pPr>
        <w:ind w:left="8748" w:hanging="360"/>
      </w:pPr>
      <w:rPr>
        <w:rFonts w:ascii="Wingdings" w:hAnsi="Wingdings"/>
      </w:rPr>
    </w:lvl>
  </w:abstractNum>
  <w:abstractNum w:abstractNumId="8" w15:restartNumberingAfterBreak="0">
    <w:nsid w:val="1A891D51"/>
    <w:multiLevelType w:val="multilevel"/>
    <w:tmpl w:val="CF766E08"/>
    <w:styleLink w:val="WWNum26"/>
    <w:lvl w:ilvl="0">
      <w:numFmt w:val="bullet"/>
      <w:lvlText w:val="-"/>
      <w:lvlJc w:val="left"/>
      <w:pPr>
        <w:ind w:left="2061" w:hanging="360"/>
      </w:pPr>
      <w:rPr>
        <w:rFonts w:ascii="Times New Roman" w:eastAsia="Times New Roman" w:hAnsi="Times New Roman" w:cs="Times New Roman"/>
        <w:sz w:val="20"/>
      </w:rPr>
    </w:lvl>
    <w:lvl w:ilvl="1">
      <w:numFmt w:val="bullet"/>
      <w:lvlText w:val="o"/>
      <w:lvlJc w:val="left"/>
      <w:pPr>
        <w:ind w:left="2781" w:hanging="360"/>
      </w:pPr>
      <w:rPr>
        <w:rFonts w:ascii="Courier New" w:hAnsi="Courier New" w:cs="Courier New"/>
      </w:rPr>
    </w:lvl>
    <w:lvl w:ilvl="2">
      <w:numFmt w:val="bullet"/>
      <w:lvlText w:val=""/>
      <w:lvlJc w:val="left"/>
      <w:pPr>
        <w:ind w:left="3501" w:hanging="360"/>
      </w:pPr>
      <w:rPr>
        <w:rFonts w:ascii="Wingdings" w:hAnsi="Wingdings"/>
      </w:rPr>
    </w:lvl>
    <w:lvl w:ilvl="3">
      <w:numFmt w:val="bullet"/>
      <w:lvlText w:val=""/>
      <w:lvlJc w:val="left"/>
      <w:pPr>
        <w:ind w:left="4221" w:hanging="360"/>
      </w:pPr>
      <w:rPr>
        <w:rFonts w:ascii="Symbol" w:hAnsi="Symbol"/>
      </w:rPr>
    </w:lvl>
    <w:lvl w:ilvl="4">
      <w:numFmt w:val="bullet"/>
      <w:lvlText w:val="o"/>
      <w:lvlJc w:val="left"/>
      <w:pPr>
        <w:ind w:left="4941" w:hanging="360"/>
      </w:pPr>
      <w:rPr>
        <w:rFonts w:ascii="Courier New" w:hAnsi="Courier New" w:cs="Courier New"/>
      </w:rPr>
    </w:lvl>
    <w:lvl w:ilvl="5">
      <w:numFmt w:val="bullet"/>
      <w:lvlText w:val=""/>
      <w:lvlJc w:val="left"/>
      <w:pPr>
        <w:ind w:left="5661" w:hanging="360"/>
      </w:pPr>
      <w:rPr>
        <w:rFonts w:ascii="Wingdings" w:hAnsi="Wingdings"/>
      </w:rPr>
    </w:lvl>
    <w:lvl w:ilvl="6">
      <w:numFmt w:val="bullet"/>
      <w:lvlText w:val=""/>
      <w:lvlJc w:val="left"/>
      <w:pPr>
        <w:ind w:left="6381" w:hanging="360"/>
      </w:pPr>
      <w:rPr>
        <w:rFonts w:ascii="Symbol" w:hAnsi="Symbol"/>
      </w:rPr>
    </w:lvl>
    <w:lvl w:ilvl="7">
      <w:numFmt w:val="bullet"/>
      <w:lvlText w:val="o"/>
      <w:lvlJc w:val="left"/>
      <w:pPr>
        <w:ind w:left="7101" w:hanging="360"/>
      </w:pPr>
      <w:rPr>
        <w:rFonts w:ascii="Courier New" w:hAnsi="Courier New" w:cs="Courier New"/>
      </w:rPr>
    </w:lvl>
    <w:lvl w:ilvl="8">
      <w:numFmt w:val="bullet"/>
      <w:lvlText w:val=""/>
      <w:lvlJc w:val="left"/>
      <w:pPr>
        <w:ind w:left="7821" w:hanging="360"/>
      </w:pPr>
      <w:rPr>
        <w:rFonts w:ascii="Wingdings" w:hAnsi="Wingdings"/>
      </w:rPr>
    </w:lvl>
  </w:abstractNum>
  <w:abstractNum w:abstractNumId="9" w15:restartNumberingAfterBreak="0">
    <w:nsid w:val="1BAE1D6D"/>
    <w:multiLevelType w:val="multilevel"/>
    <w:tmpl w:val="4EA8E62C"/>
    <w:styleLink w:val="WWNum12"/>
    <w:lvl w:ilvl="0">
      <w:start w:val="1"/>
      <w:numFmt w:val="decimal"/>
      <w:lvlText w:val="%1."/>
      <w:lvlJc w:val="left"/>
      <w:pPr>
        <w:ind w:left="2345" w:hanging="360"/>
      </w:p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0" w15:restartNumberingAfterBreak="0">
    <w:nsid w:val="21334BD1"/>
    <w:multiLevelType w:val="multilevel"/>
    <w:tmpl w:val="A81CC2E2"/>
    <w:styleLink w:val="WWNum7"/>
    <w:lvl w:ilvl="0">
      <w:start w:val="5"/>
      <w:numFmt w:val="decimal"/>
      <w:lvlText w:val="%1."/>
      <w:lvlJc w:val="left"/>
      <w:pPr>
        <w:ind w:left="1494" w:hanging="360"/>
      </w:pPr>
      <w:rPr>
        <w:lang w:val="en-US"/>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15:restartNumberingAfterBreak="0">
    <w:nsid w:val="21BA21E9"/>
    <w:multiLevelType w:val="multilevel"/>
    <w:tmpl w:val="4D24D72E"/>
    <w:styleLink w:val="WWNum20"/>
    <w:lvl w:ilvl="0">
      <w:start w:val="1"/>
      <w:numFmt w:val="decimal"/>
      <w:lvlText w:val="(%1)"/>
      <w:lvlJc w:val="left"/>
      <w:pPr>
        <w:ind w:left="2484" w:hanging="360"/>
      </w:pPr>
      <w:rPr>
        <w:rFonts w:eastAsia="Times New Roman"/>
      </w:r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12" w15:restartNumberingAfterBreak="0">
    <w:nsid w:val="23EC5930"/>
    <w:multiLevelType w:val="multilevel"/>
    <w:tmpl w:val="C016B32C"/>
    <w:styleLink w:val="WWNum29"/>
    <w:lvl w:ilvl="0">
      <w:numFmt w:val="bullet"/>
      <w:lvlText w:val="-"/>
      <w:lvlJc w:val="left"/>
      <w:pPr>
        <w:ind w:left="1440" w:hanging="360"/>
      </w:pPr>
      <w:rPr>
        <w:rFonts w:ascii="Times New Roman" w:eastAsia="Times New Roman" w:hAnsi="Times New Roman" w:cs="Times New Roman"/>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240225D0"/>
    <w:multiLevelType w:val="multilevel"/>
    <w:tmpl w:val="C66CCD5C"/>
    <w:styleLink w:val="WWNum3"/>
    <w:lvl w:ilvl="0">
      <w:numFmt w:val="bullet"/>
      <w:lvlText w:val="•"/>
      <w:lvlJc w:val="left"/>
      <w:pPr>
        <w:ind w:left="1701" w:hanging="170"/>
      </w:pPr>
      <w:rPr>
        <w:rFonts w:ascii="Times New Roman" w:hAnsi="Times New Roman" w:cs="Times New Roman"/>
      </w:rPr>
    </w:lvl>
    <w:lvl w:ilvl="1">
      <w:numFmt w:val="bullet"/>
      <w:lvlText w:val="o"/>
      <w:lvlJc w:val="left"/>
      <w:pPr>
        <w:ind w:left="3141" w:hanging="360"/>
      </w:pPr>
      <w:rPr>
        <w:rFonts w:ascii="Courier New" w:hAnsi="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rPr>
    </w:lvl>
    <w:lvl w:ilvl="8">
      <w:numFmt w:val="bullet"/>
      <w:lvlText w:val=""/>
      <w:lvlJc w:val="left"/>
      <w:pPr>
        <w:ind w:left="8181" w:hanging="360"/>
      </w:pPr>
      <w:rPr>
        <w:rFonts w:ascii="Wingdings" w:hAnsi="Wingdings"/>
      </w:rPr>
    </w:lvl>
  </w:abstractNum>
  <w:abstractNum w:abstractNumId="14" w15:restartNumberingAfterBreak="0">
    <w:nsid w:val="3B7536C7"/>
    <w:multiLevelType w:val="multilevel"/>
    <w:tmpl w:val="466ADDA6"/>
    <w:styleLink w:val="WWNum18"/>
    <w:lvl w:ilvl="0">
      <w:numFmt w:val="bullet"/>
      <w:lvlText w:val="-"/>
      <w:lvlJc w:val="left"/>
      <w:pPr>
        <w:ind w:left="1287" w:hanging="360"/>
      </w:pPr>
      <w:rPr>
        <w:rFonts w:ascii="Times New Roman" w:eastAsia="Times New Roman" w:hAnsi="Times New Roman" w:cs="Times New Roman"/>
        <w:sz w:val="20"/>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5" w15:restartNumberingAfterBreak="0">
    <w:nsid w:val="3F002D8D"/>
    <w:multiLevelType w:val="multilevel"/>
    <w:tmpl w:val="49688F72"/>
    <w:styleLink w:val="WWNum14"/>
    <w:lvl w:ilvl="0">
      <w:start w:val="1"/>
      <w:numFmt w:val="lowerLetter"/>
      <w:lvlText w:val="%1)"/>
      <w:lvlJc w:val="left"/>
      <w:pPr>
        <w:ind w:left="1707" w:hanging="360"/>
      </w:pPr>
    </w:lvl>
    <w:lvl w:ilvl="1">
      <w:start w:val="1"/>
      <w:numFmt w:val="lowerLetter"/>
      <w:lvlText w:val="%2."/>
      <w:lvlJc w:val="left"/>
      <w:pPr>
        <w:ind w:left="2427" w:hanging="360"/>
      </w:pPr>
    </w:lvl>
    <w:lvl w:ilvl="2">
      <w:start w:val="1"/>
      <w:numFmt w:val="lowerRoman"/>
      <w:lvlText w:val="%3."/>
      <w:lvlJc w:val="right"/>
      <w:pPr>
        <w:ind w:left="3147" w:hanging="180"/>
      </w:pPr>
    </w:lvl>
    <w:lvl w:ilvl="3">
      <w:start w:val="1"/>
      <w:numFmt w:val="decimal"/>
      <w:lvlText w:val="%4."/>
      <w:lvlJc w:val="left"/>
      <w:pPr>
        <w:ind w:left="3867" w:hanging="360"/>
      </w:pPr>
    </w:lvl>
    <w:lvl w:ilvl="4">
      <w:start w:val="1"/>
      <w:numFmt w:val="lowerLetter"/>
      <w:lvlText w:val="%5."/>
      <w:lvlJc w:val="left"/>
      <w:pPr>
        <w:ind w:left="4587" w:hanging="360"/>
      </w:pPr>
    </w:lvl>
    <w:lvl w:ilvl="5">
      <w:start w:val="1"/>
      <w:numFmt w:val="lowerRoman"/>
      <w:lvlText w:val="%6."/>
      <w:lvlJc w:val="right"/>
      <w:pPr>
        <w:ind w:left="5307" w:hanging="180"/>
      </w:pPr>
    </w:lvl>
    <w:lvl w:ilvl="6">
      <w:start w:val="1"/>
      <w:numFmt w:val="decimal"/>
      <w:lvlText w:val="%7."/>
      <w:lvlJc w:val="left"/>
      <w:pPr>
        <w:ind w:left="6027" w:hanging="360"/>
      </w:pPr>
    </w:lvl>
    <w:lvl w:ilvl="7">
      <w:start w:val="1"/>
      <w:numFmt w:val="lowerLetter"/>
      <w:lvlText w:val="%8."/>
      <w:lvlJc w:val="left"/>
      <w:pPr>
        <w:ind w:left="6747" w:hanging="360"/>
      </w:pPr>
    </w:lvl>
    <w:lvl w:ilvl="8">
      <w:start w:val="1"/>
      <w:numFmt w:val="lowerRoman"/>
      <w:lvlText w:val="%9."/>
      <w:lvlJc w:val="right"/>
      <w:pPr>
        <w:ind w:left="7467" w:hanging="180"/>
      </w:pPr>
    </w:lvl>
  </w:abstractNum>
  <w:abstractNum w:abstractNumId="16" w15:restartNumberingAfterBreak="0">
    <w:nsid w:val="4B5407F3"/>
    <w:multiLevelType w:val="multilevel"/>
    <w:tmpl w:val="34588C32"/>
    <w:styleLink w:val="WWNum15"/>
    <w:lvl w:ilvl="0">
      <w:start w:val="1"/>
      <w:numFmt w:val="lowerLetter"/>
      <w:lvlText w:val="%1)"/>
      <w:lvlJc w:val="left"/>
      <w:pPr>
        <w:ind w:left="2259" w:hanging="570"/>
      </w:pPr>
    </w:lvl>
    <w:lvl w:ilvl="1">
      <w:start w:val="1"/>
      <w:numFmt w:val="lowerLetter"/>
      <w:lvlText w:val="%2."/>
      <w:lvlJc w:val="left"/>
      <w:pPr>
        <w:ind w:left="2769" w:hanging="360"/>
      </w:pPr>
    </w:lvl>
    <w:lvl w:ilvl="2">
      <w:start w:val="1"/>
      <w:numFmt w:val="lowerRoman"/>
      <w:lvlText w:val="%3."/>
      <w:lvlJc w:val="right"/>
      <w:pPr>
        <w:ind w:left="3489" w:hanging="180"/>
      </w:pPr>
    </w:lvl>
    <w:lvl w:ilvl="3">
      <w:start w:val="1"/>
      <w:numFmt w:val="decimal"/>
      <w:lvlText w:val="%4."/>
      <w:lvlJc w:val="left"/>
      <w:pPr>
        <w:ind w:left="4209" w:hanging="360"/>
      </w:pPr>
    </w:lvl>
    <w:lvl w:ilvl="4">
      <w:start w:val="1"/>
      <w:numFmt w:val="lowerLetter"/>
      <w:lvlText w:val="%5."/>
      <w:lvlJc w:val="left"/>
      <w:pPr>
        <w:ind w:left="4929" w:hanging="360"/>
      </w:pPr>
    </w:lvl>
    <w:lvl w:ilvl="5">
      <w:start w:val="1"/>
      <w:numFmt w:val="lowerRoman"/>
      <w:lvlText w:val="%6."/>
      <w:lvlJc w:val="right"/>
      <w:pPr>
        <w:ind w:left="5649" w:hanging="180"/>
      </w:pPr>
    </w:lvl>
    <w:lvl w:ilvl="6">
      <w:start w:val="1"/>
      <w:numFmt w:val="decimal"/>
      <w:lvlText w:val="%7."/>
      <w:lvlJc w:val="left"/>
      <w:pPr>
        <w:ind w:left="6369" w:hanging="360"/>
      </w:pPr>
    </w:lvl>
    <w:lvl w:ilvl="7">
      <w:start w:val="1"/>
      <w:numFmt w:val="lowerLetter"/>
      <w:lvlText w:val="%8."/>
      <w:lvlJc w:val="left"/>
      <w:pPr>
        <w:ind w:left="7089" w:hanging="360"/>
      </w:pPr>
    </w:lvl>
    <w:lvl w:ilvl="8">
      <w:start w:val="1"/>
      <w:numFmt w:val="lowerRoman"/>
      <w:lvlText w:val="%9."/>
      <w:lvlJc w:val="right"/>
      <w:pPr>
        <w:ind w:left="7809" w:hanging="180"/>
      </w:pPr>
    </w:lvl>
  </w:abstractNum>
  <w:abstractNum w:abstractNumId="17" w15:restartNumberingAfterBreak="0">
    <w:nsid w:val="4C983768"/>
    <w:multiLevelType w:val="multilevel"/>
    <w:tmpl w:val="9F02AF42"/>
    <w:styleLink w:val="WWNum27"/>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5329151E"/>
    <w:multiLevelType w:val="multilevel"/>
    <w:tmpl w:val="B3648372"/>
    <w:styleLink w:val="WWNum19"/>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5A73246"/>
    <w:multiLevelType w:val="multilevel"/>
    <w:tmpl w:val="C57E13D4"/>
    <w:styleLink w:val="WWNum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5068DE"/>
    <w:multiLevelType w:val="multilevel"/>
    <w:tmpl w:val="8FC26DBE"/>
    <w:styleLink w:val="WWNum17"/>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1" w15:restartNumberingAfterBreak="0">
    <w:nsid w:val="5BB735A5"/>
    <w:multiLevelType w:val="multilevel"/>
    <w:tmpl w:val="80583F3E"/>
    <w:styleLink w:val="WWNum21"/>
    <w:lvl w:ilvl="0">
      <w:numFmt w:val="bullet"/>
      <w:lvlText w:val="-"/>
      <w:lvlJc w:val="left"/>
      <w:pPr>
        <w:ind w:left="1287" w:hanging="360"/>
      </w:pPr>
      <w:rPr>
        <w:rFonts w:ascii="Times New Roman" w:eastAsia="Times New Roman" w:hAnsi="Times New Roman" w:cs="Times New Roman"/>
        <w:sz w:val="20"/>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22" w15:restartNumberingAfterBreak="0">
    <w:nsid w:val="5EBD33AA"/>
    <w:multiLevelType w:val="multilevel"/>
    <w:tmpl w:val="72885968"/>
    <w:styleLink w:val="WWNum31"/>
    <w:lvl w:ilvl="0">
      <w:start w:val="2"/>
      <w:numFmt w:val="lowerLetter"/>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9879B2"/>
    <w:multiLevelType w:val="multilevel"/>
    <w:tmpl w:val="07887010"/>
    <w:styleLink w:val="WWNum16"/>
    <w:lvl w:ilvl="0">
      <w:numFmt w:val="bullet"/>
      <w:lvlText w:val="-"/>
      <w:lvlJc w:val="left"/>
      <w:pPr>
        <w:ind w:left="2061" w:hanging="360"/>
      </w:pPr>
      <w:rPr>
        <w:rFonts w:ascii="Times New Roman" w:eastAsia="Times New Roman" w:hAnsi="Times New Roman" w:cs="Times New Roman"/>
        <w:sz w:val="20"/>
      </w:rPr>
    </w:lvl>
    <w:lvl w:ilvl="1">
      <w:numFmt w:val="bullet"/>
      <w:lvlText w:val="o"/>
      <w:lvlJc w:val="left"/>
      <w:pPr>
        <w:ind w:left="2781" w:hanging="360"/>
      </w:pPr>
      <w:rPr>
        <w:rFonts w:ascii="Courier New" w:hAnsi="Courier New" w:cs="Courier New"/>
      </w:rPr>
    </w:lvl>
    <w:lvl w:ilvl="2">
      <w:numFmt w:val="bullet"/>
      <w:lvlText w:val=""/>
      <w:lvlJc w:val="left"/>
      <w:pPr>
        <w:ind w:left="3501" w:hanging="360"/>
      </w:pPr>
      <w:rPr>
        <w:rFonts w:ascii="Wingdings" w:hAnsi="Wingdings"/>
      </w:rPr>
    </w:lvl>
    <w:lvl w:ilvl="3">
      <w:numFmt w:val="bullet"/>
      <w:lvlText w:val=""/>
      <w:lvlJc w:val="left"/>
      <w:pPr>
        <w:ind w:left="4221" w:hanging="360"/>
      </w:pPr>
      <w:rPr>
        <w:rFonts w:ascii="Symbol" w:hAnsi="Symbol"/>
      </w:rPr>
    </w:lvl>
    <w:lvl w:ilvl="4">
      <w:numFmt w:val="bullet"/>
      <w:lvlText w:val="o"/>
      <w:lvlJc w:val="left"/>
      <w:pPr>
        <w:ind w:left="4941" w:hanging="360"/>
      </w:pPr>
      <w:rPr>
        <w:rFonts w:ascii="Courier New" w:hAnsi="Courier New" w:cs="Courier New"/>
      </w:rPr>
    </w:lvl>
    <w:lvl w:ilvl="5">
      <w:numFmt w:val="bullet"/>
      <w:lvlText w:val=""/>
      <w:lvlJc w:val="left"/>
      <w:pPr>
        <w:ind w:left="5661" w:hanging="360"/>
      </w:pPr>
      <w:rPr>
        <w:rFonts w:ascii="Wingdings" w:hAnsi="Wingdings"/>
      </w:rPr>
    </w:lvl>
    <w:lvl w:ilvl="6">
      <w:numFmt w:val="bullet"/>
      <w:lvlText w:val=""/>
      <w:lvlJc w:val="left"/>
      <w:pPr>
        <w:ind w:left="6381" w:hanging="360"/>
      </w:pPr>
      <w:rPr>
        <w:rFonts w:ascii="Symbol" w:hAnsi="Symbol"/>
      </w:rPr>
    </w:lvl>
    <w:lvl w:ilvl="7">
      <w:numFmt w:val="bullet"/>
      <w:lvlText w:val="o"/>
      <w:lvlJc w:val="left"/>
      <w:pPr>
        <w:ind w:left="7101" w:hanging="360"/>
      </w:pPr>
      <w:rPr>
        <w:rFonts w:ascii="Courier New" w:hAnsi="Courier New" w:cs="Courier New"/>
      </w:rPr>
    </w:lvl>
    <w:lvl w:ilvl="8">
      <w:numFmt w:val="bullet"/>
      <w:lvlText w:val=""/>
      <w:lvlJc w:val="left"/>
      <w:pPr>
        <w:ind w:left="7821" w:hanging="360"/>
      </w:pPr>
      <w:rPr>
        <w:rFonts w:ascii="Wingdings" w:hAnsi="Wingdings"/>
      </w:rPr>
    </w:lvl>
  </w:abstractNum>
  <w:abstractNum w:abstractNumId="24" w15:restartNumberingAfterBreak="0">
    <w:nsid w:val="6BA74305"/>
    <w:multiLevelType w:val="multilevel"/>
    <w:tmpl w:val="B9883530"/>
    <w:styleLink w:val="WWNum5"/>
    <w:lvl w:ilvl="0">
      <w:start w:val="1"/>
      <w:numFmt w:val="decimal"/>
      <w:lvlText w:val="%1."/>
      <w:lvlJc w:val="left"/>
      <w:pPr>
        <w:ind w:left="1134" w:firstLine="0"/>
      </w:pPr>
      <w:rPr>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37B13E3"/>
    <w:multiLevelType w:val="multilevel"/>
    <w:tmpl w:val="5D84EAE2"/>
    <w:styleLink w:val="WWNum13"/>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6" w15:restartNumberingAfterBreak="0">
    <w:nsid w:val="753005A8"/>
    <w:multiLevelType w:val="multilevel"/>
    <w:tmpl w:val="4D9CAF26"/>
    <w:styleLink w:val="WWNum10"/>
    <w:lvl w:ilvl="0">
      <w:numFmt w:val="bullet"/>
      <w:lvlText w:val="-"/>
      <w:lvlJc w:val="left"/>
      <w:pPr>
        <w:ind w:left="1440" w:hanging="360"/>
      </w:pPr>
      <w:rPr>
        <w:rFonts w:ascii="Times New Roman" w:eastAsia="Times New Roman" w:hAnsi="Times New Roman" w:cs="Times New Roman"/>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7" w15:restartNumberingAfterBreak="0">
    <w:nsid w:val="75C25E94"/>
    <w:multiLevelType w:val="multilevel"/>
    <w:tmpl w:val="47B66E38"/>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75EC37A3"/>
    <w:multiLevelType w:val="multilevel"/>
    <w:tmpl w:val="36E44AE2"/>
    <w:styleLink w:val="WWNum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9" w15:restartNumberingAfterBreak="0">
    <w:nsid w:val="766E1E54"/>
    <w:multiLevelType w:val="multilevel"/>
    <w:tmpl w:val="864CA1D0"/>
    <w:styleLink w:val="WWNum11"/>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0" w15:restartNumberingAfterBreak="0">
    <w:nsid w:val="771A7F60"/>
    <w:multiLevelType w:val="multilevel"/>
    <w:tmpl w:val="996AF274"/>
    <w:styleLink w:val="WWNum4"/>
    <w:lvl w:ilvl="0">
      <w:numFmt w:val="bullet"/>
      <w:lvlText w:val="•"/>
      <w:lvlJc w:val="left"/>
      <w:pPr>
        <w:ind w:left="2268" w:hanging="170"/>
      </w:pPr>
      <w:rPr>
        <w:rFonts w:ascii="Times New Roman" w:hAnsi="Times New Roman" w:cs="Times New Roman"/>
      </w:rPr>
    </w:lvl>
    <w:lvl w:ilvl="1">
      <w:numFmt w:val="bullet"/>
      <w:lvlText w:val="o"/>
      <w:lvlJc w:val="left"/>
      <w:pPr>
        <w:ind w:left="3708" w:hanging="360"/>
      </w:pPr>
      <w:rPr>
        <w:rFonts w:ascii="Courier New" w:hAnsi="Courier New"/>
      </w:rPr>
    </w:lvl>
    <w:lvl w:ilvl="2">
      <w:numFmt w:val="bullet"/>
      <w:lvlText w:val=""/>
      <w:lvlJc w:val="left"/>
      <w:pPr>
        <w:ind w:left="4428" w:hanging="360"/>
      </w:pPr>
      <w:rPr>
        <w:rFonts w:ascii="Wingdings" w:hAnsi="Wingdings"/>
      </w:rPr>
    </w:lvl>
    <w:lvl w:ilvl="3">
      <w:numFmt w:val="bullet"/>
      <w:lvlText w:val=""/>
      <w:lvlJc w:val="left"/>
      <w:pPr>
        <w:ind w:left="5148" w:hanging="360"/>
      </w:pPr>
      <w:rPr>
        <w:rFonts w:ascii="Symbol" w:hAnsi="Symbol"/>
      </w:rPr>
    </w:lvl>
    <w:lvl w:ilvl="4">
      <w:numFmt w:val="bullet"/>
      <w:lvlText w:val="o"/>
      <w:lvlJc w:val="left"/>
      <w:pPr>
        <w:ind w:left="5868" w:hanging="360"/>
      </w:pPr>
      <w:rPr>
        <w:rFonts w:ascii="Courier New" w:hAnsi="Courier New"/>
      </w:rPr>
    </w:lvl>
    <w:lvl w:ilvl="5">
      <w:numFmt w:val="bullet"/>
      <w:lvlText w:val=""/>
      <w:lvlJc w:val="left"/>
      <w:pPr>
        <w:ind w:left="6588" w:hanging="360"/>
      </w:pPr>
      <w:rPr>
        <w:rFonts w:ascii="Wingdings" w:hAnsi="Wingdings"/>
      </w:rPr>
    </w:lvl>
    <w:lvl w:ilvl="6">
      <w:numFmt w:val="bullet"/>
      <w:lvlText w:val=""/>
      <w:lvlJc w:val="left"/>
      <w:pPr>
        <w:ind w:left="7308" w:hanging="360"/>
      </w:pPr>
      <w:rPr>
        <w:rFonts w:ascii="Symbol" w:hAnsi="Symbol"/>
      </w:rPr>
    </w:lvl>
    <w:lvl w:ilvl="7">
      <w:numFmt w:val="bullet"/>
      <w:lvlText w:val="o"/>
      <w:lvlJc w:val="left"/>
      <w:pPr>
        <w:ind w:left="8028" w:hanging="360"/>
      </w:pPr>
      <w:rPr>
        <w:rFonts w:ascii="Courier New" w:hAnsi="Courier New"/>
      </w:rPr>
    </w:lvl>
    <w:lvl w:ilvl="8">
      <w:numFmt w:val="bullet"/>
      <w:lvlText w:val=""/>
      <w:lvlJc w:val="left"/>
      <w:pPr>
        <w:ind w:left="8748" w:hanging="360"/>
      </w:pPr>
      <w:rPr>
        <w:rFonts w:ascii="Wingdings" w:hAnsi="Wingdings"/>
      </w:rPr>
    </w:lvl>
  </w:abstractNum>
  <w:abstractNum w:abstractNumId="31" w15:restartNumberingAfterBreak="0">
    <w:nsid w:val="7EBA083C"/>
    <w:multiLevelType w:val="multilevel"/>
    <w:tmpl w:val="2E0E30CA"/>
    <w:styleLink w:val="WWNum1"/>
    <w:lvl w:ilvl="0">
      <w:numFmt w:val="bullet"/>
      <w:lvlText w:val="•"/>
      <w:lvlJc w:val="left"/>
      <w:pPr>
        <w:ind w:left="1701" w:hanging="170"/>
      </w:pPr>
      <w:rPr>
        <w:rFonts w:ascii="Times New Roman" w:hAnsi="Times New Roman" w:cs="Times New Roman"/>
      </w:rPr>
    </w:lvl>
    <w:lvl w:ilvl="1">
      <w:numFmt w:val="bullet"/>
      <w:lvlText w:val="o"/>
      <w:lvlJc w:val="left"/>
      <w:pPr>
        <w:ind w:left="3141" w:hanging="360"/>
      </w:pPr>
      <w:rPr>
        <w:rFonts w:ascii="Courier New" w:hAnsi="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rPr>
    </w:lvl>
    <w:lvl w:ilvl="8">
      <w:numFmt w:val="bullet"/>
      <w:lvlText w:val=""/>
      <w:lvlJc w:val="left"/>
      <w:pPr>
        <w:ind w:left="8181" w:hanging="360"/>
      </w:pPr>
      <w:rPr>
        <w:rFonts w:ascii="Wingdings" w:hAnsi="Wingdings"/>
      </w:rPr>
    </w:lvl>
  </w:abstractNum>
  <w:num w:numId="1">
    <w:abstractNumId w:val="27"/>
  </w:num>
  <w:num w:numId="2">
    <w:abstractNumId w:val="31"/>
  </w:num>
  <w:num w:numId="3">
    <w:abstractNumId w:val="7"/>
  </w:num>
  <w:num w:numId="4">
    <w:abstractNumId w:val="13"/>
  </w:num>
  <w:num w:numId="5">
    <w:abstractNumId w:val="30"/>
  </w:num>
  <w:num w:numId="6">
    <w:abstractNumId w:val="24"/>
  </w:num>
  <w:num w:numId="7">
    <w:abstractNumId w:val="28"/>
  </w:num>
  <w:num w:numId="8">
    <w:abstractNumId w:val="10"/>
  </w:num>
  <w:num w:numId="9">
    <w:abstractNumId w:val="0"/>
  </w:num>
  <w:num w:numId="10">
    <w:abstractNumId w:val="2"/>
  </w:num>
  <w:num w:numId="11">
    <w:abstractNumId w:val="26"/>
  </w:num>
  <w:num w:numId="12">
    <w:abstractNumId w:val="29"/>
  </w:num>
  <w:num w:numId="13">
    <w:abstractNumId w:val="9"/>
  </w:num>
  <w:num w:numId="14">
    <w:abstractNumId w:val="25"/>
  </w:num>
  <w:num w:numId="15">
    <w:abstractNumId w:val="15"/>
  </w:num>
  <w:num w:numId="16">
    <w:abstractNumId w:val="16"/>
  </w:num>
  <w:num w:numId="17">
    <w:abstractNumId w:val="23"/>
  </w:num>
  <w:num w:numId="18">
    <w:abstractNumId w:val="20"/>
  </w:num>
  <w:num w:numId="19">
    <w:abstractNumId w:val="14"/>
  </w:num>
  <w:num w:numId="20">
    <w:abstractNumId w:val="18"/>
  </w:num>
  <w:num w:numId="21">
    <w:abstractNumId w:val="11"/>
  </w:num>
  <w:num w:numId="22">
    <w:abstractNumId w:val="21"/>
  </w:num>
  <w:num w:numId="23">
    <w:abstractNumId w:val="19"/>
  </w:num>
  <w:num w:numId="24">
    <w:abstractNumId w:val="1"/>
  </w:num>
  <w:num w:numId="25">
    <w:abstractNumId w:val="5"/>
  </w:num>
  <w:num w:numId="26">
    <w:abstractNumId w:val="3"/>
  </w:num>
  <w:num w:numId="27">
    <w:abstractNumId w:val="8"/>
  </w:num>
  <w:num w:numId="28">
    <w:abstractNumId w:val="17"/>
  </w:num>
  <w:num w:numId="29">
    <w:abstractNumId w:val="4"/>
  </w:num>
  <w:num w:numId="30">
    <w:abstractNumId w:val="12"/>
  </w:num>
  <w:num w:numId="31">
    <w:abstractNumId w:val="6"/>
  </w:num>
  <w:num w:numId="32">
    <w:abstractNumId w:val="22"/>
  </w:num>
  <w:num w:numId="33">
    <w:abstractNumId w:val="25"/>
    <w:lvlOverride w:ilvl="0">
      <w:startOverride w:val="1"/>
    </w:lvlOverride>
  </w:num>
  <w:num w:numId="34">
    <w:abstractNumId w:val="8"/>
  </w:num>
  <w:num w:numId="35">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567"/>
  <w:autoHyphenation/>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495"/>
    <w:rsid w:val="005E38EA"/>
    <w:rsid w:val="00600360"/>
    <w:rsid w:val="0086569E"/>
    <w:rsid w:val="009674BA"/>
    <w:rsid w:val="0098234A"/>
    <w:rsid w:val="00F664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497CF"/>
  <w15:docId w15:val="{BCABBC71-FC07-4785-BF00-E859CD685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3"/>
        <w:lang w:val="fr-FR" w:eastAsia="fr-FR"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pPr>
      <w:keepNext/>
      <w:keepLines/>
      <w:outlineLvl w:val="0"/>
    </w:pPr>
  </w:style>
  <w:style w:type="paragraph" w:styleId="Heading2">
    <w:name w:val="heading 2"/>
    <w:basedOn w:val="Standard"/>
    <w:next w:val="Standard"/>
    <w:pPr>
      <w:outlineLvl w:val="1"/>
    </w:pPr>
  </w:style>
  <w:style w:type="paragraph" w:styleId="Heading3">
    <w:name w:val="heading 3"/>
    <w:basedOn w:val="Standard"/>
    <w:next w:val="Standard"/>
    <w:pPr>
      <w:outlineLvl w:val="2"/>
    </w:pPr>
  </w:style>
  <w:style w:type="paragraph" w:styleId="Heading4">
    <w:name w:val="heading 4"/>
    <w:basedOn w:val="Standard"/>
    <w:next w:val="Standard"/>
    <w:pPr>
      <w:outlineLvl w:val="3"/>
    </w:pPr>
  </w:style>
  <w:style w:type="paragraph" w:styleId="Heading5">
    <w:name w:val="heading 5"/>
    <w:basedOn w:val="Standard"/>
    <w:next w:val="Standard"/>
    <w:pPr>
      <w:outlineLvl w:val="4"/>
    </w:pPr>
  </w:style>
  <w:style w:type="paragraph" w:styleId="Heading6">
    <w:name w:val="heading 6"/>
    <w:basedOn w:val="Standard"/>
    <w:next w:val="Standard"/>
    <w:pPr>
      <w:outlineLvl w:val="5"/>
    </w:pPr>
  </w:style>
  <w:style w:type="paragraph" w:styleId="Heading7">
    <w:name w:val="heading 7"/>
    <w:basedOn w:val="Standard"/>
    <w:next w:val="Standard"/>
    <w:pPr>
      <w:outlineLvl w:val="6"/>
    </w:pPr>
  </w:style>
  <w:style w:type="paragraph" w:styleId="Heading8">
    <w:name w:val="heading 8"/>
    <w:basedOn w:val="Standard"/>
    <w:next w:val="Standard"/>
    <w:pPr>
      <w:outlineLvl w:val="7"/>
    </w:pPr>
  </w:style>
  <w:style w:type="paragraph" w:styleId="Heading9">
    <w:name w:val="heading 9"/>
    <w:basedOn w:val="Standard"/>
    <w:next w:val="Standar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line="240" w:lineRule="atLeast"/>
    </w:pPr>
    <w:rPr>
      <w:lang w:val="fr-CH" w:eastAsia="en-US"/>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
    <w:name w:val="List"/>
    <w:basedOn w:val="Textbody"/>
    <w:rPr>
      <w:rFonts w:cs="Mangal"/>
      <w:sz w:val="24"/>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customStyle="1" w:styleId="HMG">
    <w:name w:val="_ H __M_G"/>
    <w:basedOn w:val="Standard"/>
    <w:next w:val="Standard"/>
    <w:pPr>
      <w:keepNext/>
      <w:keepLines/>
      <w:tabs>
        <w:tab w:val="right" w:pos="1985"/>
      </w:tabs>
      <w:spacing w:before="240" w:after="240" w:line="360" w:lineRule="exact"/>
      <w:ind w:left="1134" w:right="1134" w:hanging="1134"/>
    </w:pPr>
    <w:rPr>
      <w:b/>
      <w:sz w:val="34"/>
    </w:rPr>
  </w:style>
  <w:style w:type="paragraph" w:customStyle="1" w:styleId="HChG">
    <w:name w:val="_ H _Ch_G"/>
    <w:basedOn w:val="Standard"/>
    <w:next w:val="Standard"/>
    <w:pPr>
      <w:keepNext/>
      <w:keepLines/>
      <w:tabs>
        <w:tab w:val="right" w:pos="1985"/>
      </w:tabs>
      <w:spacing w:before="360" w:after="240" w:line="300" w:lineRule="exact"/>
      <w:ind w:left="1134" w:right="1134" w:hanging="1134"/>
    </w:pPr>
    <w:rPr>
      <w:b/>
      <w:sz w:val="28"/>
    </w:rPr>
  </w:style>
  <w:style w:type="paragraph" w:customStyle="1" w:styleId="H1G">
    <w:name w:val="_ H_1_G"/>
    <w:basedOn w:val="Standard"/>
    <w:next w:val="Standard"/>
    <w:pPr>
      <w:keepNext/>
      <w:keepLines/>
      <w:tabs>
        <w:tab w:val="right" w:pos="1985"/>
      </w:tabs>
      <w:spacing w:before="360" w:after="240" w:line="270" w:lineRule="exact"/>
      <w:ind w:left="1134" w:right="1134" w:hanging="1134"/>
    </w:pPr>
    <w:rPr>
      <w:b/>
      <w:sz w:val="24"/>
    </w:rPr>
  </w:style>
  <w:style w:type="paragraph" w:customStyle="1" w:styleId="H23G">
    <w:name w:val="_ H_2/3_G"/>
    <w:basedOn w:val="Standard"/>
    <w:next w:val="Standard"/>
    <w:pPr>
      <w:keepNext/>
      <w:keepLines/>
      <w:tabs>
        <w:tab w:val="right" w:pos="1985"/>
      </w:tabs>
      <w:spacing w:before="240" w:after="120" w:line="240" w:lineRule="exact"/>
      <w:ind w:left="1134" w:right="1134" w:hanging="1134"/>
    </w:pPr>
    <w:rPr>
      <w:b/>
    </w:rPr>
  </w:style>
  <w:style w:type="paragraph" w:customStyle="1" w:styleId="H4G">
    <w:name w:val="_ H_4_G"/>
    <w:basedOn w:val="Standard"/>
    <w:next w:val="Standard"/>
    <w:pPr>
      <w:keepNext/>
      <w:keepLines/>
      <w:tabs>
        <w:tab w:val="right" w:pos="1985"/>
      </w:tabs>
      <w:spacing w:before="240" w:after="120" w:line="240" w:lineRule="exact"/>
      <w:ind w:left="1134" w:right="1134" w:hanging="1134"/>
    </w:pPr>
    <w:rPr>
      <w:i/>
    </w:rPr>
  </w:style>
  <w:style w:type="paragraph" w:customStyle="1" w:styleId="H56G">
    <w:name w:val="_ H_5/6_G"/>
    <w:basedOn w:val="Standard"/>
    <w:next w:val="Standard"/>
    <w:pPr>
      <w:keepNext/>
      <w:keepLines/>
      <w:tabs>
        <w:tab w:val="right" w:pos="1985"/>
      </w:tabs>
      <w:spacing w:before="240" w:after="120" w:line="240" w:lineRule="exact"/>
      <w:ind w:left="1134" w:right="1134" w:hanging="1134"/>
    </w:pPr>
  </w:style>
  <w:style w:type="paragraph" w:customStyle="1" w:styleId="SingleTxtG">
    <w:name w:val="_ Single Txt_G"/>
    <w:basedOn w:val="Standard"/>
    <w:pPr>
      <w:spacing w:after="120"/>
      <w:ind w:left="1134" w:right="1134"/>
      <w:jc w:val="both"/>
    </w:pPr>
  </w:style>
  <w:style w:type="paragraph" w:customStyle="1" w:styleId="SLG">
    <w:name w:val="__S_L_G"/>
    <w:basedOn w:val="Standard"/>
    <w:next w:val="Standard"/>
    <w:pPr>
      <w:keepNext/>
      <w:keepLines/>
      <w:spacing w:before="240" w:after="240" w:line="580" w:lineRule="exact"/>
      <w:ind w:left="1134" w:right="1134"/>
    </w:pPr>
    <w:rPr>
      <w:b/>
      <w:sz w:val="56"/>
    </w:rPr>
  </w:style>
  <w:style w:type="paragraph" w:customStyle="1" w:styleId="SMG">
    <w:name w:val="__S_M_G"/>
    <w:basedOn w:val="Standard"/>
    <w:next w:val="Standard"/>
    <w:pPr>
      <w:keepNext/>
      <w:keepLines/>
      <w:spacing w:before="240" w:after="240" w:line="420" w:lineRule="exact"/>
      <w:ind w:left="1134" w:right="1134"/>
    </w:pPr>
    <w:rPr>
      <w:b/>
      <w:sz w:val="40"/>
    </w:rPr>
  </w:style>
  <w:style w:type="paragraph" w:customStyle="1" w:styleId="SSG">
    <w:name w:val="__S_S_G"/>
    <w:basedOn w:val="Standard"/>
    <w:next w:val="Standard"/>
    <w:pPr>
      <w:keepNext/>
      <w:keepLines/>
      <w:spacing w:before="240" w:after="240" w:line="300" w:lineRule="exact"/>
      <w:ind w:left="1134" w:right="1134"/>
    </w:pPr>
    <w:rPr>
      <w:b/>
      <w:sz w:val="28"/>
    </w:rPr>
  </w:style>
  <w:style w:type="paragraph" w:customStyle="1" w:styleId="XLargeG">
    <w:name w:val="__XLarge_G"/>
    <w:basedOn w:val="Standard"/>
    <w:next w:val="Standard"/>
    <w:pPr>
      <w:keepNext/>
      <w:keepLines/>
      <w:spacing w:before="240" w:after="240" w:line="420" w:lineRule="exact"/>
      <w:ind w:left="1134" w:right="1134"/>
    </w:pPr>
    <w:rPr>
      <w:b/>
      <w:sz w:val="40"/>
    </w:rPr>
  </w:style>
  <w:style w:type="paragraph" w:customStyle="1" w:styleId="Bullet1G">
    <w:name w:val="_Bullet 1_G"/>
    <w:basedOn w:val="Standard"/>
    <w:pPr>
      <w:spacing w:after="120"/>
      <w:ind w:right="1134"/>
      <w:jc w:val="both"/>
    </w:pPr>
  </w:style>
  <w:style w:type="paragraph" w:customStyle="1" w:styleId="Bullet2G">
    <w:name w:val="_Bullet 2_G"/>
    <w:basedOn w:val="Standard"/>
    <w:pPr>
      <w:spacing w:after="120"/>
      <w:ind w:right="1134"/>
      <w:jc w:val="both"/>
    </w:pPr>
  </w:style>
  <w:style w:type="paragraph" w:styleId="Header">
    <w:name w:val="header"/>
    <w:basedOn w:val="Standard"/>
    <w:next w:val="Standard"/>
    <w:pPr>
      <w:pBdr>
        <w:bottom w:val="single" w:sz="4" w:space="4" w:color="00000A"/>
      </w:pBdr>
      <w:spacing w:line="240" w:lineRule="auto"/>
    </w:pPr>
    <w:rPr>
      <w:b/>
      <w:sz w:val="18"/>
    </w:rPr>
  </w:style>
  <w:style w:type="paragraph" w:styleId="FootnoteText">
    <w:name w:val="footnote text"/>
    <w:basedOn w:val="Standard"/>
    <w:pPr>
      <w:tabs>
        <w:tab w:val="right" w:pos="2155"/>
      </w:tabs>
      <w:spacing w:line="220" w:lineRule="exact"/>
      <w:ind w:left="1134" w:right="1134" w:hanging="1134"/>
    </w:pPr>
    <w:rPr>
      <w:sz w:val="18"/>
    </w:rPr>
  </w:style>
  <w:style w:type="paragraph" w:styleId="EndnoteText">
    <w:name w:val="endnote text"/>
    <w:basedOn w:val="FootnoteText"/>
  </w:style>
  <w:style w:type="paragraph" w:styleId="Footer">
    <w:name w:val="footer"/>
    <w:basedOn w:val="Standard"/>
    <w:next w:val="Standard"/>
    <w:pPr>
      <w:spacing w:line="240" w:lineRule="auto"/>
    </w:pPr>
    <w:rPr>
      <w:sz w:val="16"/>
    </w:rPr>
  </w:style>
  <w:style w:type="paragraph" w:customStyle="1" w:styleId="ParNoG">
    <w:name w:val="_ParNo_G"/>
    <w:basedOn w:val="SingleTxtG"/>
  </w:style>
  <w:style w:type="paragraph" w:styleId="ListParagraph">
    <w:name w:val="List Paragraph"/>
    <w:basedOn w:val="Standard"/>
    <w:pPr>
      <w:suppressAutoHyphens w:val="0"/>
      <w:spacing w:before="120" w:after="200" w:line="276" w:lineRule="auto"/>
      <w:jc w:val="both"/>
    </w:pPr>
    <w:rPr>
      <w:rFonts w:eastAsia="Calibri"/>
      <w:sz w:val="24"/>
      <w:szCs w:val="22"/>
      <w:lang w:val="fr-FR"/>
    </w:rPr>
  </w:style>
  <w:style w:type="paragraph" w:styleId="BalloonText">
    <w:name w:val="Balloon Text"/>
    <w:basedOn w:val="Standard"/>
    <w:pPr>
      <w:spacing w:line="240" w:lineRule="auto"/>
    </w:pPr>
    <w:rPr>
      <w:rFonts w:ascii="Tahoma" w:eastAsia="Tahoma" w:hAnsi="Tahoma" w:cs="Tahoma"/>
      <w:sz w:val="16"/>
      <w:szCs w:val="16"/>
    </w:rPr>
  </w:style>
  <w:style w:type="paragraph" w:styleId="CommentText">
    <w:name w:val="annotation text"/>
    <w:basedOn w:val="Standard"/>
    <w:pPr>
      <w:spacing w:line="240" w:lineRule="auto"/>
    </w:pPr>
  </w:style>
  <w:style w:type="paragraph" w:styleId="CommentSubject">
    <w:name w:val="annotation subject"/>
    <w:basedOn w:val="CommentText"/>
    <w:rPr>
      <w:b/>
      <w:bCs/>
    </w:rPr>
  </w:style>
  <w:style w:type="paragraph" w:styleId="Revision">
    <w:name w:val="Revision"/>
    <w:pPr>
      <w:widowControl/>
    </w:pPr>
    <w:rPr>
      <w:lang w:val="fr-CH" w:eastAsia="en-US"/>
    </w:rPr>
  </w:style>
  <w:style w:type="paragraph" w:customStyle="1" w:styleId="Framecontents">
    <w:name w:val="Frame contents"/>
    <w:basedOn w:val="Standard"/>
  </w:style>
  <w:style w:type="paragraph" w:customStyle="1" w:styleId="Quotations">
    <w:name w:val="Quotations"/>
    <w:basedOn w:val="Standard"/>
  </w:style>
  <w:style w:type="paragraph" w:styleId="Title">
    <w:name w:val="Title"/>
    <w:basedOn w:val="Heading"/>
  </w:style>
  <w:style w:type="paragraph" w:styleId="Subtitle">
    <w:name w:val="Subtitle"/>
    <w:basedOn w:val="Heading"/>
  </w:style>
  <w:style w:type="paragraph" w:customStyle="1" w:styleId="TableContents">
    <w:name w:val="Table Contents"/>
    <w:basedOn w:val="Standard"/>
  </w:style>
  <w:style w:type="character" w:styleId="FootnoteReference">
    <w:name w:val="footnote reference"/>
    <w:rPr>
      <w:rFonts w:ascii="Times New Roman" w:eastAsia="Times New Roman" w:hAnsi="Times New Roman" w:cs="Times New Roman"/>
      <w:position w:val="0"/>
      <w:sz w:val="18"/>
      <w:vertAlign w:val="superscript"/>
      <w:lang w:val="fr-CH"/>
    </w:rPr>
  </w:style>
  <w:style w:type="character" w:styleId="EndnoteReference">
    <w:name w:val="endnote reference"/>
    <w:basedOn w:val="FootnoteReference"/>
    <w:rPr>
      <w:rFonts w:ascii="Times New Roman" w:eastAsia="Times New Roman" w:hAnsi="Times New Roman" w:cs="Times New Roman"/>
      <w:position w:val="0"/>
      <w:sz w:val="18"/>
      <w:vertAlign w:val="superscript"/>
      <w:lang w:val="fr-CH"/>
    </w:rPr>
  </w:style>
  <w:style w:type="character" w:styleId="PageNumber">
    <w:name w:val="page number"/>
    <w:rPr>
      <w:rFonts w:ascii="Times New Roman" w:eastAsia="Times New Roman" w:hAnsi="Times New Roman" w:cs="Times New Roman"/>
      <w:b/>
      <w:sz w:val="18"/>
      <w:lang w:val="fr-CH"/>
    </w:rPr>
  </w:style>
  <w:style w:type="character" w:customStyle="1" w:styleId="Internetlink">
    <w:name w:val="Internet link"/>
    <w:rPr>
      <w:color w:val="00000A"/>
      <w:u w:val="none"/>
    </w:rPr>
  </w:style>
  <w:style w:type="character" w:styleId="FollowedHyperlink">
    <w:name w:val="FollowedHyperlink"/>
    <w:rPr>
      <w:color w:val="00000A"/>
      <w:u w:val="none"/>
    </w:rPr>
  </w:style>
  <w:style w:type="character" w:customStyle="1" w:styleId="HChGChar">
    <w:name w:val="_ H _Ch_G Char"/>
    <w:rPr>
      <w:b/>
      <w:sz w:val="28"/>
      <w:lang w:val="fr-CH" w:eastAsia="en-US" w:bidi="ar-SA"/>
    </w:rPr>
  </w:style>
  <w:style w:type="character" w:customStyle="1" w:styleId="SingleTxtGChar">
    <w:name w:val="_ Single Txt_G Char"/>
    <w:rPr>
      <w:lang w:val="fr-CH" w:eastAsia="en-US" w:bidi="ar-SA"/>
    </w:rPr>
  </w:style>
  <w:style w:type="character" w:customStyle="1" w:styleId="HChGCar">
    <w:name w:val="_ H _Ch_G Car"/>
    <w:rPr>
      <w:b/>
      <w:sz w:val="28"/>
      <w:lang w:val="fr-CH" w:eastAsia="en-US" w:bidi="ar-SA"/>
    </w:rPr>
  </w:style>
  <w:style w:type="character" w:customStyle="1" w:styleId="TextedebullesCar">
    <w:name w:val="Texte de bulles Car"/>
    <w:rPr>
      <w:rFonts w:ascii="Tahoma" w:eastAsia="Tahoma" w:hAnsi="Tahoma" w:cs="Tahoma"/>
      <w:sz w:val="16"/>
      <w:szCs w:val="16"/>
      <w:lang w:val="fr-CH" w:eastAsia="en-US"/>
    </w:rPr>
  </w:style>
  <w:style w:type="character" w:styleId="PlaceholderText">
    <w:name w:val="Placeholder Text"/>
    <w:basedOn w:val="DefaultParagraphFont"/>
    <w:rPr>
      <w:color w:val="808080"/>
    </w:rPr>
  </w:style>
  <w:style w:type="character" w:styleId="CommentReference">
    <w:name w:val="annotation reference"/>
    <w:basedOn w:val="DefaultParagraphFont"/>
    <w:rPr>
      <w:sz w:val="16"/>
      <w:szCs w:val="16"/>
    </w:rPr>
  </w:style>
  <w:style w:type="character" w:customStyle="1" w:styleId="CommentaireCar">
    <w:name w:val="Commentaire Car"/>
    <w:basedOn w:val="DefaultParagraphFont"/>
    <w:rPr>
      <w:lang w:val="fr-CH" w:eastAsia="en-US"/>
    </w:rPr>
  </w:style>
  <w:style w:type="character" w:customStyle="1" w:styleId="ObjetducommentaireCar">
    <w:name w:val="Objet du commentaire Car"/>
    <w:basedOn w:val="CommentaireCar"/>
    <w:rPr>
      <w:b/>
      <w:bCs/>
      <w:lang w:val="fr-CH" w:eastAsia="en-US"/>
    </w:rPr>
  </w:style>
  <w:style w:type="character" w:customStyle="1" w:styleId="ListLabel1">
    <w:name w:val="ListLabel 1"/>
    <w:rPr>
      <w:rFonts w:cs="Times New Roman"/>
    </w:rPr>
  </w:style>
  <w:style w:type="character" w:customStyle="1" w:styleId="ListLabel2">
    <w:name w:val="ListLabel 2"/>
    <w:rPr>
      <w:b w:val="0"/>
      <w:i w:val="0"/>
      <w:sz w:val="20"/>
    </w:rPr>
  </w:style>
  <w:style w:type="character" w:customStyle="1" w:styleId="ListLabel3">
    <w:name w:val="ListLabel 3"/>
    <w:rPr>
      <w:lang w:val="en-US"/>
    </w:rPr>
  </w:style>
  <w:style w:type="character" w:customStyle="1" w:styleId="ListLabel4">
    <w:name w:val="ListLabel 4"/>
    <w:rPr>
      <w:rFonts w:eastAsia="Times New Roman"/>
    </w:rPr>
  </w:style>
  <w:style w:type="character" w:customStyle="1" w:styleId="ListLabel5">
    <w:name w:val="ListLabel 5"/>
    <w:rPr>
      <w:rFonts w:eastAsia="Times New Roman" w:cs="Times New Roman"/>
      <w:sz w:val="20"/>
    </w:rPr>
  </w:style>
  <w:style w:type="character" w:customStyle="1" w:styleId="ListLabel6">
    <w:name w:val="ListLabel 6"/>
    <w:rPr>
      <w:rFonts w:cs="Courier New"/>
    </w:rPr>
  </w:style>
  <w:style w:type="character" w:customStyle="1" w:styleId="ListLabel7">
    <w:name w:val="ListLabel 7"/>
    <w:rPr>
      <w:b/>
    </w:rPr>
  </w:style>
  <w:style w:type="character" w:customStyle="1" w:styleId="EndnoteSymbol">
    <w:name w:val="Endnote Symbol"/>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numbering" w:customStyle="1" w:styleId="WWNum12">
    <w:name w:val="WWNum12"/>
    <w:basedOn w:val="NoList"/>
    <w:pPr>
      <w:numPr>
        <w:numId w:val="13"/>
      </w:numPr>
    </w:pPr>
  </w:style>
  <w:style w:type="numbering" w:customStyle="1" w:styleId="WWNum13">
    <w:name w:val="WWNum13"/>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6">
    <w:name w:val="WWNum16"/>
    <w:basedOn w:val="NoList"/>
    <w:pPr>
      <w:numPr>
        <w:numId w:val="17"/>
      </w:numPr>
    </w:pPr>
  </w:style>
  <w:style w:type="numbering" w:customStyle="1" w:styleId="WWNum17">
    <w:name w:val="WWNum17"/>
    <w:basedOn w:val="NoList"/>
    <w:pPr>
      <w:numPr>
        <w:numId w:val="18"/>
      </w:numPr>
    </w:pPr>
  </w:style>
  <w:style w:type="numbering" w:customStyle="1" w:styleId="WWNum18">
    <w:name w:val="WWNum18"/>
    <w:basedOn w:val="NoList"/>
    <w:pPr>
      <w:numPr>
        <w:numId w:val="19"/>
      </w:numPr>
    </w:pPr>
  </w:style>
  <w:style w:type="numbering" w:customStyle="1" w:styleId="WWNum19">
    <w:name w:val="WWNum19"/>
    <w:basedOn w:val="NoList"/>
    <w:pPr>
      <w:numPr>
        <w:numId w:val="20"/>
      </w:numPr>
    </w:pPr>
  </w:style>
  <w:style w:type="numbering" w:customStyle="1" w:styleId="WWNum20">
    <w:name w:val="WWNum20"/>
    <w:basedOn w:val="NoList"/>
    <w:pPr>
      <w:numPr>
        <w:numId w:val="21"/>
      </w:numPr>
    </w:pPr>
  </w:style>
  <w:style w:type="numbering" w:customStyle="1" w:styleId="WWNum21">
    <w:name w:val="WWNum21"/>
    <w:basedOn w:val="NoList"/>
    <w:pPr>
      <w:numPr>
        <w:numId w:val="22"/>
      </w:numPr>
    </w:pPr>
  </w:style>
  <w:style w:type="numbering" w:customStyle="1" w:styleId="WWNum22">
    <w:name w:val="WWNum22"/>
    <w:basedOn w:val="NoList"/>
    <w:pPr>
      <w:numPr>
        <w:numId w:val="23"/>
      </w:numPr>
    </w:pPr>
  </w:style>
  <w:style w:type="numbering" w:customStyle="1" w:styleId="WWNum23">
    <w:name w:val="WWNum23"/>
    <w:basedOn w:val="NoList"/>
    <w:pPr>
      <w:numPr>
        <w:numId w:val="24"/>
      </w:numPr>
    </w:pPr>
  </w:style>
  <w:style w:type="numbering" w:customStyle="1" w:styleId="WWNum24">
    <w:name w:val="WWNum24"/>
    <w:basedOn w:val="NoList"/>
    <w:pPr>
      <w:numPr>
        <w:numId w:val="25"/>
      </w:numPr>
    </w:pPr>
  </w:style>
  <w:style w:type="numbering" w:customStyle="1" w:styleId="WWNum25">
    <w:name w:val="WWNum25"/>
    <w:basedOn w:val="NoList"/>
    <w:pPr>
      <w:numPr>
        <w:numId w:val="26"/>
      </w:numPr>
    </w:pPr>
  </w:style>
  <w:style w:type="numbering" w:customStyle="1" w:styleId="WWNum26">
    <w:name w:val="WWNum26"/>
    <w:basedOn w:val="NoList"/>
    <w:pPr>
      <w:numPr>
        <w:numId w:val="27"/>
      </w:numPr>
    </w:pPr>
  </w:style>
  <w:style w:type="numbering" w:customStyle="1" w:styleId="WWNum27">
    <w:name w:val="WWNum27"/>
    <w:basedOn w:val="NoList"/>
    <w:pPr>
      <w:numPr>
        <w:numId w:val="28"/>
      </w:numPr>
    </w:pPr>
  </w:style>
  <w:style w:type="numbering" w:customStyle="1" w:styleId="WWNum28">
    <w:name w:val="WWNum28"/>
    <w:basedOn w:val="NoList"/>
    <w:pPr>
      <w:numPr>
        <w:numId w:val="29"/>
      </w:numPr>
    </w:pPr>
  </w:style>
  <w:style w:type="numbering" w:customStyle="1" w:styleId="WWNum29">
    <w:name w:val="WWNum29"/>
    <w:basedOn w:val="NoList"/>
    <w:pPr>
      <w:numPr>
        <w:numId w:val="30"/>
      </w:numPr>
    </w:pPr>
  </w:style>
  <w:style w:type="numbering" w:customStyle="1" w:styleId="WWNum30">
    <w:name w:val="WWNum30"/>
    <w:basedOn w:val="NoList"/>
    <w:pPr>
      <w:numPr>
        <w:numId w:val="31"/>
      </w:numPr>
    </w:pPr>
  </w:style>
  <w:style w:type="numbering" w:customStyle="1" w:styleId="WWNum31">
    <w:name w:val="WWNum31"/>
    <w:basedOn w:val="NoList"/>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ECE/TRANS/WP.11/2013/12</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ECE/TRANS/WP.11/2013/12</dc:title>
  <dc:subject>F</dc:subject>
  <dc:creator>C. Ronfini</dc:creator>
  <cp:lastModifiedBy>Secretariat</cp:lastModifiedBy>
  <cp:revision>6</cp:revision>
  <cp:lastPrinted>2018-05-17T15:03:00Z</cp:lastPrinted>
  <dcterms:created xsi:type="dcterms:W3CDTF">2018-08-22T12:27:00Z</dcterms:created>
  <dcterms:modified xsi:type="dcterms:W3CDTF">2018-09-17T12:50:00Z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CSD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