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A40B4" w:rsidP="00EA40B4">
            <w:pPr>
              <w:suppressAutoHyphens w:val="0"/>
              <w:spacing w:after="20"/>
              <w:jc w:val="right"/>
            </w:pPr>
            <w:r w:rsidRPr="00EA40B4">
              <w:rPr>
                <w:sz w:val="40"/>
              </w:rPr>
              <w:t>ECE</w:t>
            </w:r>
            <w:r>
              <w:t>/TRANS/WP.11/2018/2</w:t>
            </w:r>
            <w:r w:rsidR="00B94113">
              <w:t>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A40B4" w:rsidP="00EA40B4">
            <w:pPr>
              <w:spacing w:before="240"/>
            </w:pPr>
            <w:r>
              <w:t>Distr.: General</w:t>
            </w:r>
          </w:p>
          <w:p w:rsidR="00EA40B4" w:rsidRDefault="00B94113" w:rsidP="00EA40B4">
            <w:pPr>
              <w:suppressAutoHyphens w:val="0"/>
            </w:pPr>
            <w:r>
              <w:t>2</w:t>
            </w:r>
            <w:r w:rsidR="00DE6070">
              <w:t>1</w:t>
            </w:r>
            <w:r w:rsidR="00EA40B4">
              <w:t xml:space="preserve"> </w:t>
            </w:r>
            <w:r>
              <w:t>September</w:t>
            </w:r>
            <w:r w:rsidR="00EA40B4">
              <w:t xml:space="preserve"> 2018</w:t>
            </w:r>
          </w:p>
          <w:p w:rsidR="00EA40B4" w:rsidRDefault="00D93087" w:rsidP="00EA40B4">
            <w:pPr>
              <w:suppressAutoHyphens w:val="0"/>
            </w:pPr>
            <w:r>
              <w:t>English</w:t>
            </w:r>
            <w:bookmarkStart w:id="0" w:name="_GoBack"/>
            <w:bookmarkEnd w:id="0"/>
          </w:p>
          <w:p w:rsidR="00EA40B4" w:rsidRDefault="00EA40B4" w:rsidP="00EA40B4">
            <w:pPr>
              <w:suppressAutoHyphens w:val="0"/>
            </w:pPr>
            <w:r>
              <w:t xml:space="preserve">Original: </w:t>
            </w:r>
            <w:r w:rsidR="00B94113">
              <w:t>English, French and Russian</w:t>
            </w:r>
          </w:p>
        </w:tc>
      </w:tr>
    </w:tbl>
    <w:p w:rsidR="006E6E27" w:rsidRDefault="006E6E27" w:rsidP="006E6E27">
      <w:pPr>
        <w:spacing w:before="120"/>
        <w:rPr>
          <w:b/>
          <w:sz w:val="28"/>
          <w:szCs w:val="28"/>
        </w:rPr>
      </w:pPr>
      <w:r>
        <w:rPr>
          <w:b/>
          <w:sz w:val="28"/>
          <w:szCs w:val="28"/>
        </w:rPr>
        <w:t>Economic Commission for Europe</w:t>
      </w:r>
    </w:p>
    <w:p w:rsidR="006E6E27" w:rsidRDefault="006E6E27" w:rsidP="006E6E27">
      <w:pPr>
        <w:spacing w:before="120"/>
        <w:rPr>
          <w:sz w:val="28"/>
          <w:szCs w:val="28"/>
        </w:rPr>
      </w:pPr>
      <w:r>
        <w:rPr>
          <w:sz w:val="28"/>
          <w:szCs w:val="28"/>
        </w:rPr>
        <w:t>Inland Transport Committee</w:t>
      </w:r>
    </w:p>
    <w:p w:rsidR="006E6E27" w:rsidRPr="00EB6547" w:rsidRDefault="006E6E27" w:rsidP="006E6E27">
      <w:pPr>
        <w:spacing w:before="120" w:after="120"/>
        <w:rPr>
          <w:b/>
          <w:sz w:val="24"/>
          <w:szCs w:val="24"/>
        </w:rPr>
      </w:pPr>
      <w:r>
        <w:rPr>
          <w:b/>
          <w:sz w:val="24"/>
          <w:szCs w:val="24"/>
        </w:rPr>
        <w:t xml:space="preserve">Working Party on the Transport of </w:t>
      </w:r>
      <w:r w:rsidRPr="00EB6547">
        <w:rPr>
          <w:b/>
          <w:sz w:val="24"/>
          <w:szCs w:val="24"/>
        </w:rPr>
        <w:t>Perishable Foodstuffs</w:t>
      </w:r>
    </w:p>
    <w:p w:rsidR="006E6E27" w:rsidRPr="00570BF8" w:rsidRDefault="006E6E27" w:rsidP="006E6E27">
      <w:pPr>
        <w:rPr>
          <w:b/>
        </w:rPr>
      </w:pPr>
      <w:r w:rsidRPr="00570BF8">
        <w:rPr>
          <w:b/>
        </w:rPr>
        <w:t>Seventy-</w:t>
      </w:r>
      <w:r>
        <w:rPr>
          <w:b/>
        </w:rPr>
        <w:t xml:space="preserve">fourth </w:t>
      </w:r>
      <w:r w:rsidRPr="00570BF8">
        <w:rPr>
          <w:b/>
        </w:rPr>
        <w:t>session</w:t>
      </w:r>
    </w:p>
    <w:p w:rsidR="006E6E27" w:rsidRPr="00570BF8" w:rsidRDefault="006E6E27" w:rsidP="006E6E27">
      <w:r w:rsidRPr="00570BF8">
        <w:t xml:space="preserve">Geneva, </w:t>
      </w:r>
      <w:r w:rsidR="00213ECD">
        <w:t>8–</w:t>
      </w:r>
      <w:r>
        <w:t>12</w:t>
      </w:r>
      <w:r w:rsidRPr="00570BF8">
        <w:t xml:space="preserve"> October 201</w:t>
      </w:r>
      <w:r>
        <w:t>8</w:t>
      </w:r>
    </w:p>
    <w:p w:rsidR="006E6E27" w:rsidRPr="00570BF8" w:rsidRDefault="006E6E27" w:rsidP="006E6E27">
      <w:r w:rsidRPr="00570BF8">
        <w:t xml:space="preserve">Item </w:t>
      </w:r>
      <w:r>
        <w:t>6</w:t>
      </w:r>
      <w:r w:rsidRPr="00570BF8">
        <w:t xml:space="preserve"> (</w:t>
      </w:r>
      <w:r w:rsidR="00D92E99">
        <w:t>b</w:t>
      </w:r>
      <w:r w:rsidRPr="00570BF8">
        <w:t>) of the provisional agenda</w:t>
      </w:r>
    </w:p>
    <w:p w:rsidR="006E6E27" w:rsidRPr="00570BF8" w:rsidRDefault="006E6E27" w:rsidP="006E6E27">
      <w:pPr>
        <w:rPr>
          <w:b/>
        </w:rPr>
      </w:pPr>
      <w:r w:rsidRPr="00570BF8">
        <w:rPr>
          <w:b/>
        </w:rPr>
        <w:t xml:space="preserve">Proposals of amendments to ATP: </w:t>
      </w:r>
    </w:p>
    <w:p w:rsidR="006E6E27" w:rsidRPr="00570BF8" w:rsidRDefault="00D92E99" w:rsidP="006E6E27">
      <w:pPr>
        <w:rPr>
          <w:b/>
        </w:rPr>
      </w:pPr>
      <w:r>
        <w:rPr>
          <w:b/>
        </w:rPr>
        <w:t>New</w:t>
      </w:r>
      <w:r w:rsidR="006E6E27">
        <w:rPr>
          <w:b/>
        </w:rPr>
        <w:t xml:space="preserve"> </w:t>
      </w:r>
      <w:r w:rsidR="006E6E27" w:rsidRPr="00570BF8">
        <w:rPr>
          <w:b/>
        </w:rPr>
        <w:t>proposals</w:t>
      </w:r>
    </w:p>
    <w:p w:rsidR="006E6E27" w:rsidRDefault="006E6E27" w:rsidP="001A24AE">
      <w:pPr>
        <w:pStyle w:val="HChG"/>
      </w:pPr>
      <w:r>
        <w:tab/>
      </w:r>
      <w:r>
        <w:tab/>
      </w:r>
      <w:r w:rsidR="001A24AE" w:rsidRPr="001A24AE">
        <w:rPr>
          <w:bCs/>
          <w:lang w:val="en-US"/>
        </w:rPr>
        <w:t>Temporary certificate for a limited production of prototypes</w:t>
      </w:r>
    </w:p>
    <w:p w:rsidR="006E6E27" w:rsidRDefault="006E6E27" w:rsidP="00D61E6B">
      <w:pPr>
        <w:pStyle w:val="H1G"/>
      </w:pPr>
      <w:r>
        <w:tab/>
      </w:r>
      <w:r>
        <w:tab/>
        <w:t xml:space="preserve">Transmitted by </w:t>
      </w:r>
      <w:proofErr w:type="spellStart"/>
      <w:r w:rsidR="00D61E6B" w:rsidRPr="00D61E6B">
        <w:rPr>
          <w:lang w:val="fr-FR"/>
        </w:rPr>
        <w:t>Transfrigoroute</w:t>
      </w:r>
      <w:proofErr w:type="spellEnd"/>
      <w:r w:rsidR="00D61E6B" w:rsidRPr="00D61E6B">
        <w:rPr>
          <w:lang w:val="fr-FR"/>
        </w:rPr>
        <w:t xml:space="preserve"> International</w:t>
      </w:r>
    </w:p>
    <w:p w:rsidR="006E6E27" w:rsidRDefault="006E6E27" w:rsidP="00D61E6B">
      <w:pPr>
        <w:pStyle w:val="HChG"/>
      </w:pPr>
      <w:r>
        <w:tab/>
      </w:r>
      <w:r>
        <w:tab/>
      </w:r>
      <w:proofErr w:type="spellStart"/>
      <w:r w:rsidR="00D61E6B" w:rsidRPr="00D61E6B">
        <w:rPr>
          <w:lang w:val="fr-FR"/>
        </w:rPr>
        <w:t>Context</w:t>
      </w:r>
      <w:proofErr w:type="spellEnd"/>
    </w:p>
    <w:p w:rsidR="006E6E27" w:rsidRDefault="006E6E27" w:rsidP="00D61E6B">
      <w:pPr>
        <w:pStyle w:val="SingleTxtG"/>
        <w:keepNext/>
        <w:keepLines/>
      </w:pPr>
      <w:r>
        <w:t>1.</w:t>
      </w:r>
      <w:r>
        <w:tab/>
      </w:r>
      <w:r w:rsidR="00D61E6B" w:rsidRPr="00D61E6B">
        <w:rPr>
          <w:lang w:val="en-US"/>
        </w:rPr>
        <w:t>When a manufacturer of either insulated bodies or refrigeration equipment wishes to introduce a prototype to the market place a field trial for a limited quantity of equipment is usually required.</w:t>
      </w:r>
    </w:p>
    <w:p w:rsidR="006E6E27" w:rsidRDefault="006E6E27" w:rsidP="00D61E6B">
      <w:pPr>
        <w:pStyle w:val="HChG"/>
      </w:pPr>
      <w:r>
        <w:tab/>
      </w:r>
      <w:r>
        <w:tab/>
      </w:r>
      <w:r w:rsidR="00D61E6B" w:rsidRPr="00D61E6B">
        <w:rPr>
          <w:lang w:val="fr-FR"/>
        </w:rPr>
        <w:t>State of art</w:t>
      </w:r>
    </w:p>
    <w:p w:rsidR="00D61E6B" w:rsidRPr="00D61E6B" w:rsidRDefault="00D61E6B" w:rsidP="00D61E6B">
      <w:pPr>
        <w:pStyle w:val="SingleTxtG"/>
        <w:rPr>
          <w:lang w:val="en-US"/>
        </w:rPr>
      </w:pPr>
      <w:r>
        <w:t>2</w:t>
      </w:r>
      <w:r w:rsidR="006E6E27">
        <w:t>.</w:t>
      </w:r>
      <w:r w:rsidR="006E6E27">
        <w:tab/>
      </w:r>
      <w:r w:rsidRPr="00D61E6B">
        <w:rPr>
          <w:lang w:val="en-US"/>
        </w:rPr>
        <w:t xml:space="preserve">Currently no </w:t>
      </w:r>
      <w:proofErr w:type="gramStart"/>
      <w:r w:rsidRPr="00D61E6B">
        <w:rPr>
          <w:lang w:val="en-US"/>
        </w:rPr>
        <w:t>cross border</w:t>
      </w:r>
      <w:proofErr w:type="gramEnd"/>
      <w:r w:rsidRPr="00D61E6B">
        <w:rPr>
          <w:lang w:val="en-US"/>
        </w:rPr>
        <w:t xml:space="preserve"> tests of a refrigerated vehicle can be done in different climate conditions.</w:t>
      </w:r>
    </w:p>
    <w:p w:rsidR="006E6E27" w:rsidRDefault="00D61E6B" w:rsidP="00D61E6B">
      <w:pPr>
        <w:pStyle w:val="SingleTxtG"/>
      </w:pPr>
      <w:r>
        <w:rPr>
          <w:lang w:val="en-US"/>
        </w:rPr>
        <w:t>3.</w:t>
      </w:r>
      <w:r>
        <w:rPr>
          <w:lang w:val="en-US"/>
        </w:rPr>
        <w:tab/>
      </w:r>
      <w:proofErr w:type="gramStart"/>
      <w:r w:rsidRPr="00D61E6B">
        <w:rPr>
          <w:lang w:val="en-US"/>
        </w:rPr>
        <w:t>However</w:t>
      </w:r>
      <w:proofErr w:type="gramEnd"/>
      <w:r w:rsidRPr="00D61E6B">
        <w:rPr>
          <w:lang w:val="en-US"/>
        </w:rPr>
        <w:t xml:space="preserve"> qualification testing is necessary for various external temperature conditions for the different ATP classes.</w:t>
      </w:r>
      <w:r w:rsidR="006E6E27">
        <w:t xml:space="preserve"> </w:t>
      </w:r>
    </w:p>
    <w:p w:rsidR="006E6E27" w:rsidRDefault="006E6E27" w:rsidP="00D61E6B">
      <w:pPr>
        <w:pStyle w:val="HChG"/>
      </w:pPr>
      <w:r>
        <w:tab/>
      </w:r>
      <w:r>
        <w:tab/>
      </w:r>
      <w:r w:rsidR="00D61E6B" w:rsidRPr="00D61E6B">
        <w:rPr>
          <w:lang w:val="en-US"/>
        </w:rPr>
        <w:t>Technical impact of the proposed measure</w:t>
      </w:r>
    </w:p>
    <w:p w:rsidR="006E6E27" w:rsidRDefault="00D61E6B" w:rsidP="00D61E6B">
      <w:pPr>
        <w:pStyle w:val="SingleTxtG"/>
      </w:pPr>
      <w:r>
        <w:t>4</w:t>
      </w:r>
      <w:r w:rsidR="006E6E27">
        <w:t>.</w:t>
      </w:r>
      <w:r w:rsidR="006E6E27">
        <w:tab/>
      </w:r>
      <w:r w:rsidRPr="00D61E6B">
        <w:rPr>
          <w:lang w:val="en-US"/>
        </w:rPr>
        <w:t>Improve the future robustness of the design, improve energy efficiency and reduce environmental impact.</w:t>
      </w:r>
    </w:p>
    <w:p w:rsidR="006E6E27" w:rsidRDefault="006E6E27" w:rsidP="00D61E6B">
      <w:pPr>
        <w:pStyle w:val="HChG"/>
      </w:pPr>
      <w:r>
        <w:tab/>
      </w:r>
      <w:r>
        <w:tab/>
      </w:r>
      <w:r w:rsidR="00D61E6B" w:rsidRPr="00D61E6B">
        <w:rPr>
          <w:lang w:val="en-US"/>
        </w:rPr>
        <w:t>Economic impact of the proposed measure</w:t>
      </w:r>
    </w:p>
    <w:p w:rsidR="006E6E27" w:rsidRDefault="00D61E6B" w:rsidP="00D61E6B">
      <w:pPr>
        <w:pStyle w:val="SingleTxtG"/>
      </w:pPr>
      <w:r>
        <w:t>5</w:t>
      </w:r>
      <w:r w:rsidR="006E6E27">
        <w:t>.</w:t>
      </w:r>
      <w:r w:rsidR="006E6E27">
        <w:tab/>
      </w:r>
      <w:r w:rsidRPr="00D61E6B">
        <w:rPr>
          <w:lang w:val="en-US"/>
        </w:rPr>
        <w:t>Avoid technical changes or repairs after the commercial launch</w:t>
      </w:r>
      <w:r w:rsidR="006E6E27">
        <w:t>.</w:t>
      </w:r>
    </w:p>
    <w:p w:rsidR="00D61E6B" w:rsidRDefault="00D61E6B" w:rsidP="00D61E6B">
      <w:pPr>
        <w:pStyle w:val="HChG"/>
        <w:rPr>
          <w:lang w:val="en-US"/>
        </w:rPr>
      </w:pPr>
      <w:r>
        <w:rPr>
          <w:lang w:val="en-US"/>
        </w:rPr>
        <w:lastRenderedPageBreak/>
        <w:tab/>
      </w:r>
      <w:r>
        <w:rPr>
          <w:lang w:val="en-US"/>
        </w:rPr>
        <w:tab/>
      </w:r>
      <w:r w:rsidRPr="00D61E6B">
        <w:rPr>
          <w:lang w:val="en-US"/>
        </w:rPr>
        <w:t>Environmental impact of the proposed measure</w:t>
      </w:r>
    </w:p>
    <w:p w:rsidR="00D61E6B" w:rsidRPr="00D61E6B" w:rsidRDefault="00D61E6B" w:rsidP="00D61E6B">
      <w:pPr>
        <w:pStyle w:val="SingleTxtG"/>
        <w:rPr>
          <w:lang w:val="en-US"/>
        </w:rPr>
      </w:pPr>
      <w:r>
        <w:t>6.</w:t>
      </w:r>
      <w:r>
        <w:tab/>
      </w:r>
      <w:r w:rsidRPr="00D61E6B">
        <w:rPr>
          <w:lang w:val="en-US"/>
        </w:rPr>
        <w:t>Avoid refrigerant leakage and energy efficiency</w:t>
      </w:r>
    </w:p>
    <w:p w:rsidR="00D61E6B" w:rsidRDefault="00D61E6B" w:rsidP="00D61E6B">
      <w:pPr>
        <w:pStyle w:val="SingleTxtG"/>
        <w:rPr>
          <w:lang w:val="en-US"/>
        </w:rPr>
      </w:pPr>
      <w:r>
        <w:rPr>
          <w:lang w:val="en-US"/>
        </w:rPr>
        <w:t>7.</w:t>
      </w:r>
      <w:r>
        <w:rPr>
          <w:lang w:val="en-US"/>
        </w:rPr>
        <w:tab/>
      </w:r>
      <w:r w:rsidRPr="00D61E6B">
        <w:rPr>
          <w:lang w:val="en-US"/>
        </w:rPr>
        <w:t>Evaluate costumer acceptances regarding (Noise / Weight / Energy consumption ….)</w:t>
      </w:r>
      <w:r>
        <w:rPr>
          <w:lang w:val="en-US"/>
        </w:rPr>
        <w:t>.</w:t>
      </w:r>
    </w:p>
    <w:p w:rsidR="00D61E6B" w:rsidRDefault="00D61E6B" w:rsidP="00D61E6B">
      <w:pPr>
        <w:pStyle w:val="HChG"/>
      </w:pPr>
      <w:r>
        <w:tab/>
      </w:r>
      <w:r>
        <w:tab/>
      </w:r>
      <w:r w:rsidRPr="00D61E6B">
        <w:t>Conclusion</w:t>
      </w:r>
    </w:p>
    <w:p w:rsidR="00D61E6B" w:rsidRDefault="00D61E6B" w:rsidP="00D61E6B">
      <w:pPr>
        <w:pStyle w:val="SingleTxtG"/>
      </w:pPr>
      <w:r>
        <w:t>8.</w:t>
      </w:r>
      <w:r>
        <w:tab/>
      </w:r>
      <w:r w:rsidRPr="00D61E6B">
        <w:rPr>
          <w:lang w:val="en-US"/>
        </w:rPr>
        <w:t>Introduce a procedure to be applied by the competent authority for issuing temporary time defined technical conformity certificates to facilitate cross border field trial or prototypes.</w:t>
      </w:r>
    </w:p>
    <w:p w:rsidR="00D61E6B" w:rsidRDefault="00D61E6B" w:rsidP="00D61E6B">
      <w:pPr>
        <w:pStyle w:val="HChG"/>
      </w:pPr>
      <w:r>
        <w:tab/>
      </w:r>
      <w:r>
        <w:tab/>
      </w:r>
      <w:r w:rsidRPr="00D61E6B">
        <w:t>ATP Proposal of amendment (if applicable)</w:t>
      </w:r>
    </w:p>
    <w:p w:rsidR="00D61E6B" w:rsidRPr="00D61E6B" w:rsidRDefault="00D61E6B" w:rsidP="00D61E6B">
      <w:pPr>
        <w:pStyle w:val="SingleTxtG"/>
        <w:rPr>
          <w:lang w:val="en-US"/>
        </w:rPr>
      </w:pPr>
      <w:r w:rsidRPr="00D61E6B">
        <w:rPr>
          <w:lang w:val="en-US"/>
        </w:rPr>
        <w:t xml:space="preserve">Section of ATP concerns by the proposal: </w:t>
      </w:r>
      <w:r w:rsidRPr="00D61E6B">
        <w:rPr>
          <w:b/>
          <w:lang w:val="en-US"/>
        </w:rPr>
        <w:t>annex 1, appendix 2, paragraph 9</w:t>
      </w:r>
    </w:p>
    <w:p w:rsidR="00D61E6B" w:rsidRPr="00D61E6B" w:rsidRDefault="00D61E6B" w:rsidP="00D61E6B">
      <w:pPr>
        <w:pStyle w:val="SingleTxtG"/>
        <w:rPr>
          <w:lang w:val="en-US"/>
        </w:rPr>
      </w:pPr>
      <w:r w:rsidRPr="00D61E6B">
        <w:rPr>
          <w:lang w:val="en-US"/>
        </w:rPr>
        <w:t>List the relevant paragraph for instance:</w:t>
      </w:r>
    </w:p>
    <w:p w:rsidR="00D61E6B" w:rsidRPr="00D61E6B" w:rsidRDefault="00D61E6B" w:rsidP="00D61E6B">
      <w:pPr>
        <w:pStyle w:val="SingleTxtG"/>
        <w:rPr>
          <w:b/>
          <w:lang w:val="en-US"/>
        </w:rPr>
      </w:pPr>
      <w:r w:rsidRPr="00D61E6B">
        <w:rPr>
          <w:b/>
          <w:lang w:val="en-US"/>
        </w:rPr>
        <w:t xml:space="preserve">Creation of a new paragraph </w:t>
      </w:r>
    </w:p>
    <w:p w:rsidR="00D61E6B" w:rsidRPr="00D61E6B" w:rsidRDefault="00D61E6B" w:rsidP="00D61E6B">
      <w:pPr>
        <w:pStyle w:val="SingleTxtG"/>
        <w:rPr>
          <w:b/>
          <w:bCs/>
          <w:lang w:val="en-US"/>
        </w:rPr>
      </w:pPr>
      <w:r w:rsidRPr="00D61E6B">
        <w:rPr>
          <w:b/>
          <w:bCs/>
          <w:lang w:val="en-US"/>
        </w:rPr>
        <w:t xml:space="preserve">It is proposed to </w:t>
      </w:r>
      <w:r w:rsidRPr="00D61E6B">
        <w:rPr>
          <w:b/>
          <w:bCs/>
          <w:lang w:val="fr-FR"/>
        </w:rPr>
        <w:sym w:font="Wingdings" w:char="F071"/>
      </w:r>
      <w:r w:rsidRPr="00D61E6B">
        <w:rPr>
          <w:b/>
          <w:bCs/>
          <w:lang w:val="en-US"/>
        </w:rPr>
        <w:t xml:space="preserve"> add the following paragraph to the ATP</w:t>
      </w:r>
    </w:p>
    <w:p w:rsidR="00D61E6B" w:rsidRPr="00D61E6B" w:rsidRDefault="00D61E6B" w:rsidP="00D61E6B">
      <w:pPr>
        <w:pStyle w:val="SingleTxtG"/>
      </w:pPr>
      <w:r w:rsidRPr="00D61E6B">
        <w:rPr>
          <w:b/>
        </w:rPr>
        <w:t>9</w:t>
      </w:r>
      <w:r w:rsidRPr="00D61E6B">
        <w:t xml:space="preserve">. </w:t>
      </w:r>
      <w:r w:rsidRPr="00D61E6B">
        <w:rPr>
          <w:b/>
          <w:bCs/>
          <w:lang w:val="en-US"/>
        </w:rPr>
        <w:t>Temporary certificate for a l</w:t>
      </w:r>
      <w:r w:rsidR="00201B61">
        <w:rPr>
          <w:b/>
          <w:bCs/>
          <w:lang w:val="en-US"/>
        </w:rPr>
        <w:t>imited production of prototypes</w:t>
      </w:r>
    </w:p>
    <w:p w:rsidR="00D61E6B" w:rsidRPr="00D61E6B" w:rsidRDefault="00D61E6B" w:rsidP="00D61E6B">
      <w:pPr>
        <w:pStyle w:val="SingleTxtG"/>
      </w:pPr>
      <w:r w:rsidRPr="00D61E6B">
        <w:t xml:space="preserve">If it is technological necessary, a manufacturer must try a new equipment in real-life situation </w:t>
      </w:r>
      <w:proofErr w:type="gramStart"/>
      <w:r w:rsidRPr="00D61E6B">
        <w:t>in order to</w:t>
      </w:r>
      <w:proofErr w:type="gramEnd"/>
      <w:r w:rsidRPr="00D61E6B">
        <w:t xml:space="preserve"> finalize the development before carrying out the official tests. In this case, the competent authority may, </w:t>
      </w:r>
      <w:proofErr w:type="gramStart"/>
      <w:r w:rsidRPr="00D61E6B">
        <w:t>on the basis of</w:t>
      </w:r>
      <w:proofErr w:type="gramEnd"/>
      <w:r w:rsidRPr="00D61E6B">
        <w:t xml:space="preserve"> an evaluation provided by the official test station in charge of the new equipment type tests, issue a provisional technical conformity certificate valid for a maximum period of 12 months to the manufacturer who requests it in the limit of:</w:t>
      </w:r>
    </w:p>
    <w:p w:rsidR="00D61E6B" w:rsidRPr="00D61E6B" w:rsidRDefault="00D61E6B" w:rsidP="00D61E6B">
      <w:pPr>
        <w:pStyle w:val="Bullet1G"/>
        <w:rPr>
          <w:rFonts w:eastAsia="SimSun"/>
        </w:rPr>
      </w:pPr>
      <w:r w:rsidRPr="00D61E6B">
        <w:rPr>
          <w:rFonts w:eastAsia="SimSun"/>
        </w:rPr>
        <w:t xml:space="preserve">In the case of a new refrigerating unit, that the body of the vehicle has a valid official test report when it was build. </w:t>
      </w:r>
    </w:p>
    <w:p w:rsidR="00D61E6B" w:rsidRPr="00D61E6B" w:rsidRDefault="00D61E6B" w:rsidP="00D61E6B">
      <w:pPr>
        <w:pStyle w:val="Bullet1G"/>
        <w:rPr>
          <w:rFonts w:eastAsia="SimSun"/>
        </w:rPr>
      </w:pPr>
      <w:r w:rsidRPr="00D61E6B">
        <w:rPr>
          <w:rFonts w:eastAsia="SimSun"/>
        </w:rPr>
        <w:t xml:space="preserve">In the case of a new type of body, that the cooling system, if any, has a valid official test report when it was build. </w:t>
      </w:r>
    </w:p>
    <w:p w:rsidR="00D61E6B" w:rsidRPr="00D61E6B" w:rsidRDefault="00D61E6B" w:rsidP="00D61E6B">
      <w:pPr>
        <w:pStyle w:val="Bullet1G"/>
        <w:rPr>
          <w:rFonts w:eastAsia="SimSun"/>
        </w:rPr>
      </w:pPr>
      <w:r w:rsidRPr="00D61E6B">
        <w:rPr>
          <w:rFonts w:eastAsia="SimSun"/>
        </w:rPr>
        <w:t>That the required type tests had been planned prior to the issuance of the above-mentioned provisional certificate and that the official ATP test station chosen has issued a notice stating the test dates not more than 12 months after the date of issue of the provisional certificate,</w:t>
      </w:r>
    </w:p>
    <w:p w:rsidR="00D61E6B" w:rsidRPr="00D61E6B" w:rsidRDefault="00D61E6B" w:rsidP="00D61E6B">
      <w:pPr>
        <w:pStyle w:val="Bullet1G"/>
        <w:rPr>
          <w:rFonts w:eastAsia="SimSun"/>
        </w:rPr>
      </w:pPr>
      <w:r w:rsidRPr="00D61E6B">
        <w:rPr>
          <w:rFonts w:eastAsia="SimSun"/>
        </w:rPr>
        <w:t>That the technology in question requires the performance of a test to verify and / or to adapt the technology to the intended use.</w:t>
      </w:r>
    </w:p>
    <w:p w:rsidR="00D61E6B" w:rsidRPr="00D61E6B" w:rsidRDefault="00D61E6B" w:rsidP="00D61E6B">
      <w:pPr>
        <w:pStyle w:val="SingleTxtG"/>
      </w:pPr>
      <w:r w:rsidRPr="00D61E6B">
        <w:t xml:space="preserve">The official ATP test station shall carry out the necessary expertise to evaluate, </w:t>
      </w:r>
      <w:proofErr w:type="gramStart"/>
      <w:r w:rsidRPr="00D61E6B">
        <w:t>on the basis of</w:t>
      </w:r>
      <w:proofErr w:type="gramEnd"/>
      <w:r w:rsidRPr="00D61E6B">
        <w:t xml:space="preserve"> the information provided by the manufacturer, the conformity of the vehicle to the intended class. It provides a single report for the builder and the competent authority.</w:t>
      </w:r>
    </w:p>
    <w:p w:rsidR="00D61E6B" w:rsidRPr="00D61E6B" w:rsidRDefault="00D61E6B" w:rsidP="00D61E6B">
      <w:pPr>
        <w:pStyle w:val="SingleTxtG"/>
      </w:pPr>
      <w:r w:rsidRPr="00D61E6B">
        <w:t>Before the temporary certificate time limit expires, the conformity of the vehicle shall be re-evaluated by the competent authority using the official test report issued by the test station during the actual test.</w:t>
      </w:r>
    </w:p>
    <w:p w:rsidR="00D61E6B" w:rsidRPr="00D61E6B" w:rsidRDefault="00D61E6B" w:rsidP="00D61E6B">
      <w:pPr>
        <w:pStyle w:val="SingleTxtG"/>
      </w:pPr>
      <w:r w:rsidRPr="00D61E6B">
        <w:t xml:space="preserve">No other provisional certificate will be issued for any vehicle equipped with the same type of new equipment for the same temperature classes. However, the provisional certificate may be renewed once for a maximum period of 6 months if the vehicle passes with success a pull-down test. </w:t>
      </w:r>
    </w:p>
    <w:p w:rsidR="00D61E6B" w:rsidRPr="00D61E6B" w:rsidRDefault="00D61E6B" w:rsidP="00D61E6B">
      <w:pPr>
        <w:pStyle w:val="SingleTxtG"/>
      </w:pPr>
      <w:r w:rsidRPr="00D61E6B">
        <w:lastRenderedPageBreak/>
        <w:t>Application:</w:t>
      </w:r>
    </w:p>
    <w:p w:rsidR="00D61E6B" w:rsidRPr="00D61E6B" w:rsidRDefault="00D61E6B" w:rsidP="00D61E6B">
      <w:pPr>
        <w:pStyle w:val="SingleTxtG"/>
      </w:pPr>
      <w:r w:rsidRPr="00D61E6B">
        <w:t>The expert report made by the official ATP test station may be valid for a vehicle type certificate if the report concludes favourably to the good dimensional rules of the vehicle in accordance with ATP dimensioning procedures.</w:t>
      </w:r>
    </w:p>
    <w:p w:rsidR="00D61E6B" w:rsidRPr="00D61E6B" w:rsidRDefault="00D61E6B" w:rsidP="00D61E6B">
      <w:pPr>
        <w:pStyle w:val="SingleTxtG"/>
      </w:pPr>
      <w:r w:rsidRPr="00D61E6B">
        <w:t>The correspondence of the expert's report to the type certificate is valid for twelve months from the first request of certification requested by the manufacturer to the competent authority for a vehicle that is based thereon.</w:t>
      </w:r>
    </w:p>
    <w:p w:rsidR="00D61E6B" w:rsidRPr="00D61E6B" w:rsidRDefault="00D61E6B" w:rsidP="00D61E6B">
      <w:pPr>
        <w:pStyle w:val="SingleTxtG"/>
      </w:pPr>
      <w:proofErr w:type="gramStart"/>
      <w:r w:rsidRPr="00D61E6B">
        <w:t>On the basis of</w:t>
      </w:r>
      <w:proofErr w:type="gramEnd"/>
      <w:r w:rsidRPr="00D61E6B">
        <w:t xml:space="preserve"> this type certificate, a provisional certificate of a maximum duration of twelve months may be issued for the vehicle that entered in the type certificate.</w:t>
      </w:r>
    </w:p>
    <w:p w:rsidR="00D61E6B" w:rsidRPr="00D61E6B" w:rsidRDefault="00D61E6B" w:rsidP="00D61E6B">
      <w:pPr>
        <w:pStyle w:val="SingleTxtG"/>
      </w:pPr>
      <w:r w:rsidRPr="00D61E6B">
        <w:t xml:space="preserve">A limited number of vehicles </w:t>
      </w:r>
      <w:r w:rsidRPr="00D61E6B">
        <w:rPr>
          <w:b/>
        </w:rPr>
        <w:t>(50 max)</w:t>
      </w:r>
      <w:r w:rsidRPr="00D61E6B">
        <w:t xml:space="preserve"> with the new equipment and its variants can benefit from the type certificate mentioned above.</w:t>
      </w:r>
    </w:p>
    <w:p w:rsidR="00D61E6B" w:rsidRPr="00D61E6B" w:rsidRDefault="00D61E6B" w:rsidP="00D61E6B">
      <w:pPr>
        <w:pStyle w:val="SingleTxtG"/>
      </w:pPr>
      <w:r w:rsidRPr="00D61E6B">
        <w:t>As soon as a vehicle has been subject to an application for a provisional certificate, no other expertise of an official test station for the same type of machine may be accepted by the competent authority without modification of its class.</w:t>
      </w:r>
    </w:p>
    <w:p w:rsidR="00D61E6B" w:rsidRPr="00D61E6B" w:rsidRDefault="00D61E6B" w:rsidP="00D61E6B">
      <w:pPr>
        <w:pStyle w:val="SingleTxtG"/>
      </w:pPr>
      <w:r w:rsidRPr="00D61E6B">
        <w:t xml:space="preserve">Each provisional certificate may be renewed once at the expiry date on the basis of a </w:t>
      </w:r>
      <w:proofErr w:type="gramStart"/>
      <w:r w:rsidRPr="00D61E6B">
        <w:t>pull down</w:t>
      </w:r>
      <w:proofErr w:type="gramEnd"/>
      <w:r w:rsidRPr="00D61E6B">
        <w:t xml:space="preserve"> test in accordance with ATP requirements. This test is to be carried out in a test centre or in an official ATP test station.</w:t>
      </w:r>
    </w:p>
    <w:p w:rsidR="00D61E6B" w:rsidRPr="00D61E6B" w:rsidRDefault="00D61E6B" w:rsidP="00D61E6B">
      <w:pPr>
        <w:pStyle w:val="SingleTxtG"/>
      </w:pPr>
      <w:r w:rsidRPr="00D61E6B">
        <w:t>In the framework of a provisional certificate renewal, the total validity duration of the cumulative vehicle must be limited to twelve months inclusive (Total cumulative duration = validity duration of the first provisional certificate + validity duration of the provisional certificate renewed).</w:t>
      </w:r>
    </w:p>
    <w:p w:rsidR="007268F9" w:rsidRPr="006E6E27" w:rsidRDefault="006E6E27" w:rsidP="006E6E27">
      <w:pPr>
        <w:spacing w:before="240"/>
        <w:jc w:val="center"/>
        <w:rPr>
          <w:u w:val="single"/>
        </w:rPr>
      </w:pPr>
      <w:r>
        <w:rPr>
          <w:u w:val="single"/>
        </w:rPr>
        <w:tab/>
      </w:r>
      <w:r>
        <w:rPr>
          <w:u w:val="single"/>
        </w:rPr>
        <w:tab/>
      </w:r>
      <w:r>
        <w:rPr>
          <w:u w:val="single"/>
        </w:rPr>
        <w:tab/>
      </w:r>
    </w:p>
    <w:sectPr w:rsidR="007268F9" w:rsidRPr="006E6E27" w:rsidSect="00D61E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DB" w:rsidRPr="00FB1744" w:rsidRDefault="002E09DB" w:rsidP="00FB1744">
      <w:pPr>
        <w:pStyle w:val="Footer"/>
      </w:pPr>
    </w:p>
  </w:endnote>
  <w:endnote w:type="continuationSeparator" w:id="0">
    <w:p w:rsidR="002E09DB" w:rsidRPr="00FB1744" w:rsidRDefault="002E09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Footer"/>
      <w:tabs>
        <w:tab w:val="right" w:pos="9638"/>
      </w:tabs>
    </w:pP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850250">
      <w:rPr>
        <w:b/>
        <w:bCs/>
        <w:noProof/>
        <w:sz w:val="18"/>
      </w:rPr>
      <w:t>2</w:t>
    </w:r>
    <w:r w:rsidRPr="00EA40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Footer"/>
      <w:tabs>
        <w:tab w:val="right" w:pos="9638"/>
      </w:tabs>
    </w:pPr>
    <w:r>
      <w:tab/>
    </w: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6E6E27">
      <w:rPr>
        <w:b/>
        <w:bCs/>
        <w:noProof/>
        <w:sz w:val="18"/>
      </w:rPr>
      <w:t>3</w:t>
    </w:r>
    <w:r w:rsidRPr="00EA40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Pr="001A24AE" w:rsidRDefault="00EA40B4" w:rsidP="00EA40B4">
    <w:pPr>
      <w:spacing w:line="240" w:lineRule="auto"/>
      <w:rPr>
        <w:rFonts w:asciiTheme="majorBidi" w:hAnsiTheme="majorBidi" w:cstheme="maj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DB" w:rsidRPr="00FB1744" w:rsidRDefault="002E09DB" w:rsidP="00FB1744">
      <w:pPr>
        <w:tabs>
          <w:tab w:val="right" w:pos="2155"/>
        </w:tabs>
        <w:spacing w:after="80" w:line="240" w:lineRule="auto"/>
        <w:ind w:left="680"/>
      </w:pPr>
      <w:r>
        <w:rPr>
          <w:u w:val="single"/>
        </w:rPr>
        <w:tab/>
      </w:r>
    </w:p>
  </w:footnote>
  <w:footnote w:type="continuationSeparator" w:id="0">
    <w:p w:rsidR="002E09DB" w:rsidRPr="00FB1744" w:rsidRDefault="002E09D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Header"/>
    </w:pPr>
    <w:r>
      <w:t>ECE/TRANS/WP.11/2018/2</w:t>
    </w:r>
    <w:r w:rsidR="00D61E6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Header"/>
      <w:jc w:val="right"/>
    </w:pPr>
    <w:r>
      <w:t>ECE/TRANS/WP.11/2018/2</w:t>
    </w:r>
    <w:r w:rsidR="00D61E6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36601D9"/>
    <w:multiLevelType w:val="hybridMultilevel"/>
    <w:tmpl w:val="A0AA26D0"/>
    <w:lvl w:ilvl="0" w:tplc="725A4F6A">
      <w:start w:val="1"/>
      <w:numFmt w:val="bullet"/>
      <w:lvlText w:val=""/>
      <w:lvlJc w:val="left"/>
      <w:pPr>
        <w:ind w:left="720" w:hanging="360"/>
      </w:pPr>
      <w:rPr>
        <w:rFonts w:ascii="Symbol" w:hAnsi="Symbol"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E09DB"/>
    <w:rsid w:val="00046E92"/>
    <w:rsid w:val="000D1B89"/>
    <w:rsid w:val="001170DC"/>
    <w:rsid w:val="001A24AE"/>
    <w:rsid w:val="00201B61"/>
    <w:rsid w:val="00213ECD"/>
    <w:rsid w:val="00247E2C"/>
    <w:rsid w:val="002D6C53"/>
    <w:rsid w:val="002E09DB"/>
    <w:rsid w:val="002F5595"/>
    <w:rsid w:val="00334F6A"/>
    <w:rsid w:val="00342AC8"/>
    <w:rsid w:val="003B4550"/>
    <w:rsid w:val="00461253"/>
    <w:rsid w:val="005042C2"/>
    <w:rsid w:val="00506C12"/>
    <w:rsid w:val="0056599A"/>
    <w:rsid w:val="00587690"/>
    <w:rsid w:val="00671529"/>
    <w:rsid w:val="006E6E27"/>
    <w:rsid w:val="00717266"/>
    <w:rsid w:val="007268F9"/>
    <w:rsid w:val="007C52B0"/>
    <w:rsid w:val="00850250"/>
    <w:rsid w:val="008B7C1E"/>
    <w:rsid w:val="009411B4"/>
    <w:rsid w:val="0095702A"/>
    <w:rsid w:val="009D0139"/>
    <w:rsid w:val="009F5CDC"/>
    <w:rsid w:val="00A775CF"/>
    <w:rsid w:val="00AB3C7E"/>
    <w:rsid w:val="00B06045"/>
    <w:rsid w:val="00B94113"/>
    <w:rsid w:val="00C35A27"/>
    <w:rsid w:val="00D61E6B"/>
    <w:rsid w:val="00D92E99"/>
    <w:rsid w:val="00D93087"/>
    <w:rsid w:val="00DE6070"/>
    <w:rsid w:val="00E02C2B"/>
    <w:rsid w:val="00EA40B4"/>
    <w:rsid w:val="00ED6C48"/>
    <w:rsid w:val="00F65F5D"/>
    <w:rsid w:val="00F86A3A"/>
    <w:rsid w:val="00FA0BF2"/>
    <w:rsid w:val="00FB1744"/>
    <w:rsid w:val="00FB4A5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C4D3B"/>
  <w15:docId w15:val="{3BC1D200-A709-4033-BFF7-72BE310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8A26-8ECD-477C-9ACB-2C4E95B5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ECE/TRANS/WP.11/2018/26</vt:lpstr>
    </vt:vector>
  </TitlesOfParts>
  <Company>DCM</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ECE/TRANS/WP.11/2018/26</dc:title>
  <dc:subject>1812431</dc:subject>
  <dc:creator>CPM</dc:creator>
  <cp:keywords/>
  <dc:description/>
  <cp:lastModifiedBy>Secretariat</cp:lastModifiedBy>
  <cp:revision>9</cp:revision>
  <cp:lastPrinted>2018-09-19T16:11:00Z</cp:lastPrinted>
  <dcterms:created xsi:type="dcterms:W3CDTF">2018-09-19T15:43:00Z</dcterms:created>
  <dcterms:modified xsi:type="dcterms:W3CDTF">2018-09-20T16:52:00Z</dcterms:modified>
</cp:coreProperties>
</file>