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51C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51C6B" w:rsidP="00951C6B">
            <w:pPr>
              <w:jc w:val="right"/>
            </w:pPr>
            <w:r w:rsidRPr="00951C6B">
              <w:rPr>
                <w:sz w:val="40"/>
              </w:rPr>
              <w:t>ECE</w:t>
            </w:r>
            <w:r>
              <w:t>/TRANS/2018/8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51C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51C6B" w:rsidRDefault="00951C6B" w:rsidP="00951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951C6B" w:rsidRDefault="00951C6B" w:rsidP="00951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51C6B" w:rsidRPr="008D53B6" w:rsidRDefault="00951C6B" w:rsidP="00951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51C6B" w:rsidRPr="00F82464" w:rsidRDefault="00951C6B" w:rsidP="00951C6B">
      <w:pPr>
        <w:spacing w:before="120"/>
        <w:rPr>
          <w:sz w:val="28"/>
          <w:szCs w:val="28"/>
        </w:rPr>
      </w:pPr>
      <w:r w:rsidRPr="00F82464">
        <w:rPr>
          <w:sz w:val="28"/>
          <w:szCs w:val="28"/>
        </w:rPr>
        <w:t>Комитет по внутреннему транспорту</w:t>
      </w:r>
    </w:p>
    <w:p w:rsidR="00951C6B" w:rsidRPr="008A0609" w:rsidRDefault="00951C6B" w:rsidP="00951C6B">
      <w:pPr>
        <w:spacing w:before="120"/>
        <w:rPr>
          <w:b/>
          <w:bCs/>
        </w:rPr>
      </w:pPr>
      <w:r w:rsidRPr="008A0609">
        <w:rPr>
          <w:b/>
          <w:bCs/>
        </w:rPr>
        <w:t>Восьмидесятая сессия</w:t>
      </w:r>
    </w:p>
    <w:p w:rsidR="00951C6B" w:rsidRPr="008A0609" w:rsidRDefault="00951C6B" w:rsidP="00951C6B">
      <w:r w:rsidRPr="008A0609">
        <w:t>Женева, 20–23 февраля 2018 года</w:t>
      </w:r>
    </w:p>
    <w:p w:rsidR="00951C6B" w:rsidRPr="008A0609" w:rsidRDefault="00951C6B" w:rsidP="00951C6B">
      <w:r w:rsidRPr="008A0609">
        <w:t>Пункт 4 f) предварительной повестки дня</w:t>
      </w:r>
    </w:p>
    <w:p w:rsidR="00951C6B" w:rsidRPr="008A0609" w:rsidRDefault="00951C6B" w:rsidP="00951C6B">
      <w:pPr>
        <w:rPr>
          <w:b/>
          <w:bCs/>
        </w:rPr>
      </w:pPr>
      <w:r w:rsidRPr="008A0609">
        <w:rPr>
          <w:b/>
          <w:bCs/>
        </w:rPr>
        <w:t>Стратегические вопросы горизонтальной политики:</w:t>
      </w:r>
    </w:p>
    <w:p w:rsidR="00951C6B" w:rsidRPr="008A0609" w:rsidRDefault="00951C6B" w:rsidP="00951C6B">
      <w:pPr>
        <w:rPr>
          <w:b/>
          <w:bCs/>
        </w:rPr>
      </w:pPr>
      <w:r w:rsidRPr="008A0609">
        <w:rPr>
          <w:b/>
          <w:bCs/>
        </w:rPr>
        <w:t>Интеллектуальные транспортные системы</w:t>
      </w:r>
    </w:p>
    <w:p w:rsidR="00951C6B" w:rsidRPr="00951C6B" w:rsidRDefault="00951C6B" w:rsidP="00951C6B">
      <w:pPr>
        <w:pStyle w:val="HChGR"/>
      </w:pPr>
      <w:r>
        <w:tab/>
      </w:r>
      <w:r>
        <w:tab/>
      </w:r>
      <w:r w:rsidRPr="00951C6B">
        <w:t xml:space="preserve">Ход осуществления </w:t>
      </w:r>
      <w:r>
        <w:t>«</w:t>
      </w:r>
      <w:r w:rsidRPr="00951C6B">
        <w:t>дорожной карты</w:t>
      </w:r>
      <w:r>
        <w:t>»</w:t>
      </w:r>
      <w:r w:rsidRPr="00951C6B">
        <w:t xml:space="preserve"> по</w:t>
      </w:r>
      <w:r>
        <w:rPr>
          <w:lang w:val="en-US"/>
        </w:rPr>
        <w:t> </w:t>
      </w:r>
      <w:r w:rsidRPr="00951C6B">
        <w:t>интеллектуальным транспортным системам</w:t>
      </w:r>
    </w:p>
    <w:p w:rsidR="00E12C5F" w:rsidRDefault="00951C6B" w:rsidP="00951C6B">
      <w:pPr>
        <w:pStyle w:val="H1GR"/>
      </w:pPr>
      <w:r w:rsidRPr="00951C6B">
        <w:tab/>
      </w:r>
      <w:r w:rsidRPr="00951C6B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951C6B" w:rsidRPr="00951C6B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51C6B" w:rsidRPr="00951C6B" w:rsidRDefault="00951C6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51C6B">
              <w:rPr>
                <w:rFonts w:cs="Times New Roman"/>
              </w:rPr>
              <w:tab/>
            </w:r>
            <w:r w:rsidRPr="00951C6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51C6B" w:rsidRPr="00951C6B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51C6B" w:rsidRPr="00951C6B" w:rsidRDefault="00951C6B" w:rsidP="00951C6B">
            <w:pPr>
              <w:pStyle w:val="SingleTxtGR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51C6B">
              <w:t>В настоящем документе содержится обзор мероприятий по стимулиров</w:t>
            </w:r>
            <w:r w:rsidRPr="00951C6B">
              <w:t>а</w:t>
            </w:r>
            <w:r w:rsidRPr="00951C6B">
              <w:t xml:space="preserve">нию развития инновационных технологий в ходе реализации </w:t>
            </w:r>
            <w:r>
              <w:t>«</w:t>
            </w:r>
            <w:r w:rsidRPr="00951C6B">
              <w:t>дорожной карты</w:t>
            </w:r>
            <w:r>
              <w:t>»</w:t>
            </w:r>
            <w:r w:rsidRPr="00951C6B">
              <w:t xml:space="preserve"> по интеллектуальным транспортным системам (ИТС), о которой было объявл</w:t>
            </w:r>
            <w:r w:rsidRPr="00951C6B">
              <w:t>е</w:t>
            </w:r>
            <w:r w:rsidRPr="00951C6B">
              <w:t>но на семьдесят четвертой сессии Комитета по внутреннему транспорту.</w:t>
            </w:r>
          </w:p>
        </w:tc>
      </w:tr>
      <w:tr w:rsidR="00951C6B" w:rsidRPr="00951C6B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51C6B" w:rsidRPr="00951C6B" w:rsidRDefault="00951C6B" w:rsidP="00951C6B">
            <w:pPr>
              <w:pStyle w:val="SingleTxtGR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51C6B">
              <w:t xml:space="preserve">Комитету предлагается </w:t>
            </w:r>
            <w:r w:rsidRPr="00951C6B">
              <w:rPr>
                <w:b/>
                <w:bCs/>
              </w:rPr>
              <w:t>стимулировать</w:t>
            </w:r>
            <w:r w:rsidRPr="00951C6B">
              <w:t xml:space="preserve"> деятельность, способствующую мероприятиям по внедрению ИТС, в связи со всеми видами транспорта.</w:t>
            </w:r>
          </w:p>
        </w:tc>
      </w:tr>
      <w:tr w:rsidR="00951C6B" w:rsidRPr="00951C6B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51C6B" w:rsidRPr="00951C6B" w:rsidRDefault="00951C6B" w:rsidP="00850215">
            <w:pPr>
              <w:rPr>
                <w:rFonts w:cs="Times New Roman"/>
              </w:rPr>
            </w:pPr>
          </w:p>
        </w:tc>
      </w:tr>
    </w:tbl>
    <w:p w:rsidR="00951C6B" w:rsidRPr="00951C6B" w:rsidRDefault="00951C6B" w:rsidP="00951C6B">
      <w:pPr>
        <w:pStyle w:val="HChGR"/>
      </w:pPr>
      <w:r>
        <w:tab/>
      </w:r>
      <w:r w:rsidRPr="00951C6B">
        <w:t>I.</w:t>
      </w:r>
      <w:r w:rsidRPr="00951C6B">
        <w:tab/>
        <w:t>Справочная информация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1.</w:t>
      </w:r>
      <w:r w:rsidRPr="00951C6B">
        <w:rPr>
          <w:lang w:eastAsia="ru-RU"/>
        </w:rPr>
        <w:tab/>
        <w:t>В нижеследующих разделах настоящей записки охарактеризованы мер</w:t>
      </w:r>
      <w:r w:rsidRPr="00951C6B">
        <w:rPr>
          <w:lang w:eastAsia="ru-RU"/>
        </w:rPr>
        <w:t>о</w:t>
      </w:r>
      <w:r w:rsidRPr="00951C6B">
        <w:rPr>
          <w:lang w:eastAsia="ru-RU"/>
        </w:rPr>
        <w:t>приятия и инициативы по стимулированию применения инновационных техн</w:t>
      </w:r>
      <w:r w:rsidRPr="00951C6B">
        <w:rPr>
          <w:lang w:eastAsia="ru-RU"/>
        </w:rPr>
        <w:t>о</w:t>
      </w:r>
      <w:r w:rsidRPr="00951C6B">
        <w:rPr>
          <w:lang w:eastAsia="ru-RU"/>
        </w:rPr>
        <w:t xml:space="preserve">логий в целях осуществления </w:t>
      </w:r>
      <w:r>
        <w:rPr>
          <w:lang w:eastAsia="ru-RU"/>
        </w:rPr>
        <w:t>«</w:t>
      </w:r>
      <w:r w:rsidRPr="00951C6B">
        <w:rPr>
          <w:lang w:eastAsia="ru-RU"/>
        </w:rPr>
        <w:t>дорожной карты</w:t>
      </w:r>
      <w:r>
        <w:rPr>
          <w:lang w:eastAsia="ru-RU"/>
        </w:rPr>
        <w:t>»</w:t>
      </w:r>
      <w:r w:rsidRPr="00951C6B">
        <w:rPr>
          <w:lang w:eastAsia="ru-RU"/>
        </w:rPr>
        <w:t xml:space="preserve"> ЕЭК ООН по ИТС. В прил</w:t>
      </w:r>
      <w:r w:rsidRPr="00951C6B">
        <w:rPr>
          <w:lang w:eastAsia="ru-RU"/>
        </w:rPr>
        <w:t>о</w:t>
      </w:r>
      <w:r w:rsidRPr="00951C6B">
        <w:rPr>
          <w:lang w:eastAsia="ru-RU"/>
        </w:rPr>
        <w:t>жении представлено краткое описание 20 направлений деятельности, пред</w:t>
      </w:r>
      <w:r w:rsidRPr="00951C6B">
        <w:rPr>
          <w:lang w:eastAsia="ru-RU"/>
        </w:rPr>
        <w:t>у</w:t>
      </w:r>
      <w:r w:rsidRPr="00951C6B">
        <w:rPr>
          <w:lang w:eastAsia="ru-RU"/>
        </w:rPr>
        <w:t xml:space="preserve">смотренных </w:t>
      </w:r>
      <w:r>
        <w:rPr>
          <w:lang w:eastAsia="ru-RU"/>
        </w:rPr>
        <w:t>«</w:t>
      </w:r>
      <w:r w:rsidRPr="00951C6B">
        <w:rPr>
          <w:lang w:eastAsia="ru-RU"/>
        </w:rPr>
        <w:t>дорожной картой</w:t>
      </w:r>
      <w:r>
        <w:rPr>
          <w:lang w:eastAsia="ru-RU"/>
        </w:rPr>
        <w:t>»</w:t>
      </w:r>
      <w:r w:rsidRPr="00951C6B">
        <w:rPr>
          <w:lang w:eastAsia="ru-RU"/>
        </w:rPr>
        <w:t>.</w:t>
      </w:r>
    </w:p>
    <w:p w:rsidR="00951C6B" w:rsidRPr="00951C6B" w:rsidRDefault="00951C6B" w:rsidP="00951C6B">
      <w:pPr>
        <w:pStyle w:val="HChGR"/>
      </w:pPr>
      <w:r w:rsidRPr="00951C6B">
        <w:tab/>
        <w:t>II.</w:t>
      </w:r>
      <w:r w:rsidRPr="00951C6B">
        <w:tab/>
        <w:t>Деятельность в 2017 году</w:t>
      </w:r>
    </w:p>
    <w:p w:rsidR="00951C6B" w:rsidRPr="00951C6B" w:rsidRDefault="00951C6B" w:rsidP="00951C6B">
      <w:pPr>
        <w:pStyle w:val="H1GR"/>
      </w:pPr>
      <w:r w:rsidRPr="00951C6B">
        <w:tab/>
        <w:t>A.</w:t>
      </w:r>
      <w:r w:rsidRPr="00951C6B">
        <w:tab/>
        <w:t>Совещание министров в Комитете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i/>
          <w:iCs/>
          <w:lang w:eastAsia="ru-RU"/>
        </w:rPr>
        <w:t>Документация:</w:t>
      </w:r>
      <w:r w:rsidRPr="00951C6B">
        <w:rPr>
          <w:lang w:eastAsia="ru-RU"/>
        </w:rPr>
        <w:tab/>
        <w:t>ECE/TRANS/270/Add.1</w:t>
      </w:r>
    </w:p>
    <w:p w:rsidR="00E12C5F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2.</w:t>
      </w:r>
      <w:r w:rsidRPr="00951C6B">
        <w:rPr>
          <w:lang w:eastAsia="ru-RU"/>
        </w:rPr>
        <w:tab/>
        <w:t>На семидесятой юбилейной сессии Комитета по внутреннему транспорту (КВТ) собрались министры транспорта из различных стран Европы и всего м</w:t>
      </w:r>
      <w:r w:rsidRPr="00951C6B">
        <w:rPr>
          <w:lang w:eastAsia="ru-RU"/>
        </w:rPr>
        <w:t>и</w:t>
      </w:r>
      <w:r w:rsidRPr="00951C6B">
        <w:rPr>
          <w:lang w:eastAsia="ru-RU"/>
        </w:rPr>
        <w:lastRenderedPageBreak/>
        <w:t>ра. На сессии присутствовали более 500 представителей из 89 стран. Цель юб</w:t>
      </w:r>
      <w:r w:rsidRPr="00951C6B">
        <w:rPr>
          <w:lang w:eastAsia="ru-RU"/>
        </w:rPr>
        <w:t>и</w:t>
      </w:r>
      <w:r w:rsidRPr="00951C6B">
        <w:rPr>
          <w:lang w:eastAsia="ru-RU"/>
        </w:rPr>
        <w:t>лейной сессии заключалась в том, чтобы проанализировать вклад, который КВТ внес в работу по внутреннему транспорту в прошлом, и принять решение, в с</w:t>
      </w:r>
      <w:r w:rsidRPr="00951C6B">
        <w:rPr>
          <w:lang w:eastAsia="ru-RU"/>
        </w:rPr>
        <w:t>е</w:t>
      </w:r>
      <w:r w:rsidRPr="00951C6B">
        <w:rPr>
          <w:lang w:eastAsia="ru-RU"/>
        </w:rPr>
        <w:t>годняшних условиях глубоких глобальных изменений, появления проблем и возможностей, о его будущих задачах на период до 2030 года. По этому случаю была подписана министерская резолюция, в которой признается 70 лет успе</w:t>
      </w:r>
      <w:r w:rsidRPr="00951C6B">
        <w:rPr>
          <w:lang w:eastAsia="ru-RU"/>
        </w:rPr>
        <w:t>ш</w:t>
      </w:r>
      <w:r w:rsidRPr="00951C6B">
        <w:rPr>
          <w:lang w:eastAsia="ru-RU"/>
        </w:rPr>
        <w:t>ной работы КВТ и провозглашается обязательство продолжать оказывать по</w:t>
      </w:r>
      <w:r w:rsidRPr="00951C6B">
        <w:rPr>
          <w:lang w:eastAsia="ru-RU"/>
        </w:rPr>
        <w:t>д</w:t>
      </w:r>
      <w:r w:rsidRPr="00951C6B">
        <w:rPr>
          <w:lang w:eastAsia="ru-RU"/>
        </w:rPr>
        <w:t>держку Комитету в будущем. В решении 7 министерской резолюции заявлено о твердом намерении использовать КВТ в качестве платформы для дальнейшей интеграции вопросов ИТС и автоматизированного вождения в работу Комитета и его вспомогательных органов, а также для поощрения процесса перевода транспортных документов в цифровой формат, прежде всего для междунаро</w:t>
      </w:r>
      <w:r w:rsidRPr="00951C6B">
        <w:rPr>
          <w:lang w:eastAsia="ru-RU"/>
        </w:rPr>
        <w:t>д</w:t>
      </w:r>
      <w:r w:rsidRPr="00951C6B">
        <w:rPr>
          <w:lang w:eastAsia="ru-RU"/>
        </w:rPr>
        <w:t>ных перевозок.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3.</w:t>
      </w:r>
      <w:r w:rsidRPr="00951C6B">
        <w:rPr>
          <w:lang w:eastAsia="ru-RU"/>
        </w:rPr>
        <w:tab/>
        <w:t xml:space="preserve">В дискуссионной группе № 2 юбилейной сессии КВТ </w:t>
      </w:r>
      <w:r>
        <w:rPr>
          <w:lang w:eastAsia="ru-RU"/>
        </w:rPr>
        <w:t>«</w:t>
      </w:r>
      <w:r w:rsidRPr="00951C6B">
        <w:rPr>
          <w:lang w:eastAsia="ru-RU"/>
        </w:rPr>
        <w:t>КВТ – платформа для взаимодействия регулирующих органов и новаторов: технологии для усто</w:t>
      </w:r>
      <w:r w:rsidRPr="00951C6B">
        <w:rPr>
          <w:lang w:eastAsia="ru-RU"/>
        </w:rPr>
        <w:t>й</w:t>
      </w:r>
      <w:r w:rsidRPr="00951C6B">
        <w:rPr>
          <w:lang w:eastAsia="ru-RU"/>
        </w:rPr>
        <w:t>чивой мобильности</w:t>
      </w:r>
      <w:r>
        <w:rPr>
          <w:lang w:eastAsia="ru-RU"/>
        </w:rPr>
        <w:t>»</w:t>
      </w:r>
      <w:r w:rsidRPr="00951C6B">
        <w:rPr>
          <w:lang w:eastAsia="ru-RU"/>
        </w:rPr>
        <w:t xml:space="preserve"> обсуждались стратегические меры, принимаемые в связи с технологическими изменениями, и благоприятные условия для развития инн</w:t>
      </w:r>
      <w:r w:rsidRPr="00951C6B">
        <w:rPr>
          <w:lang w:eastAsia="ru-RU"/>
        </w:rPr>
        <w:t>о</w:t>
      </w:r>
      <w:r w:rsidRPr="00951C6B">
        <w:rPr>
          <w:lang w:eastAsia="ru-RU"/>
        </w:rPr>
        <w:t>ваций, а также вопрос о том, каким образом КВТ может способствовать прео</w:t>
      </w:r>
      <w:r w:rsidRPr="00951C6B">
        <w:rPr>
          <w:lang w:eastAsia="ru-RU"/>
        </w:rPr>
        <w:t>б</w:t>
      </w:r>
      <w:r w:rsidRPr="00951C6B">
        <w:rPr>
          <w:lang w:eastAsia="ru-RU"/>
        </w:rPr>
        <w:t>разованиям. Участники дискуссии, в том числе комиссар Евросоюза по м</w:t>
      </w:r>
      <w:r w:rsidRPr="00951C6B">
        <w:rPr>
          <w:lang w:eastAsia="ru-RU"/>
        </w:rPr>
        <w:t>о</w:t>
      </w:r>
      <w:r w:rsidRPr="00951C6B">
        <w:rPr>
          <w:lang w:eastAsia="ru-RU"/>
        </w:rPr>
        <w:t>бильности и транспорту г-жа Виолета Булк, министр инфраструктуры Швеции г-жа Анна Юханссон и министр по вопросам мобильности Бельгии г-н Франсуа Белло, подчеркнули центральную роль КВТ в управлении внутренним тран</w:t>
      </w:r>
      <w:r w:rsidRPr="00951C6B">
        <w:rPr>
          <w:lang w:eastAsia="ru-RU"/>
        </w:rPr>
        <w:t>с</w:t>
      </w:r>
      <w:r w:rsidRPr="00951C6B">
        <w:rPr>
          <w:lang w:eastAsia="ru-RU"/>
        </w:rPr>
        <w:t>портом и подготовке почвы для внедрения автоматизированных и подключе</w:t>
      </w:r>
      <w:r w:rsidRPr="00951C6B">
        <w:rPr>
          <w:lang w:eastAsia="ru-RU"/>
        </w:rPr>
        <w:t>н</w:t>
      </w:r>
      <w:r w:rsidRPr="00951C6B">
        <w:rPr>
          <w:lang w:eastAsia="ru-RU"/>
        </w:rPr>
        <w:t>ных транспортных средств. Министр инфраструктуры Украины г-н Владимир Омелян подчеркнул значимость интеллектуальной инфраструктуры.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1, 2, 3, 4, 5, </w:t>
      </w:r>
      <w:r w:rsidRPr="00951C6B">
        <w:rPr>
          <w:b/>
          <w:bCs/>
          <w:i/>
          <w:iCs/>
          <w:lang w:eastAsia="ru-RU"/>
        </w:rPr>
        <w:t>6</w:t>
      </w:r>
      <w:r w:rsidRPr="00951C6B">
        <w:rPr>
          <w:i/>
          <w:iCs/>
          <w:lang w:eastAsia="ru-RU"/>
        </w:rPr>
        <w:t xml:space="preserve">, 9, 15 и </w:t>
      </w:r>
      <w:r w:rsidRPr="00951C6B">
        <w:rPr>
          <w:b/>
          <w:bCs/>
          <w:i/>
          <w:iCs/>
          <w:lang w:eastAsia="ru-RU"/>
        </w:rPr>
        <w:t>17</w:t>
      </w:r>
      <w:r w:rsidRPr="00951C6B">
        <w:rPr>
          <w:i/>
          <w:iCs/>
          <w:lang w:eastAsia="ru-RU"/>
        </w:rPr>
        <w:t>.</w:t>
      </w:r>
    </w:p>
    <w:p w:rsidR="00951C6B" w:rsidRPr="00951C6B" w:rsidRDefault="00951C6B" w:rsidP="00951C6B">
      <w:pPr>
        <w:pStyle w:val="H1GR"/>
      </w:pPr>
      <w:r w:rsidRPr="00951C6B">
        <w:tab/>
        <w:t>B.</w:t>
      </w:r>
      <w:r w:rsidRPr="00951C6B">
        <w:tab/>
        <w:t xml:space="preserve">Симпозиум Международного союза электросвязи на тему </w:t>
      </w:r>
      <w:r>
        <w:t>«</w:t>
      </w:r>
      <w:r w:rsidRPr="00951C6B">
        <w:t>Сетевой автомобиль будущего</w:t>
      </w:r>
      <w:r>
        <w:t>»</w:t>
      </w:r>
    </w:p>
    <w:p w:rsidR="00951C6B" w:rsidRPr="00BA1FC0" w:rsidRDefault="00951C6B" w:rsidP="00F82464">
      <w:pPr>
        <w:pStyle w:val="SingleTxtGR"/>
        <w:ind w:left="2835" w:hanging="1701"/>
        <w:jc w:val="left"/>
        <w:rPr>
          <w:lang w:eastAsia="ru-RU"/>
        </w:rPr>
      </w:pPr>
      <w:r w:rsidRPr="00951C6B">
        <w:rPr>
          <w:i/>
          <w:iCs/>
          <w:lang w:eastAsia="ru-RU"/>
        </w:rPr>
        <w:t>Документация:</w:t>
      </w:r>
      <w:r w:rsidRPr="00951C6B">
        <w:rPr>
          <w:lang w:eastAsia="ru-RU"/>
        </w:rPr>
        <w:tab/>
      </w:r>
      <w:hyperlink r:id="rId9" w:history="1">
        <w:r w:rsidR="00BA1FC0" w:rsidRPr="00BA1FC0">
          <w:rPr>
            <w:rStyle w:val="Hyperlink"/>
            <w:color w:val="auto"/>
            <w:lang w:eastAsia="ru-RU"/>
          </w:rPr>
          <w:t>http://itu.int/en/fnc/2017/ www.itu.int/en/fnc/2017/Documents/Presentations/</w:t>
        </w:r>
        <w:r w:rsidR="00BA1FC0" w:rsidRPr="00BA1FC0">
          <w:rPr>
            <w:rStyle w:val="Hyperlink"/>
            <w:color w:val="auto"/>
            <w:lang w:eastAsia="ru-RU"/>
          </w:rPr>
          <w:br/>
          <w:t>S3_P2.%20Geneva%20-%20UN%20Beridze.pdf</w:t>
        </w:r>
      </w:hyperlink>
    </w:p>
    <w:p w:rsidR="00951C6B" w:rsidRPr="00951C6B" w:rsidRDefault="00951C6B" w:rsidP="00BA1FC0">
      <w:pPr>
        <w:pStyle w:val="SingleTxtGR"/>
        <w:rPr>
          <w:lang w:eastAsia="ru-RU"/>
        </w:rPr>
      </w:pPr>
      <w:r w:rsidRPr="00951C6B">
        <w:rPr>
          <w:lang w:eastAsia="ru-RU"/>
        </w:rPr>
        <w:t>4.</w:t>
      </w:r>
      <w:r w:rsidRPr="00951C6B">
        <w:rPr>
          <w:lang w:eastAsia="ru-RU"/>
        </w:rPr>
        <w:tab/>
        <w:t xml:space="preserve">После сегмента по вопросам политики в 2016 году ЕЭК ООН совместно с Международным союзом электросвязи организовала симпозиум на тему </w:t>
      </w:r>
      <w:r>
        <w:rPr>
          <w:lang w:eastAsia="ru-RU"/>
        </w:rPr>
        <w:t>«</w:t>
      </w:r>
      <w:r w:rsidRPr="00951C6B">
        <w:rPr>
          <w:lang w:eastAsia="ru-RU"/>
        </w:rPr>
        <w:t>Сет</w:t>
      </w:r>
      <w:r w:rsidRPr="00951C6B">
        <w:rPr>
          <w:lang w:eastAsia="ru-RU"/>
        </w:rPr>
        <w:t>е</w:t>
      </w:r>
      <w:r w:rsidRPr="00951C6B">
        <w:rPr>
          <w:lang w:eastAsia="ru-RU"/>
        </w:rPr>
        <w:t>вой автомобиль будущего</w:t>
      </w:r>
      <w:r>
        <w:rPr>
          <w:lang w:eastAsia="ru-RU"/>
        </w:rPr>
        <w:t>»</w:t>
      </w:r>
      <w:r w:rsidRPr="00951C6B">
        <w:rPr>
          <w:lang w:eastAsia="ru-RU"/>
        </w:rPr>
        <w:t>, который прошел в рамках Женевской автомобил</w:t>
      </w:r>
      <w:r w:rsidRPr="00951C6B">
        <w:rPr>
          <w:lang w:eastAsia="ru-RU"/>
        </w:rPr>
        <w:t>ь</w:t>
      </w:r>
      <w:r w:rsidRPr="00951C6B">
        <w:rPr>
          <w:lang w:eastAsia="ru-RU"/>
        </w:rPr>
        <w:t>ной выставки и был рассчитан на массовую аудиторию профессионалов тел</w:t>
      </w:r>
      <w:r w:rsidRPr="00951C6B">
        <w:rPr>
          <w:lang w:eastAsia="ru-RU"/>
        </w:rPr>
        <w:t>е</w:t>
      </w:r>
      <w:r w:rsidRPr="00951C6B">
        <w:rPr>
          <w:lang w:eastAsia="ru-RU"/>
        </w:rPr>
        <w:t>коммуникационного и транспортного секторов. В ходе этого международного симпозиума были рассмотрены достижения в области разработки подключе</w:t>
      </w:r>
      <w:r w:rsidRPr="00951C6B">
        <w:rPr>
          <w:lang w:eastAsia="ru-RU"/>
        </w:rPr>
        <w:t>н</w:t>
      </w:r>
      <w:r w:rsidRPr="00951C6B">
        <w:rPr>
          <w:lang w:eastAsia="ru-RU"/>
        </w:rPr>
        <w:t>ных транспортных средств с точки зрения бизнеса, технологий и норм регул</w:t>
      </w:r>
      <w:r w:rsidRPr="00951C6B">
        <w:rPr>
          <w:lang w:eastAsia="ru-RU"/>
        </w:rPr>
        <w:t>и</w:t>
      </w:r>
      <w:r w:rsidRPr="00951C6B">
        <w:rPr>
          <w:lang w:eastAsia="ru-RU"/>
        </w:rPr>
        <w:t>рования. В ходе заседаний по техническим вопросам была выявлена актуал</w:t>
      </w:r>
      <w:r w:rsidRPr="00951C6B">
        <w:rPr>
          <w:lang w:eastAsia="ru-RU"/>
        </w:rPr>
        <w:t>ь</w:t>
      </w:r>
      <w:r w:rsidRPr="00951C6B">
        <w:rPr>
          <w:lang w:eastAsia="ru-RU"/>
        </w:rPr>
        <w:t>ность работы, которую предстоит проделать в области искусственного разума и кибербезопасности. Интересно отметить, что информацию о своей деятельн</w:t>
      </w:r>
      <w:r w:rsidRPr="00951C6B">
        <w:rPr>
          <w:lang w:eastAsia="ru-RU"/>
        </w:rPr>
        <w:t>о</w:t>
      </w:r>
      <w:r w:rsidRPr="00951C6B">
        <w:rPr>
          <w:lang w:eastAsia="ru-RU"/>
        </w:rPr>
        <w:t>сти в области автоматизированного вождения представил Межрегиональный научно-исследовательский институт Организации Объединенных Наций по в</w:t>
      </w:r>
      <w:r w:rsidRPr="00951C6B">
        <w:rPr>
          <w:lang w:eastAsia="ru-RU"/>
        </w:rPr>
        <w:t>о</w:t>
      </w:r>
      <w:r w:rsidRPr="00951C6B">
        <w:rPr>
          <w:lang w:eastAsia="ru-RU"/>
        </w:rPr>
        <w:t>просам преступности и правосудия.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</w:t>
      </w:r>
      <w:r w:rsidRPr="00951C6B">
        <w:rPr>
          <w:b/>
          <w:bCs/>
          <w:i/>
          <w:iCs/>
          <w:lang w:eastAsia="ru-RU"/>
        </w:rPr>
        <w:t>2</w:t>
      </w:r>
      <w:r w:rsidRPr="00951C6B">
        <w:rPr>
          <w:i/>
          <w:iCs/>
          <w:lang w:eastAsia="ru-RU"/>
        </w:rPr>
        <w:t xml:space="preserve">, 3, 4, </w:t>
      </w:r>
      <w:r w:rsidRPr="00951C6B">
        <w:rPr>
          <w:b/>
          <w:bCs/>
          <w:i/>
          <w:iCs/>
          <w:lang w:eastAsia="ru-RU"/>
        </w:rPr>
        <w:t>5, 7</w:t>
      </w:r>
      <w:r w:rsidRPr="00951C6B">
        <w:rPr>
          <w:i/>
          <w:iCs/>
          <w:lang w:eastAsia="ru-RU"/>
        </w:rPr>
        <w:t>, 8, 9, 10, 15, 17 и 19.</w:t>
      </w:r>
    </w:p>
    <w:p w:rsidR="00951C6B" w:rsidRPr="00951C6B" w:rsidRDefault="00951C6B" w:rsidP="00951C6B">
      <w:pPr>
        <w:pStyle w:val="H1GR"/>
      </w:pPr>
      <w:r w:rsidRPr="00951C6B">
        <w:tab/>
        <w:t>C.</w:t>
      </w:r>
      <w:r w:rsidRPr="00951C6B">
        <w:tab/>
        <w:t xml:space="preserve">Ежегодный </w:t>
      </w:r>
      <w:r>
        <w:t>«</w:t>
      </w:r>
      <w:r w:rsidRPr="00951C6B">
        <w:t>круглый стол</w:t>
      </w:r>
      <w:r>
        <w:t>»</w:t>
      </w:r>
      <w:r w:rsidRPr="00951C6B">
        <w:t xml:space="preserve"> по ИТС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5.</w:t>
      </w:r>
      <w:r w:rsidRPr="00951C6B">
        <w:rPr>
          <w:lang w:eastAsia="ru-RU"/>
        </w:rPr>
        <w:tab/>
        <w:t>Отдел провел свое ежегодное рабочее совещание по ИТС в увязке с оч</w:t>
      </w:r>
      <w:r w:rsidRPr="00951C6B">
        <w:rPr>
          <w:lang w:eastAsia="ru-RU"/>
        </w:rPr>
        <w:t>е</w:t>
      </w:r>
      <w:r w:rsidRPr="00951C6B">
        <w:rPr>
          <w:lang w:eastAsia="ru-RU"/>
        </w:rPr>
        <w:t>редными заседаниями Рабочей группы по вопросам торможения и ходовой ч</w:t>
      </w:r>
      <w:r w:rsidRPr="00951C6B">
        <w:rPr>
          <w:lang w:eastAsia="ru-RU"/>
        </w:rPr>
        <w:t>а</w:t>
      </w:r>
      <w:r w:rsidRPr="00951C6B">
        <w:rPr>
          <w:lang w:eastAsia="ru-RU"/>
        </w:rPr>
        <w:t>сти и Глобального форума по безопасности дорожного движения (WP.1) в се</w:t>
      </w:r>
      <w:r w:rsidRPr="00951C6B">
        <w:rPr>
          <w:lang w:eastAsia="ru-RU"/>
        </w:rPr>
        <w:t>н</w:t>
      </w:r>
      <w:r w:rsidRPr="00951C6B">
        <w:rPr>
          <w:lang w:eastAsia="ru-RU"/>
        </w:rPr>
        <w:t xml:space="preserve">тябре 2017 года. Обсуждалась информация о сегодняшнем видении того, какие </w:t>
      </w:r>
      <w:r w:rsidRPr="00951C6B">
        <w:rPr>
          <w:lang w:eastAsia="ru-RU"/>
        </w:rPr>
        <w:lastRenderedPageBreak/>
        <w:t>действия может выполнять водитель во время движения транспортного сре</w:t>
      </w:r>
      <w:r w:rsidRPr="00951C6B">
        <w:rPr>
          <w:lang w:eastAsia="ru-RU"/>
        </w:rPr>
        <w:t>д</w:t>
      </w:r>
      <w:r w:rsidRPr="00951C6B">
        <w:rPr>
          <w:lang w:eastAsia="ru-RU"/>
        </w:rPr>
        <w:t>ства, а также вопросы кибербезопасности как угрозы, которая может сказаться на транспортном движении.</w:t>
      </w:r>
    </w:p>
    <w:p w:rsidR="00951C6B" w:rsidRPr="00951C6B" w:rsidRDefault="00951C6B" w:rsidP="00951C6B">
      <w:pPr>
        <w:pStyle w:val="SingleTxtGR"/>
        <w:rPr>
          <w:i/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EC1528">
        <w:rPr>
          <w:i/>
          <w:iCs/>
          <w:lang w:eastAsia="ru-RU"/>
        </w:rPr>
        <w:t xml:space="preserve">1, 2, 3, 5, </w:t>
      </w:r>
      <w:r w:rsidRPr="00EC1528">
        <w:rPr>
          <w:b/>
          <w:bCs/>
          <w:i/>
          <w:iCs/>
          <w:lang w:eastAsia="ru-RU"/>
        </w:rPr>
        <w:t>6</w:t>
      </w:r>
      <w:r w:rsidRPr="00EC1528">
        <w:rPr>
          <w:i/>
          <w:iCs/>
          <w:lang w:eastAsia="ru-RU"/>
        </w:rPr>
        <w:t xml:space="preserve">, 7, 8, </w:t>
      </w:r>
      <w:r w:rsidRPr="00EC1528">
        <w:rPr>
          <w:b/>
          <w:bCs/>
          <w:i/>
          <w:iCs/>
          <w:lang w:eastAsia="ru-RU"/>
        </w:rPr>
        <w:t>9, 10</w:t>
      </w:r>
      <w:r w:rsidRPr="00EC1528">
        <w:rPr>
          <w:i/>
          <w:iCs/>
          <w:lang w:eastAsia="ru-RU"/>
        </w:rPr>
        <w:t xml:space="preserve">, 15, 19 и </w:t>
      </w:r>
      <w:r w:rsidRPr="00EC1528">
        <w:rPr>
          <w:b/>
          <w:bCs/>
          <w:i/>
          <w:iCs/>
          <w:lang w:eastAsia="ru-RU"/>
        </w:rPr>
        <w:t>20</w:t>
      </w:r>
      <w:r w:rsidRPr="00EC1528">
        <w:rPr>
          <w:i/>
          <w:iCs/>
          <w:lang w:eastAsia="ru-RU"/>
        </w:rPr>
        <w:t>.</w:t>
      </w:r>
    </w:p>
    <w:p w:rsidR="00951C6B" w:rsidRPr="00951C6B" w:rsidRDefault="00951C6B" w:rsidP="00951C6B">
      <w:pPr>
        <w:pStyle w:val="H1GR"/>
      </w:pPr>
      <w:r w:rsidRPr="00951C6B">
        <w:tab/>
        <w:t>D.</w:t>
      </w:r>
      <w:r w:rsidRPr="00951C6B">
        <w:tab/>
        <w:t>Рабочие группы</w:t>
      </w:r>
    </w:p>
    <w:p w:rsidR="00951C6B" w:rsidRPr="00951C6B" w:rsidRDefault="00951C6B" w:rsidP="00951C6B">
      <w:pPr>
        <w:pStyle w:val="H23GR"/>
      </w:pPr>
      <w:r w:rsidRPr="00951C6B">
        <w:tab/>
        <w:t>1.</w:t>
      </w:r>
      <w:r w:rsidRPr="00951C6B">
        <w:tab/>
        <w:t>Рабочая группа по внутреннему водному транспорту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6.</w:t>
      </w:r>
      <w:r w:rsidRPr="00951C6B">
        <w:rPr>
          <w:lang w:eastAsia="ru-RU"/>
        </w:rPr>
        <w:tab/>
        <w:t>Рабочая группа по внутреннему водному транспорту продолжила работу над вопросами использования приложений ИТС для электронных судовых с</w:t>
      </w:r>
      <w:r w:rsidRPr="00951C6B">
        <w:rPr>
          <w:lang w:eastAsia="ru-RU"/>
        </w:rPr>
        <w:t>о</w:t>
      </w:r>
      <w:r w:rsidRPr="00951C6B">
        <w:rPr>
          <w:lang w:eastAsia="ru-RU"/>
        </w:rPr>
        <w:t xml:space="preserve">общений и над гармонизацией Общеевропейской речной информационной службы (РИС). 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7.</w:t>
      </w:r>
      <w:r w:rsidRPr="00951C6B">
        <w:rPr>
          <w:lang w:eastAsia="ru-RU"/>
        </w:rPr>
        <w:tab/>
        <w:t xml:space="preserve">В резолюцию № 59 </w:t>
      </w:r>
      <w:r>
        <w:rPr>
          <w:lang w:eastAsia="ru-RU"/>
        </w:rPr>
        <w:t>«</w:t>
      </w:r>
      <w:r w:rsidRPr="00951C6B">
        <w:rPr>
          <w:lang w:eastAsia="ru-RU"/>
        </w:rPr>
        <w:t>Инструкция по сигнальным знакам, регулирующим судоходство по водным путям</w:t>
      </w:r>
      <w:r>
        <w:rPr>
          <w:lang w:eastAsia="ru-RU"/>
        </w:rPr>
        <w:t>»</w:t>
      </w:r>
      <w:r w:rsidRPr="00951C6B">
        <w:rPr>
          <w:lang w:eastAsia="ru-RU"/>
        </w:rPr>
        <w:t xml:space="preserve"> были включены положения о табло с меня</w:t>
      </w:r>
      <w:r w:rsidRPr="00951C6B">
        <w:rPr>
          <w:lang w:eastAsia="ru-RU"/>
        </w:rPr>
        <w:t>ю</w:t>
      </w:r>
      <w:r w:rsidRPr="00951C6B">
        <w:rPr>
          <w:lang w:eastAsia="ru-RU"/>
        </w:rPr>
        <w:t>щейся информацией. Глава о табло с меняющейся информацией для регулир</w:t>
      </w:r>
      <w:r w:rsidRPr="00951C6B">
        <w:rPr>
          <w:lang w:eastAsia="ru-RU"/>
        </w:rPr>
        <w:t>о</w:t>
      </w:r>
      <w:r w:rsidRPr="00951C6B">
        <w:rPr>
          <w:lang w:eastAsia="ru-RU"/>
        </w:rPr>
        <w:t>вания движения судов и соответствующее приложение включены в проект п</w:t>
      </w:r>
      <w:r w:rsidRPr="00951C6B">
        <w:rPr>
          <w:lang w:eastAsia="ru-RU"/>
        </w:rPr>
        <w:t>е</w:t>
      </w:r>
      <w:r w:rsidRPr="00951C6B">
        <w:rPr>
          <w:lang w:eastAsia="ru-RU"/>
        </w:rPr>
        <w:t xml:space="preserve">ресмотренной редакции документа </w:t>
      </w:r>
      <w:r>
        <w:rPr>
          <w:lang w:eastAsia="ru-RU"/>
        </w:rPr>
        <w:t>«</w:t>
      </w:r>
      <w:r w:rsidRPr="00951C6B">
        <w:rPr>
          <w:lang w:eastAsia="ru-RU"/>
        </w:rPr>
        <w:t>Сигнализация на внутренних водных п</w:t>
      </w:r>
      <w:r w:rsidRPr="00951C6B">
        <w:rPr>
          <w:lang w:eastAsia="ru-RU"/>
        </w:rPr>
        <w:t>у</w:t>
      </w:r>
      <w:r w:rsidRPr="00951C6B">
        <w:rPr>
          <w:lang w:eastAsia="ru-RU"/>
        </w:rPr>
        <w:t>тях</w:t>
      </w:r>
      <w:r>
        <w:rPr>
          <w:lang w:eastAsia="ru-RU"/>
        </w:rPr>
        <w:t>»</w:t>
      </w:r>
      <w:r w:rsidRPr="00951C6B">
        <w:rPr>
          <w:lang w:eastAsia="ru-RU"/>
        </w:rPr>
        <w:t xml:space="preserve">. </w:t>
      </w:r>
    </w:p>
    <w:p w:rsidR="00951C6B" w:rsidRPr="00951C6B" w:rsidRDefault="00951C6B" w:rsidP="006965F9">
      <w:pPr>
        <w:pStyle w:val="SingleTxtGR"/>
        <w:rPr>
          <w:lang w:eastAsia="ru-RU"/>
        </w:rPr>
      </w:pPr>
      <w:r w:rsidRPr="00951C6B">
        <w:rPr>
          <w:lang w:eastAsia="ru-RU"/>
        </w:rPr>
        <w:t>8.</w:t>
      </w:r>
      <w:r w:rsidRPr="00951C6B">
        <w:rPr>
          <w:lang w:eastAsia="ru-RU"/>
        </w:rPr>
        <w:tab/>
        <w:t xml:space="preserve">Глава 12 </w:t>
      </w:r>
      <w:r>
        <w:rPr>
          <w:lang w:eastAsia="ru-RU"/>
        </w:rPr>
        <w:t>«</w:t>
      </w:r>
      <w:r w:rsidRPr="00951C6B">
        <w:rPr>
          <w:lang w:eastAsia="ru-RU"/>
        </w:rPr>
        <w:t>Мониторинг сигнальных знаков с помощью средств навигац</w:t>
      </w:r>
      <w:r w:rsidRPr="00951C6B">
        <w:rPr>
          <w:lang w:eastAsia="ru-RU"/>
        </w:rPr>
        <w:t>и</w:t>
      </w:r>
      <w:r w:rsidRPr="00951C6B">
        <w:rPr>
          <w:lang w:eastAsia="ru-RU"/>
        </w:rPr>
        <w:t xml:space="preserve">онного оборудования </w:t>
      </w:r>
      <w:r w:rsidRPr="006965F9">
        <w:rPr>
          <w:spacing w:val="2"/>
          <w:lang w:eastAsia="ru-RU"/>
        </w:rPr>
        <w:t>АИС» документа «Сигнализация на внутренних водных путях» в проекте пересмотренной редакции дополнена электронными таблицами и визуальными материалами</w:t>
      </w:r>
      <w:r w:rsidRPr="00951C6B">
        <w:rPr>
          <w:lang w:eastAsia="ru-RU"/>
        </w:rPr>
        <w:t xml:space="preserve"> по сигнальным знакам на внутренних водных п</w:t>
      </w:r>
      <w:r w:rsidRPr="00951C6B">
        <w:rPr>
          <w:lang w:eastAsia="ru-RU"/>
        </w:rPr>
        <w:t>у</w:t>
      </w:r>
      <w:r w:rsidRPr="00951C6B">
        <w:rPr>
          <w:lang w:eastAsia="ru-RU"/>
        </w:rPr>
        <w:t>тях</w:t>
      </w:r>
      <w:r w:rsidRPr="006965F9">
        <w:rPr>
          <w:spacing w:val="2"/>
          <w:lang w:eastAsia="ru-RU"/>
        </w:rPr>
        <w:t>. Рабочая группа по унификации технических предписаний и правил безопа</w:t>
      </w:r>
      <w:r w:rsidRPr="006965F9">
        <w:rPr>
          <w:spacing w:val="2"/>
          <w:lang w:eastAsia="ru-RU"/>
        </w:rPr>
        <w:t>с</w:t>
      </w:r>
      <w:r w:rsidRPr="006965F9">
        <w:rPr>
          <w:spacing w:val="2"/>
          <w:lang w:eastAsia="ru-RU"/>
        </w:rPr>
        <w:t>ности</w:t>
      </w:r>
      <w:r w:rsidRPr="00951C6B">
        <w:rPr>
          <w:lang w:eastAsia="ru-RU"/>
        </w:rPr>
        <w:t xml:space="preserve"> на внутренних водных путях утвердила эти добавления в июне 2017</w:t>
      </w:r>
      <w:r w:rsidR="006965F9">
        <w:rPr>
          <w:lang w:val="en-US" w:eastAsia="ru-RU"/>
        </w:rPr>
        <w:t xml:space="preserve"> </w:t>
      </w:r>
      <w:r w:rsidRPr="00951C6B">
        <w:rPr>
          <w:lang w:eastAsia="ru-RU"/>
        </w:rPr>
        <w:t>года.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1, 2, 3, 4, 5, 6, 7, 9, 11, 13, </w:t>
      </w:r>
      <w:r w:rsidRPr="00951C6B">
        <w:rPr>
          <w:b/>
          <w:bCs/>
          <w:i/>
          <w:iCs/>
          <w:lang w:eastAsia="ru-RU"/>
        </w:rPr>
        <w:t>14</w:t>
      </w:r>
      <w:r w:rsidRPr="00951C6B">
        <w:rPr>
          <w:i/>
          <w:iCs/>
          <w:lang w:eastAsia="ru-RU"/>
        </w:rPr>
        <w:t>, 15, 16, 17, 18 и 19.</w:t>
      </w:r>
    </w:p>
    <w:p w:rsidR="00951C6B" w:rsidRPr="00951C6B" w:rsidRDefault="00951C6B" w:rsidP="00951C6B">
      <w:pPr>
        <w:pStyle w:val="H23GR"/>
      </w:pPr>
      <w:r w:rsidRPr="00951C6B">
        <w:tab/>
        <w:t>2.</w:t>
      </w:r>
      <w:r w:rsidRPr="00951C6B">
        <w:tab/>
        <w:t>Рабочая группа по перевозкам опасных грузов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9.</w:t>
      </w:r>
      <w:r w:rsidRPr="00951C6B">
        <w:rPr>
          <w:lang w:eastAsia="ru-RU"/>
        </w:rPr>
        <w:tab/>
        <w:t>Совместное совещание Комитета экспертов по Правилам международной перевозки опасных грузов по железной дороге (МПОГ) и Рабочей группы по перевозкам опасных грузов, представленной ее неофициальной рабочей гру</w:t>
      </w:r>
      <w:r w:rsidRPr="00951C6B">
        <w:rPr>
          <w:lang w:eastAsia="ru-RU"/>
        </w:rPr>
        <w:t>п</w:t>
      </w:r>
      <w:r w:rsidRPr="00951C6B">
        <w:rPr>
          <w:lang w:eastAsia="ru-RU"/>
        </w:rPr>
        <w:t xml:space="preserve">пой по телематике, продолжило работу над приложениями ИТС, в том числе над подготовкой мер по более оперативному и эффективному реагированию на чрезвычайные ситуации, связанные с опасными грузами на транспорте. </w:t>
      </w:r>
    </w:p>
    <w:p w:rsidR="00951C6B" w:rsidRPr="00951C6B" w:rsidRDefault="00951C6B" w:rsidP="00951C6B">
      <w:pPr>
        <w:pStyle w:val="SingleTxtGR"/>
        <w:rPr>
          <w:i/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1, 2, 3, 4, 5, 7, 9, 11, </w:t>
      </w:r>
      <w:r w:rsidRPr="00951C6B">
        <w:rPr>
          <w:b/>
          <w:bCs/>
          <w:i/>
          <w:iCs/>
          <w:lang w:eastAsia="ru-RU"/>
        </w:rPr>
        <w:t>12</w:t>
      </w:r>
      <w:r w:rsidRPr="00951C6B">
        <w:rPr>
          <w:i/>
          <w:iCs/>
          <w:lang w:eastAsia="ru-RU"/>
        </w:rPr>
        <w:t>, 13, 15, 16, 17, 18 и 19.</w:t>
      </w:r>
    </w:p>
    <w:p w:rsidR="00951C6B" w:rsidRPr="00951C6B" w:rsidRDefault="00951C6B" w:rsidP="00951C6B">
      <w:pPr>
        <w:pStyle w:val="H23GR"/>
      </w:pPr>
      <w:r w:rsidRPr="00951C6B">
        <w:tab/>
        <w:t>3.</w:t>
      </w:r>
      <w:r w:rsidRPr="00951C6B">
        <w:tab/>
        <w:t>Глобальный форум по безопасности дорожного движения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10.</w:t>
      </w:r>
      <w:r w:rsidRPr="00951C6B">
        <w:rPr>
          <w:lang w:eastAsia="ru-RU"/>
        </w:rPr>
        <w:tab/>
        <w:t>О деятельности WP.1, касающейся управления автоматизированными/</w:t>
      </w:r>
      <w:r>
        <w:rPr>
          <w:lang w:eastAsia="ru-RU"/>
        </w:rPr>
        <w:br/>
      </w:r>
      <w:r w:rsidRPr="00951C6B">
        <w:rPr>
          <w:lang w:eastAsia="ru-RU"/>
        </w:rPr>
        <w:t>автономными транспортными средствами, будет сообщено в рамках пункта 5 с) повестки дня.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11.</w:t>
      </w:r>
      <w:r w:rsidRPr="00951C6B">
        <w:rPr>
          <w:lang w:eastAsia="ru-RU"/>
        </w:rPr>
        <w:tab/>
        <w:t>Глобальный форум по безопасности дорожного движения, Национальная администрация безопасности дорожного движения и Французский научно-технический институт транспорта, развития и сетей совместно организовали рабочее совещание, с тем чтобы продолжить диалог по вопросам подходов к обеспечению безопасности всех участников дорожного движения в условиях интеграции высокоавтоматизированных и самоуправляющихся транспортных средств (28 и 29 июня 2017 года, Женева). В работе совещания приняли участие около 100 специалистов, представляющих правительства различных стран м</w:t>
      </w:r>
      <w:r w:rsidRPr="00951C6B">
        <w:rPr>
          <w:lang w:eastAsia="ru-RU"/>
        </w:rPr>
        <w:t>и</w:t>
      </w:r>
      <w:r w:rsidRPr="00951C6B">
        <w:rPr>
          <w:lang w:eastAsia="ru-RU"/>
        </w:rPr>
        <w:t>ра, организации системы Организации Объединенных Наций, занимающиеся разработкой стандартов, автомобильную отрасль и отрасль информационных технологий, а также научно-исследовательские учреждения. В начале рабочего совещания была представлена информация о новом в технологиях автоматиз</w:t>
      </w:r>
      <w:r w:rsidRPr="00951C6B">
        <w:rPr>
          <w:lang w:eastAsia="ru-RU"/>
        </w:rPr>
        <w:t>а</w:t>
      </w:r>
      <w:r w:rsidRPr="00951C6B">
        <w:rPr>
          <w:lang w:eastAsia="ru-RU"/>
        </w:rPr>
        <w:lastRenderedPageBreak/>
        <w:t>ции транспортных средств и обзор подготовительной работы, которую отве</w:t>
      </w:r>
      <w:r w:rsidRPr="00951C6B">
        <w:rPr>
          <w:lang w:eastAsia="ru-RU"/>
        </w:rPr>
        <w:t>т</w:t>
      </w:r>
      <w:r w:rsidRPr="00951C6B">
        <w:rPr>
          <w:lang w:eastAsia="ru-RU"/>
        </w:rPr>
        <w:t>ственные за безопасность населения учреждения ведут с тем, чтобы учесть особые потребности и последствия, возникающие в связи с использованием а</w:t>
      </w:r>
      <w:r w:rsidRPr="00951C6B">
        <w:rPr>
          <w:lang w:eastAsia="ru-RU"/>
        </w:rPr>
        <w:t>в</w:t>
      </w:r>
      <w:r w:rsidRPr="00951C6B">
        <w:rPr>
          <w:lang w:eastAsia="ru-RU"/>
        </w:rPr>
        <w:t>томатизированных транспортных средств, а также анализ свидетельств интер</w:t>
      </w:r>
      <w:r w:rsidRPr="00951C6B">
        <w:rPr>
          <w:lang w:eastAsia="ru-RU"/>
        </w:rPr>
        <w:t>е</w:t>
      </w:r>
      <w:r w:rsidRPr="00951C6B">
        <w:rPr>
          <w:lang w:eastAsia="ru-RU"/>
        </w:rPr>
        <w:t>са и принятия со стороны общества. Далее в ходе совещания обсуждались в</w:t>
      </w:r>
      <w:r w:rsidRPr="00951C6B">
        <w:rPr>
          <w:lang w:eastAsia="ru-RU"/>
        </w:rPr>
        <w:t>ы</w:t>
      </w:r>
      <w:r w:rsidRPr="00951C6B">
        <w:rPr>
          <w:lang w:eastAsia="ru-RU"/>
        </w:rPr>
        <w:t>зовы и возможности оптимизации безопасности дорожного движения с участ</w:t>
      </w:r>
      <w:r w:rsidRPr="00951C6B">
        <w:rPr>
          <w:lang w:eastAsia="ru-RU"/>
        </w:rPr>
        <w:t>и</w:t>
      </w:r>
      <w:r w:rsidRPr="00951C6B">
        <w:rPr>
          <w:lang w:eastAsia="ru-RU"/>
        </w:rPr>
        <w:t>ем высокоавтоматизированных транспортных средств как на институционал</w:t>
      </w:r>
      <w:r w:rsidRPr="00951C6B">
        <w:rPr>
          <w:lang w:eastAsia="ru-RU"/>
        </w:rPr>
        <w:t>ь</w:t>
      </w:r>
      <w:r w:rsidRPr="00951C6B">
        <w:rPr>
          <w:lang w:eastAsia="ru-RU"/>
        </w:rPr>
        <w:t>ном, так и на операционном уровне. В ходе демонстрации технологий участн</w:t>
      </w:r>
      <w:r w:rsidRPr="00951C6B">
        <w:rPr>
          <w:lang w:eastAsia="ru-RU"/>
        </w:rPr>
        <w:t>и</w:t>
      </w:r>
      <w:r w:rsidRPr="00951C6B">
        <w:rPr>
          <w:lang w:eastAsia="ru-RU"/>
        </w:rPr>
        <w:t>ки смогли ознакомиться с недавно введенными автономными системами упра</w:t>
      </w:r>
      <w:r w:rsidRPr="00951C6B">
        <w:rPr>
          <w:lang w:eastAsia="ru-RU"/>
        </w:rPr>
        <w:t>в</w:t>
      </w:r>
      <w:r w:rsidRPr="00951C6B">
        <w:rPr>
          <w:lang w:eastAsia="ru-RU"/>
        </w:rPr>
        <w:t>ления. Это рабочее совещание проводилось после аналогичного мероприятия в Стэнфордском университете в Соединенных Штатах Америки, прошедшего в октябре 2016 года, которое положило начало диалогу и определило направления дальнейшего обсуждения.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12.</w:t>
      </w:r>
      <w:r w:rsidRPr="00951C6B">
        <w:rPr>
          <w:lang w:eastAsia="ru-RU"/>
        </w:rPr>
        <w:tab/>
        <w:t>На рабочем совещании не стояло задачи согласовать лучшие методы обеспечения безопасности; оно было организовано с тем, чтобы предоставить возможность открыто обсудить вызовы и возможности. Организаторы стрем</w:t>
      </w:r>
      <w:r w:rsidRPr="00951C6B">
        <w:rPr>
          <w:lang w:eastAsia="ru-RU"/>
        </w:rPr>
        <w:t>и</w:t>
      </w:r>
      <w:r w:rsidRPr="00951C6B">
        <w:rPr>
          <w:lang w:eastAsia="ru-RU"/>
        </w:rPr>
        <w:t>лись сосредоточить внимание на вопросах, связанных с интеграцией высокоа</w:t>
      </w:r>
      <w:r w:rsidRPr="00951C6B">
        <w:rPr>
          <w:lang w:eastAsia="ru-RU"/>
        </w:rPr>
        <w:t>в</w:t>
      </w:r>
      <w:r w:rsidRPr="00951C6B">
        <w:rPr>
          <w:lang w:eastAsia="ru-RU"/>
        </w:rPr>
        <w:t>томатизированных транспортных средств в дорожное движение, и подтолкнуть широкий круг заинтересованных сторон к размышлению о подходах к обесп</w:t>
      </w:r>
      <w:r w:rsidRPr="00951C6B">
        <w:rPr>
          <w:lang w:eastAsia="ru-RU"/>
        </w:rPr>
        <w:t>е</w:t>
      </w:r>
      <w:r w:rsidRPr="00951C6B">
        <w:rPr>
          <w:lang w:eastAsia="ru-RU"/>
        </w:rPr>
        <w:t>чению максимальной безопасности дорожного движения в будущем. На сов</w:t>
      </w:r>
      <w:r w:rsidRPr="00951C6B">
        <w:rPr>
          <w:lang w:eastAsia="ru-RU"/>
        </w:rPr>
        <w:t>е</w:t>
      </w:r>
      <w:r w:rsidRPr="00951C6B">
        <w:rPr>
          <w:lang w:eastAsia="ru-RU"/>
        </w:rPr>
        <w:t>щании выступили признанные на международном уровне эксперты в области технологий, государственной политики и методов обеспечения безопасности. Обсуждались, в том числе, следующие конкретные темы: новости и обзор те</w:t>
      </w:r>
      <w:r w:rsidRPr="00951C6B">
        <w:rPr>
          <w:lang w:eastAsia="ru-RU"/>
        </w:rPr>
        <w:t>х</w:t>
      </w:r>
      <w:r w:rsidRPr="00951C6B">
        <w:rPr>
          <w:lang w:eastAsia="ru-RU"/>
        </w:rPr>
        <w:t>нологий; институциональная готовность и внесение изменений в законодател</w:t>
      </w:r>
      <w:r w:rsidRPr="00951C6B">
        <w:rPr>
          <w:lang w:eastAsia="ru-RU"/>
        </w:rPr>
        <w:t>ь</w:t>
      </w:r>
      <w:r w:rsidRPr="00951C6B">
        <w:rPr>
          <w:lang w:eastAsia="ru-RU"/>
        </w:rPr>
        <w:t>ство; методы управления – вызовы и возможности; соображения в отношении испытания автономных транспортных средств на дорогах общего пользования; просвещение потребителей и принятие, которые сопровождались вступител</w:t>
      </w:r>
      <w:r w:rsidRPr="00951C6B">
        <w:rPr>
          <w:lang w:eastAsia="ru-RU"/>
        </w:rPr>
        <w:t>ь</w:t>
      </w:r>
      <w:r w:rsidRPr="00951C6B">
        <w:rPr>
          <w:lang w:eastAsia="ru-RU"/>
        </w:rPr>
        <w:t>ными и заключительными замечаниями спонсоров совещания.</w:t>
      </w:r>
    </w:p>
    <w:p w:rsidR="00951C6B" w:rsidRPr="00951C6B" w:rsidRDefault="00951C6B" w:rsidP="00951C6B">
      <w:pPr>
        <w:pStyle w:val="SingleTxtGR"/>
        <w:rPr>
          <w:i/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1, 2, </w:t>
      </w:r>
      <w:r w:rsidRPr="00951C6B">
        <w:rPr>
          <w:b/>
          <w:bCs/>
          <w:i/>
          <w:iCs/>
          <w:lang w:eastAsia="ru-RU"/>
        </w:rPr>
        <w:t>3</w:t>
      </w:r>
      <w:r w:rsidRPr="00951C6B">
        <w:rPr>
          <w:i/>
          <w:iCs/>
          <w:lang w:eastAsia="ru-RU"/>
        </w:rPr>
        <w:t>, 4, 5, 6, 7, 8, 9 и 10.</w:t>
      </w:r>
    </w:p>
    <w:p w:rsidR="00951C6B" w:rsidRPr="00951C6B" w:rsidRDefault="00951C6B" w:rsidP="00951C6B">
      <w:pPr>
        <w:pStyle w:val="H23GR"/>
      </w:pPr>
      <w:r w:rsidRPr="00951C6B">
        <w:tab/>
        <w:t>4.</w:t>
      </w:r>
      <w:r w:rsidRPr="00951C6B">
        <w:tab/>
        <w:t>Рабочая группа по вопросам торможения и ходовой части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13.</w:t>
      </w:r>
      <w:r w:rsidRPr="00951C6B">
        <w:rPr>
          <w:lang w:eastAsia="ru-RU"/>
        </w:rPr>
        <w:tab/>
        <w:t>В порядке выполнения решения Всемирного форума, касающегося вн</w:t>
      </w:r>
      <w:r w:rsidRPr="00951C6B">
        <w:rPr>
          <w:lang w:eastAsia="ru-RU"/>
        </w:rPr>
        <w:t>е</w:t>
      </w:r>
      <w:r w:rsidRPr="00951C6B">
        <w:rPr>
          <w:lang w:eastAsia="ru-RU"/>
        </w:rPr>
        <w:t>сения поправок в Правила № 79, которые были сочтены запретительными в о</w:t>
      </w:r>
      <w:r w:rsidRPr="00951C6B">
        <w:rPr>
          <w:lang w:eastAsia="ru-RU"/>
        </w:rPr>
        <w:t>т</w:t>
      </w:r>
      <w:r w:rsidRPr="00951C6B">
        <w:rPr>
          <w:lang w:eastAsia="ru-RU"/>
        </w:rPr>
        <w:t>ношении инноваций в области технологий автоматического управления тран</w:t>
      </w:r>
      <w:r w:rsidRPr="00951C6B">
        <w:rPr>
          <w:lang w:eastAsia="ru-RU"/>
        </w:rPr>
        <w:t>с</w:t>
      </w:r>
      <w:r w:rsidRPr="00951C6B">
        <w:rPr>
          <w:lang w:eastAsia="ru-RU"/>
        </w:rPr>
        <w:t>портными средствами, Рабочая группа инициировала создание неофициальной рабочей группы по автоматизированным функциям рулевого управления. Эта группа определила пять категорий автоматизации по функциям, которые сможет выполнять транспортное средство, и приняла эксплуатационные требования по первым двум уровням автоматизации, определенным Международным общ</w:t>
      </w:r>
      <w:r w:rsidRPr="00951C6B">
        <w:rPr>
          <w:lang w:eastAsia="ru-RU"/>
        </w:rPr>
        <w:t>е</w:t>
      </w:r>
      <w:r w:rsidRPr="00951C6B">
        <w:rPr>
          <w:lang w:eastAsia="ru-RU"/>
        </w:rPr>
        <w:t>ством инженеров автомобильной промышленности.</w:t>
      </w:r>
    </w:p>
    <w:p w:rsidR="00951C6B" w:rsidRPr="00951C6B" w:rsidRDefault="00951C6B" w:rsidP="00FA67B3">
      <w:pPr>
        <w:pStyle w:val="SingleTxtGR"/>
        <w:rPr>
          <w:lang w:eastAsia="ru-RU"/>
        </w:rPr>
      </w:pPr>
      <w:r w:rsidRPr="00951C6B">
        <w:rPr>
          <w:lang w:eastAsia="ru-RU"/>
        </w:rPr>
        <w:t>14.</w:t>
      </w:r>
      <w:r w:rsidRPr="00951C6B">
        <w:rPr>
          <w:lang w:eastAsia="ru-RU"/>
        </w:rPr>
        <w:tab/>
        <w:t>Речь идет о таких системах, которые при определенных условиях вожд</w:t>
      </w:r>
      <w:r w:rsidRPr="00951C6B">
        <w:rPr>
          <w:lang w:eastAsia="ru-RU"/>
        </w:rPr>
        <w:t>е</w:t>
      </w:r>
      <w:r w:rsidRPr="00951C6B">
        <w:rPr>
          <w:lang w:eastAsia="ru-RU"/>
        </w:rPr>
        <w:t>ния принимают на себя управление транспортным средством при постоянном наблюдении со стороны водителя, т</w:t>
      </w:r>
      <w:r w:rsidR="00FA67B3">
        <w:rPr>
          <w:lang w:val="en-US" w:eastAsia="ru-RU"/>
        </w:rPr>
        <w:t>.</w:t>
      </w:r>
      <w:r w:rsidRPr="00951C6B">
        <w:rPr>
          <w:lang w:eastAsia="ru-RU"/>
        </w:rPr>
        <w:t>е</w:t>
      </w:r>
      <w:r w:rsidR="00FA67B3">
        <w:rPr>
          <w:lang w:val="en-US" w:eastAsia="ru-RU"/>
        </w:rPr>
        <w:t>.</w:t>
      </w:r>
      <w:r w:rsidRPr="00951C6B">
        <w:rPr>
          <w:lang w:eastAsia="ru-RU"/>
        </w:rPr>
        <w:t xml:space="preserve"> об автоматизированных системах парко</w:t>
      </w:r>
      <w:r w:rsidRPr="00951C6B">
        <w:rPr>
          <w:lang w:eastAsia="ru-RU"/>
        </w:rPr>
        <w:t>в</w:t>
      </w:r>
      <w:r w:rsidRPr="00951C6B">
        <w:rPr>
          <w:lang w:eastAsia="ru-RU"/>
        </w:rPr>
        <w:t>ки и системах удержания в пределах полосы движения (например, автомобиль корректирует ситуацию в случае вероятности случайного выхода за пределы полосы движения). Они позволяют также снять нынешнее ограничение в отн</w:t>
      </w:r>
      <w:r w:rsidRPr="00951C6B">
        <w:rPr>
          <w:lang w:eastAsia="ru-RU"/>
        </w:rPr>
        <w:t>о</w:t>
      </w:r>
      <w:r w:rsidRPr="00951C6B">
        <w:rPr>
          <w:lang w:eastAsia="ru-RU"/>
        </w:rPr>
        <w:t>шении автоматической корректировки направления движения на скорости ниже 10 км/ч, предусмотренное Правилами ООН № 79. В марте 2017 года Всеми</w:t>
      </w:r>
      <w:r w:rsidRPr="00951C6B">
        <w:rPr>
          <w:lang w:eastAsia="ru-RU"/>
        </w:rPr>
        <w:t>р</w:t>
      </w:r>
      <w:r w:rsidRPr="00951C6B">
        <w:rPr>
          <w:lang w:eastAsia="ru-RU"/>
        </w:rPr>
        <w:t>ный форум принял положения для включения в Правила ООН № 79 в качестве новой серии поправок, которые вступили в силу в октябре 2017 года и должны начать применяться с апреля 2018 года. Группа продолжила работать над треб</w:t>
      </w:r>
      <w:r w:rsidRPr="00951C6B">
        <w:rPr>
          <w:lang w:eastAsia="ru-RU"/>
        </w:rPr>
        <w:t>о</w:t>
      </w:r>
      <w:r w:rsidRPr="00951C6B">
        <w:rPr>
          <w:lang w:eastAsia="ru-RU"/>
        </w:rPr>
        <w:t xml:space="preserve">ваниями для более сложных автоматических систем управления на скоростных трассах (например, в контексте самоуправляемого движения на скоростных трассах на высоких скоростях), а в декабре 2017 года провела чрезвычайную сессию для завершения подготовки текста положений о системах, способных помогать водителю при выполнении маневра по смене полосы движения. </w:t>
      </w:r>
    </w:p>
    <w:p w:rsidR="00951C6B" w:rsidRPr="00951C6B" w:rsidRDefault="00951C6B" w:rsidP="00951C6B">
      <w:pPr>
        <w:pStyle w:val="SingleTxtGR"/>
        <w:rPr>
          <w:i/>
          <w:lang w:eastAsia="ru-RU"/>
        </w:rPr>
      </w:pPr>
      <w:r w:rsidRPr="00951C6B">
        <w:rPr>
          <w:i/>
          <w:iCs/>
          <w:lang w:eastAsia="ru-RU"/>
        </w:rPr>
        <w:lastRenderedPageBreak/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</w:t>
      </w:r>
      <w:r w:rsidRPr="00951C6B">
        <w:rPr>
          <w:b/>
          <w:bCs/>
          <w:i/>
          <w:iCs/>
          <w:lang w:eastAsia="ru-RU"/>
        </w:rPr>
        <w:t>2</w:t>
      </w:r>
      <w:r w:rsidRPr="00951C6B">
        <w:rPr>
          <w:i/>
          <w:iCs/>
          <w:lang w:eastAsia="ru-RU"/>
        </w:rPr>
        <w:t xml:space="preserve">, 3, 4, 6, </w:t>
      </w:r>
      <w:r w:rsidRPr="00951C6B">
        <w:rPr>
          <w:b/>
          <w:bCs/>
          <w:i/>
          <w:iCs/>
          <w:lang w:eastAsia="ru-RU"/>
        </w:rPr>
        <w:t>9</w:t>
      </w:r>
      <w:r w:rsidRPr="00951C6B">
        <w:rPr>
          <w:i/>
          <w:iCs/>
          <w:lang w:eastAsia="ru-RU"/>
        </w:rPr>
        <w:t>, 15 и 17.</w:t>
      </w:r>
    </w:p>
    <w:p w:rsidR="00951C6B" w:rsidRPr="00951C6B" w:rsidRDefault="00951C6B" w:rsidP="00951C6B">
      <w:pPr>
        <w:pStyle w:val="H23GR"/>
      </w:pPr>
      <w:r w:rsidRPr="00951C6B">
        <w:tab/>
        <w:t>5.</w:t>
      </w:r>
      <w:r w:rsidRPr="00951C6B">
        <w:tab/>
        <w:t>Неофициальная рабочая группа по интеллектуальным транспортным системам/автоматизированному вождению Всемирного форума для согласования правил в области транспортных средств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15.</w:t>
      </w:r>
      <w:r w:rsidRPr="00951C6B">
        <w:rPr>
          <w:lang w:eastAsia="ru-RU"/>
        </w:rPr>
        <w:tab/>
        <w:t>Мандатом неофициальной рабочей группы по ИТС/автоматизированному вождению предусмотрены следующие рабочие вопросы, которые группа дол</w:t>
      </w:r>
      <w:r w:rsidRPr="00951C6B">
        <w:rPr>
          <w:lang w:eastAsia="ru-RU"/>
        </w:rPr>
        <w:t>ж</w:t>
      </w:r>
      <w:r w:rsidRPr="00951C6B">
        <w:rPr>
          <w:lang w:eastAsia="ru-RU"/>
        </w:rPr>
        <w:t xml:space="preserve">на охватить в рамках своей деятельности: </w:t>
      </w:r>
    </w:p>
    <w:p w:rsidR="00951C6B" w:rsidRPr="00951C6B" w:rsidRDefault="00951C6B" w:rsidP="005C6AA4">
      <w:pPr>
        <w:pStyle w:val="SingleTxtGR"/>
        <w:rPr>
          <w:lang w:eastAsia="ru-RU"/>
        </w:rPr>
      </w:pPr>
      <w:r w:rsidRPr="00951C6B">
        <w:rPr>
          <w:lang w:eastAsia="ru-RU"/>
        </w:rPr>
        <w:tab/>
        <w:t>a)</w:t>
      </w:r>
      <w:r w:rsidRPr="00951C6B">
        <w:rPr>
          <w:lang w:eastAsia="ru-RU"/>
        </w:rPr>
        <w:tab/>
        <w:t>подготовка предложения по согласованным определениям технол</w:t>
      </w:r>
      <w:r w:rsidRPr="00951C6B">
        <w:rPr>
          <w:lang w:eastAsia="ru-RU"/>
        </w:rPr>
        <w:t>о</w:t>
      </w:r>
      <w:r w:rsidRPr="00951C6B">
        <w:rPr>
          <w:lang w:eastAsia="ru-RU"/>
        </w:rPr>
        <w:t xml:space="preserve">гий автоматизированного вождения (ТАВ); </w:t>
      </w:r>
    </w:p>
    <w:p w:rsidR="00951C6B" w:rsidRPr="00951C6B" w:rsidRDefault="00951C6B" w:rsidP="00E61064">
      <w:pPr>
        <w:pStyle w:val="SingleTxtGR"/>
        <w:rPr>
          <w:lang w:eastAsia="ru-RU"/>
        </w:rPr>
      </w:pPr>
      <w:r w:rsidRPr="00951C6B">
        <w:rPr>
          <w:lang w:eastAsia="ru-RU"/>
        </w:rPr>
        <w:tab/>
        <w:t>b)</w:t>
      </w:r>
      <w:r w:rsidRPr="00951C6B">
        <w:rPr>
          <w:lang w:eastAsia="ru-RU"/>
        </w:rPr>
        <w:tab/>
        <w:t>выявление основных горизонтальных вопросов и правовых препя</w:t>
      </w:r>
      <w:r w:rsidRPr="00951C6B">
        <w:rPr>
          <w:lang w:eastAsia="ru-RU"/>
        </w:rPr>
        <w:t>т</w:t>
      </w:r>
      <w:r w:rsidRPr="00951C6B">
        <w:rPr>
          <w:lang w:eastAsia="ru-RU"/>
        </w:rPr>
        <w:t>ствий для внедрения технологий автоматизированного вождения, а также, когда это возможно и целесообразно, тех вопросов, которые не относятся к вед</w:t>
      </w:r>
      <w:r w:rsidRPr="00951C6B">
        <w:rPr>
          <w:lang w:eastAsia="ru-RU"/>
        </w:rPr>
        <w:t>е</w:t>
      </w:r>
      <w:r w:rsidRPr="00951C6B">
        <w:rPr>
          <w:lang w:eastAsia="ru-RU"/>
        </w:rPr>
        <w:t>нию</w:t>
      </w:r>
      <w:r w:rsidR="00E61064">
        <w:rPr>
          <w:lang w:val="en-US" w:eastAsia="ru-RU"/>
        </w:rPr>
        <w:t> </w:t>
      </w:r>
      <w:r w:rsidRPr="00951C6B">
        <w:rPr>
          <w:lang w:eastAsia="ru-RU"/>
        </w:rPr>
        <w:t>WP.29;</w:t>
      </w:r>
    </w:p>
    <w:p w:rsidR="00951C6B" w:rsidRPr="00951C6B" w:rsidRDefault="00951C6B" w:rsidP="005C6AA4">
      <w:pPr>
        <w:pStyle w:val="SingleTxtGR"/>
        <w:rPr>
          <w:lang w:eastAsia="ru-RU"/>
        </w:rPr>
      </w:pPr>
      <w:r w:rsidRPr="00951C6B">
        <w:rPr>
          <w:lang w:eastAsia="ru-RU"/>
        </w:rPr>
        <w:tab/>
        <w:t>с)</w:t>
      </w:r>
      <w:r w:rsidRPr="00951C6B">
        <w:rPr>
          <w:lang w:eastAsia="ru-RU"/>
        </w:rPr>
        <w:tab/>
        <w:t>подготовка предложения по согласованным общим руководящим принципам обеспечения кибербезопасности (eSecurity и eSafety) автотран</w:t>
      </w:r>
      <w:r w:rsidRPr="00951C6B">
        <w:rPr>
          <w:lang w:eastAsia="ru-RU"/>
        </w:rPr>
        <w:t>с</w:t>
      </w:r>
      <w:r w:rsidRPr="00951C6B">
        <w:rPr>
          <w:lang w:eastAsia="ru-RU"/>
        </w:rPr>
        <w:t xml:space="preserve">портных средств. </w:t>
      </w:r>
    </w:p>
    <w:p w:rsidR="00951C6B" w:rsidRPr="00951C6B" w:rsidRDefault="00951C6B" w:rsidP="005C6AA4">
      <w:pPr>
        <w:pStyle w:val="SingleTxtGR"/>
        <w:rPr>
          <w:lang w:eastAsia="ru-RU"/>
        </w:rPr>
      </w:pPr>
      <w:r w:rsidRPr="00951C6B">
        <w:rPr>
          <w:lang w:eastAsia="ru-RU"/>
        </w:rPr>
        <w:t>Кроме того, группа продолжает обмениваться информацией о технологиях по</w:t>
      </w:r>
      <w:r w:rsidRPr="00951C6B">
        <w:rPr>
          <w:lang w:eastAsia="ru-RU"/>
        </w:rPr>
        <w:t>л</w:t>
      </w:r>
      <w:r w:rsidRPr="00951C6B">
        <w:rPr>
          <w:lang w:eastAsia="ru-RU"/>
        </w:rPr>
        <w:t>ностью автоматического управления транспортными средствами.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16.</w:t>
      </w:r>
      <w:r w:rsidRPr="00951C6B">
        <w:rPr>
          <w:lang w:eastAsia="ru-RU"/>
        </w:rPr>
        <w:tab/>
        <w:t>Группа провела успешную работу по определению уровней автоматиз</w:t>
      </w:r>
      <w:r w:rsidRPr="00951C6B">
        <w:rPr>
          <w:lang w:eastAsia="ru-RU"/>
        </w:rPr>
        <w:t>а</w:t>
      </w:r>
      <w:r w:rsidRPr="00951C6B">
        <w:rPr>
          <w:lang w:eastAsia="ru-RU"/>
        </w:rPr>
        <w:t>ции, взяв за основу для обсуждения стандарт SAE J3016, и подготовила раб</w:t>
      </w:r>
      <w:r w:rsidRPr="00951C6B">
        <w:rPr>
          <w:lang w:eastAsia="ru-RU"/>
        </w:rPr>
        <w:t>о</w:t>
      </w:r>
      <w:r w:rsidRPr="00951C6B">
        <w:rPr>
          <w:lang w:eastAsia="ru-RU"/>
        </w:rPr>
        <w:t xml:space="preserve">чий документ для рассмотрения WP.29 в ноябре 2017 года. 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17.</w:t>
      </w:r>
      <w:r w:rsidRPr="00951C6B">
        <w:rPr>
          <w:lang w:eastAsia="ru-RU"/>
        </w:rPr>
        <w:tab/>
      </w:r>
      <w:r w:rsidRPr="00FC1780">
        <w:rPr>
          <w:spacing w:val="2"/>
          <w:lang w:eastAsia="ru-RU"/>
        </w:rPr>
        <w:t>Группа организовала совещание по принципу «мозговой атаки» по вопросу о</w:t>
      </w:r>
      <w:r w:rsidRPr="00951C6B">
        <w:rPr>
          <w:lang w:eastAsia="ru-RU"/>
        </w:rPr>
        <w:t xml:space="preserve"> способах отражения такого фактора, как автоматизация транспортного сре</w:t>
      </w:r>
      <w:r w:rsidRPr="00951C6B">
        <w:rPr>
          <w:lang w:eastAsia="ru-RU"/>
        </w:rPr>
        <w:t>д</w:t>
      </w:r>
      <w:r w:rsidRPr="00951C6B">
        <w:rPr>
          <w:lang w:eastAsia="ru-RU"/>
        </w:rPr>
        <w:t>ства, в наименовании его категории и стратегическую дискуссию об официал</w:t>
      </w:r>
      <w:r w:rsidRPr="00951C6B">
        <w:rPr>
          <w:lang w:eastAsia="ru-RU"/>
        </w:rPr>
        <w:t>ь</w:t>
      </w:r>
      <w:r w:rsidRPr="00951C6B">
        <w:rPr>
          <w:lang w:eastAsia="ru-RU"/>
        </w:rPr>
        <w:t>ном утверждении типа транспортных средств с более высоким уровнем автом</w:t>
      </w:r>
      <w:r w:rsidRPr="00951C6B">
        <w:rPr>
          <w:lang w:eastAsia="ru-RU"/>
        </w:rPr>
        <w:t>а</w:t>
      </w:r>
      <w:r w:rsidRPr="00951C6B">
        <w:rPr>
          <w:lang w:eastAsia="ru-RU"/>
        </w:rPr>
        <w:t>тизации. С этой целью группа учредила целевую группу по испытанию автом</w:t>
      </w:r>
      <w:r w:rsidRPr="00951C6B">
        <w:rPr>
          <w:lang w:eastAsia="ru-RU"/>
        </w:rPr>
        <w:t>а</w:t>
      </w:r>
      <w:r w:rsidRPr="00951C6B">
        <w:rPr>
          <w:lang w:eastAsia="ru-RU"/>
        </w:rPr>
        <w:t>тизированных/автономных транспортных средств.</w:t>
      </w:r>
    </w:p>
    <w:p w:rsidR="00951C6B" w:rsidRPr="00951C6B" w:rsidRDefault="00951C6B" w:rsidP="00FC1780">
      <w:pPr>
        <w:pStyle w:val="SingleTxtGR"/>
        <w:rPr>
          <w:lang w:eastAsia="ru-RU"/>
        </w:rPr>
      </w:pPr>
      <w:r w:rsidRPr="00951C6B">
        <w:rPr>
          <w:lang w:eastAsia="ru-RU"/>
        </w:rPr>
        <w:t>18.</w:t>
      </w:r>
      <w:r w:rsidRPr="00951C6B">
        <w:rPr>
          <w:lang w:eastAsia="ru-RU"/>
        </w:rPr>
        <w:tab/>
        <w:t>WP.29 приняла руководящее положение по кибербезопасности и защите данных, разработанное группой под руководством Германии и Японии. В ра</w:t>
      </w:r>
      <w:r w:rsidRPr="00951C6B">
        <w:rPr>
          <w:lang w:eastAsia="ru-RU"/>
        </w:rPr>
        <w:t>з</w:t>
      </w:r>
      <w:r w:rsidRPr="00951C6B">
        <w:rPr>
          <w:lang w:eastAsia="ru-RU"/>
        </w:rPr>
        <w:t>витие этой деятельности группа учредила целевую группу по вопросам кибе</w:t>
      </w:r>
      <w:r w:rsidRPr="00951C6B">
        <w:rPr>
          <w:lang w:eastAsia="ru-RU"/>
        </w:rPr>
        <w:t>р</w:t>
      </w:r>
      <w:r w:rsidRPr="00951C6B">
        <w:rPr>
          <w:lang w:eastAsia="ru-RU"/>
        </w:rPr>
        <w:t>безопасности и беспроводной связи, которая должна представить WP.29 рек</w:t>
      </w:r>
      <w:r w:rsidRPr="00951C6B">
        <w:rPr>
          <w:lang w:eastAsia="ru-RU"/>
        </w:rPr>
        <w:t>о</w:t>
      </w:r>
      <w:r w:rsidRPr="00951C6B">
        <w:rPr>
          <w:lang w:eastAsia="ru-RU"/>
        </w:rPr>
        <w:t xml:space="preserve">мендации в первом полугодии 2018 года. 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b/>
          <w:bCs/>
          <w:i/>
          <w:iCs/>
          <w:lang w:eastAsia="ru-RU"/>
        </w:rPr>
        <w:t>1, 2, 3,</w:t>
      </w:r>
      <w:r w:rsidRPr="00951C6B">
        <w:rPr>
          <w:i/>
          <w:iCs/>
          <w:lang w:eastAsia="ru-RU"/>
        </w:rPr>
        <w:t xml:space="preserve"> 4, </w:t>
      </w:r>
      <w:r w:rsidRPr="00951C6B">
        <w:rPr>
          <w:b/>
          <w:bCs/>
          <w:i/>
          <w:iCs/>
          <w:lang w:eastAsia="ru-RU"/>
        </w:rPr>
        <w:t>5, 7, 8,</w:t>
      </w:r>
      <w:r w:rsidRPr="00951C6B">
        <w:rPr>
          <w:i/>
          <w:iCs/>
          <w:lang w:eastAsia="ru-RU"/>
        </w:rPr>
        <w:t xml:space="preserve"> 9, 10, 11, 16, 17 и 19.</w:t>
      </w:r>
    </w:p>
    <w:p w:rsidR="00951C6B" w:rsidRPr="00951C6B" w:rsidRDefault="00951C6B" w:rsidP="00B82402">
      <w:pPr>
        <w:pStyle w:val="H23GR"/>
      </w:pPr>
      <w:r w:rsidRPr="00951C6B">
        <w:tab/>
        <w:t>6.</w:t>
      </w:r>
      <w:r w:rsidRPr="00951C6B">
        <w:tab/>
        <w:t>Рабочая группа по интермодальным перевозкам и логистике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19.</w:t>
      </w:r>
      <w:r w:rsidRPr="00951C6B">
        <w:rPr>
          <w:lang w:eastAsia="ru-RU"/>
        </w:rPr>
        <w:tab/>
        <w:t>Рабочая группа регулярно обсуждает роль ИТС в интермодальных пер</w:t>
      </w:r>
      <w:r w:rsidRPr="00951C6B">
        <w:rPr>
          <w:lang w:eastAsia="ru-RU"/>
        </w:rPr>
        <w:t>е</w:t>
      </w:r>
      <w:r w:rsidRPr="00951C6B">
        <w:rPr>
          <w:lang w:eastAsia="ru-RU"/>
        </w:rPr>
        <w:t>возках и логистике, приглашая экспертов для представления проектов, новато</w:t>
      </w:r>
      <w:r w:rsidRPr="00951C6B">
        <w:rPr>
          <w:lang w:eastAsia="ru-RU"/>
        </w:rPr>
        <w:t>р</w:t>
      </w:r>
      <w:r w:rsidRPr="00951C6B">
        <w:rPr>
          <w:lang w:eastAsia="ru-RU"/>
        </w:rPr>
        <w:t>ских решений и передовой практики в области ИТС. В этом году Рабочая гру</w:t>
      </w:r>
      <w:r w:rsidRPr="00951C6B">
        <w:rPr>
          <w:lang w:eastAsia="ru-RU"/>
        </w:rPr>
        <w:t>п</w:t>
      </w:r>
      <w:r w:rsidRPr="00951C6B">
        <w:rPr>
          <w:lang w:eastAsia="ru-RU"/>
        </w:rPr>
        <w:t xml:space="preserve">па пригласила представителей проекта Европейского союза </w:t>
      </w:r>
      <w:r>
        <w:rPr>
          <w:lang w:eastAsia="ru-RU"/>
        </w:rPr>
        <w:t>«</w:t>
      </w:r>
      <w:r w:rsidRPr="00951C6B">
        <w:rPr>
          <w:lang w:eastAsia="ru-RU"/>
        </w:rPr>
        <w:t>Теллисис</w:t>
      </w:r>
      <w:r>
        <w:rPr>
          <w:lang w:eastAsia="ru-RU"/>
        </w:rPr>
        <w:t>»</w:t>
      </w:r>
      <w:r w:rsidRPr="00951C6B">
        <w:rPr>
          <w:lang w:eastAsia="ru-RU"/>
        </w:rPr>
        <w:t>, в ра</w:t>
      </w:r>
      <w:r w:rsidRPr="00951C6B">
        <w:rPr>
          <w:lang w:eastAsia="ru-RU"/>
        </w:rPr>
        <w:t>м</w:t>
      </w:r>
      <w:r w:rsidRPr="00951C6B">
        <w:rPr>
          <w:lang w:eastAsia="ru-RU"/>
        </w:rPr>
        <w:t>ках которого ведется разработка комплексного интермодального решения с о</w:t>
      </w:r>
      <w:r w:rsidRPr="00951C6B">
        <w:rPr>
          <w:lang w:eastAsia="ru-RU"/>
        </w:rPr>
        <w:t>п</w:t>
      </w:r>
      <w:r w:rsidRPr="00951C6B">
        <w:rPr>
          <w:lang w:eastAsia="ru-RU"/>
        </w:rPr>
        <w:t>тимизацией объемов, включая производственную линейку новых интермодал</w:t>
      </w:r>
      <w:r w:rsidRPr="00951C6B">
        <w:rPr>
          <w:lang w:eastAsia="ru-RU"/>
        </w:rPr>
        <w:t>ь</w:t>
      </w:r>
      <w:r w:rsidRPr="00951C6B">
        <w:rPr>
          <w:lang w:eastAsia="ru-RU"/>
        </w:rPr>
        <w:t>ных грузовых единиц, удовлетворяющих существующие на сегодняшний день потребности рынка. Это решение способствует повышению эффективности и</w:t>
      </w:r>
      <w:r w:rsidRPr="00951C6B">
        <w:rPr>
          <w:lang w:eastAsia="ru-RU"/>
        </w:rPr>
        <w:t>н</w:t>
      </w:r>
      <w:r w:rsidRPr="00951C6B">
        <w:rPr>
          <w:lang w:eastAsia="ru-RU"/>
        </w:rPr>
        <w:t>термодальных логистических цепочек, поскольку отвечает потребностям Евр</w:t>
      </w:r>
      <w:r w:rsidRPr="00951C6B">
        <w:rPr>
          <w:lang w:eastAsia="ru-RU"/>
        </w:rPr>
        <w:t>о</w:t>
      </w:r>
      <w:r w:rsidRPr="00951C6B">
        <w:rPr>
          <w:lang w:eastAsia="ru-RU"/>
        </w:rPr>
        <w:t xml:space="preserve">пейского союза в более энергоэффективных сетях материально-технического обеспечения с низким уровнем выбросов и способствует более эффективным перевозкам, облегчая состыкование различных видов транспорта. 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1, 2, 3, 4, 5, 6, </w:t>
      </w:r>
      <w:r w:rsidRPr="00951C6B">
        <w:rPr>
          <w:b/>
          <w:bCs/>
          <w:i/>
          <w:iCs/>
          <w:lang w:eastAsia="ru-RU"/>
        </w:rPr>
        <w:t>13, 15,</w:t>
      </w:r>
      <w:r w:rsidRPr="00951C6B">
        <w:rPr>
          <w:i/>
          <w:iCs/>
          <w:lang w:eastAsia="ru-RU"/>
        </w:rPr>
        <w:t xml:space="preserve"> 16, 17, 18 и 19.</w:t>
      </w:r>
    </w:p>
    <w:p w:rsidR="00951C6B" w:rsidRPr="00951C6B" w:rsidRDefault="00951C6B" w:rsidP="00B82402">
      <w:pPr>
        <w:pStyle w:val="HChGR"/>
      </w:pPr>
      <w:r w:rsidRPr="00951C6B">
        <w:lastRenderedPageBreak/>
        <w:tab/>
        <w:t>III.</w:t>
      </w:r>
      <w:r w:rsidRPr="00951C6B">
        <w:tab/>
        <w:t>Мероприятия вне рамок ЕЭК ООН в 2017 году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20.</w:t>
      </w:r>
      <w:r w:rsidRPr="00951C6B">
        <w:rPr>
          <w:lang w:eastAsia="ru-RU"/>
        </w:rPr>
        <w:tab/>
        <w:t>В сентябре 2017 года, после их совещания в Италии, министры транспо</w:t>
      </w:r>
      <w:r w:rsidRPr="00951C6B">
        <w:rPr>
          <w:lang w:eastAsia="ru-RU"/>
        </w:rPr>
        <w:t>р</w:t>
      </w:r>
      <w:r w:rsidRPr="00951C6B">
        <w:rPr>
          <w:lang w:eastAsia="ru-RU"/>
        </w:rPr>
        <w:t xml:space="preserve">та стран Группы 7 опубликовали свою декларацию. Министры </w:t>
      </w:r>
      <w:r>
        <w:rPr>
          <w:lang w:eastAsia="ru-RU"/>
        </w:rPr>
        <w:t>«</w:t>
      </w:r>
      <w:r w:rsidRPr="00951C6B">
        <w:rPr>
          <w:lang w:eastAsia="ru-RU"/>
        </w:rPr>
        <w:t>призывают Всемирный форум по согласованию правил в отношении автотранспортных средств Европейской экономической комиссии Организации Объединенных Наций продолжить работу над фундаментальными техническими принципами, включая соответствующие эксплуатационные параметры и процедуры испыт</w:t>
      </w:r>
      <w:r w:rsidRPr="00951C6B">
        <w:rPr>
          <w:lang w:eastAsia="ru-RU"/>
        </w:rPr>
        <w:t>а</w:t>
      </w:r>
      <w:r w:rsidRPr="00951C6B">
        <w:rPr>
          <w:lang w:eastAsia="ru-RU"/>
        </w:rPr>
        <w:t>ний, позволяющие подтвердить эффективность и безопасность таких технол</w:t>
      </w:r>
      <w:r w:rsidRPr="00951C6B">
        <w:rPr>
          <w:lang w:eastAsia="ru-RU"/>
        </w:rPr>
        <w:t>о</w:t>
      </w:r>
      <w:r w:rsidRPr="00951C6B">
        <w:rPr>
          <w:lang w:eastAsia="ru-RU"/>
        </w:rPr>
        <w:t>гий, сосредоточить свою деятельность на системах с более высоким уровнем автоматизации и проанализировать вопрос о том, должны ли быть определены новые категории для учета всех видов автоматизированных систем вождения</w:t>
      </w:r>
      <w:r>
        <w:rPr>
          <w:lang w:eastAsia="ru-RU"/>
        </w:rPr>
        <w:t>»</w:t>
      </w:r>
      <w:r w:rsidRPr="00951C6B">
        <w:rPr>
          <w:lang w:eastAsia="ru-RU"/>
        </w:rPr>
        <w:t xml:space="preserve">. </w:t>
      </w:r>
    </w:p>
    <w:p w:rsidR="00951C6B" w:rsidRPr="00951C6B" w:rsidRDefault="00951C6B" w:rsidP="00B82402">
      <w:pPr>
        <w:pStyle w:val="SingleTxtGR"/>
        <w:rPr>
          <w:lang w:eastAsia="ru-RU"/>
        </w:rPr>
      </w:pPr>
      <w:r w:rsidRPr="00951C6B">
        <w:rPr>
          <w:lang w:eastAsia="ru-RU"/>
        </w:rPr>
        <w:t>21.</w:t>
      </w:r>
      <w:r w:rsidRPr="00951C6B">
        <w:rPr>
          <w:lang w:eastAsia="ru-RU"/>
        </w:rPr>
        <w:tab/>
        <w:t>Принятое руководящее положение по кибербезопасности и защите да</w:t>
      </w:r>
      <w:r w:rsidRPr="00951C6B">
        <w:rPr>
          <w:lang w:eastAsia="ru-RU"/>
        </w:rPr>
        <w:t>н</w:t>
      </w:r>
      <w:r w:rsidRPr="00951C6B">
        <w:rPr>
          <w:lang w:eastAsia="ru-RU"/>
        </w:rPr>
        <w:t>ных было упомянуто в резолюции о защите данных в автоматизированных и подключенных транспортных средствах, которая была принята на тридцать восьмой Международной конференции уполномоченных по защите данных и неприкосновенности частной жизни в сентябре 2017 года (</w:t>
      </w:r>
      <w:hyperlink r:id="rId10" w:history="1">
        <w:r w:rsidRPr="00B82402">
          <w:rPr>
            <w:rStyle w:val="Hyperlink"/>
            <w:color w:val="auto"/>
            <w:spacing w:val="2"/>
            <w:lang w:eastAsia="ru-RU"/>
          </w:rPr>
          <w:t>https://icdppc.org/wp-content/uploads/2015/02/Resolution-on-data-protection-in-automated-and-connected-vehicles-.pdf</w:t>
        </w:r>
      </w:hyperlink>
      <w:r w:rsidRPr="00951C6B">
        <w:rPr>
          <w:lang w:eastAsia="ru-RU"/>
        </w:rPr>
        <w:t>).</w:t>
      </w:r>
    </w:p>
    <w:p w:rsidR="00951C6B" w:rsidRPr="00951C6B" w:rsidRDefault="00951C6B" w:rsidP="00951C6B">
      <w:pPr>
        <w:pStyle w:val="SingleTxtGR"/>
        <w:rPr>
          <w:lang w:eastAsia="ru-RU"/>
        </w:rPr>
      </w:pPr>
      <w:r w:rsidRPr="00951C6B">
        <w:rPr>
          <w:lang w:eastAsia="ru-RU"/>
        </w:rPr>
        <w:t>22.</w:t>
      </w:r>
      <w:r w:rsidRPr="00951C6B">
        <w:rPr>
          <w:lang w:eastAsia="ru-RU"/>
        </w:rPr>
        <w:tab/>
        <w:t>С целью повышения информированности о деятельности ЕЭК ООН и д</w:t>
      </w:r>
      <w:r w:rsidRPr="00951C6B">
        <w:rPr>
          <w:lang w:eastAsia="ru-RU"/>
        </w:rPr>
        <w:t>о</w:t>
      </w:r>
      <w:r w:rsidRPr="00951C6B">
        <w:rPr>
          <w:lang w:eastAsia="ru-RU"/>
        </w:rPr>
        <w:t>стигнутом прогрессе сотрудники секретариата приняли участие в нескольких конференциях по ИТС, кибербезопасности и автоматизации транспортных средств.</w:t>
      </w:r>
    </w:p>
    <w:p w:rsidR="00951C6B" w:rsidRDefault="00951C6B" w:rsidP="00951C6B">
      <w:pPr>
        <w:pStyle w:val="SingleTxtGR"/>
        <w:rPr>
          <w:lang w:eastAsia="ru-RU"/>
        </w:rPr>
      </w:pPr>
      <w:r w:rsidRPr="00951C6B">
        <w:rPr>
          <w:i/>
          <w:iCs/>
          <w:lang w:eastAsia="ru-RU"/>
        </w:rPr>
        <w:t xml:space="preserve">Направления действий </w:t>
      </w:r>
      <w:r>
        <w:rPr>
          <w:i/>
          <w:iCs/>
          <w:lang w:eastAsia="ru-RU"/>
        </w:rPr>
        <w:t>«</w:t>
      </w:r>
      <w:r w:rsidRPr="00951C6B">
        <w:rPr>
          <w:i/>
          <w:iCs/>
          <w:lang w:eastAsia="ru-RU"/>
        </w:rPr>
        <w:t>дорожной карты</w:t>
      </w:r>
      <w:r>
        <w:rPr>
          <w:i/>
          <w:iCs/>
          <w:lang w:eastAsia="ru-RU"/>
        </w:rPr>
        <w:t>»</w:t>
      </w:r>
      <w:r w:rsidRPr="00951C6B">
        <w:rPr>
          <w:lang w:eastAsia="ru-RU"/>
        </w:rPr>
        <w:t xml:space="preserve"> (области первостепенного внимания указаны </w:t>
      </w:r>
      <w:r w:rsidRPr="00951C6B">
        <w:rPr>
          <w:b/>
          <w:bCs/>
          <w:lang w:eastAsia="ru-RU"/>
        </w:rPr>
        <w:t>жирным шрифтом</w:t>
      </w:r>
      <w:r w:rsidRPr="00951C6B">
        <w:rPr>
          <w:lang w:eastAsia="ru-RU"/>
        </w:rPr>
        <w:t xml:space="preserve">): </w:t>
      </w:r>
      <w:r w:rsidRPr="00951C6B">
        <w:rPr>
          <w:i/>
          <w:iCs/>
          <w:lang w:eastAsia="ru-RU"/>
        </w:rPr>
        <w:t xml:space="preserve">1, 2, 3, 4, </w:t>
      </w:r>
      <w:r w:rsidRPr="00951C6B">
        <w:rPr>
          <w:b/>
          <w:bCs/>
          <w:i/>
          <w:iCs/>
          <w:lang w:eastAsia="ru-RU"/>
        </w:rPr>
        <w:t>5</w:t>
      </w:r>
      <w:r w:rsidRPr="00951C6B">
        <w:rPr>
          <w:i/>
          <w:iCs/>
          <w:lang w:eastAsia="ru-RU"/>
        </w:rPr>
        <w:t>, 6, 7, 8, 9, 10 и 19.</w:t>
      </w:r>
    </w:p>
    <w:p w:rsidR="00951C6B" w:rsidRPr="00951C6B" w:rsidRDefault="00951C6B" w:rsidP="00951C6B">
      <w:pPr>
        <w:pStyle w:val="HChGR"/>
      </w:pPr>
      <w:r>
        <w:br w:type="page"/>
      </w:r>
      <w:r w:rsidRPr="00951C6B">
        <w:lastRenderedPageBreak/>
        <w:t>Приложение</w:t>
      </w:r>
    </w:p>
    <w:p w:rsidR="00951C6B" w:rsidRPr="00951C6B" w:rsidRDefault="00951C6B" w:rsidP="00951C6B">
      <w:pPr>
        <w:pStyle w:val="HChGR"/>
      </w:pPr>
      <w:r w:rsidRPr="00951C6B">
        <w:tab/>
      </w:r>
      <w:r w:rsidRPr="00951C6B">
        <w:tab/>
      </w:r>
      <w:r>
        <w:t>«</w:t>
      </w:r>
      <w:r w:rsidRPr="00951C6B">
        <w:t>Дорожная карта</w:t>
      </w:r>
      <w:r>
        <w:t>»</w:t>
      </w:r>
      <w:r w:rsidRPr="00951C6B">
        <w:t xml:space="preserve"> ЕЭК ООН по интеллектуальным транспортным системам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165462" w:rsidRPr="00DF589A" w:rsidTr="00165462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Принятие общего определения для ИТС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11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Согласование знаков с изменяющимся сообщением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2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Согласование политики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12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Сокращение рисков, связанных с перевозками опасных грузов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3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Налаживание международного сотрудничества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13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Интеграция с железнодорожным транспортом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4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Облегчение эксплуатационной совместимости и архитектура ИТС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14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Интеграция с внутренним водным транспортом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5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Обеспечение защиты данных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15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Усиление интегрирующей роли ИТС в развитии различных видов транспорта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6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Расширение масштабов работы в</w:t>
            </w:r>
            <w:r>
              <w:t> </w:t>
            </w:r>
            <w:r w:rsidRPr="008A0609">
              <w:t>области ИТС во всех рабочих группах КВТ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16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Разработка методологий оценки экономической эффективности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7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Содействие развитию систем связи между транспортными средствами и инфраструктурой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17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Содействие смягчению последствий изменения климата и адаптации к нему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8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Содействие развитию технологий связи между транспортными средствами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18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Проведение аналитической работы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9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Борьба с кризисом в области безопасности дорожного движения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19</w:t>
            </w:r>
          </w:p>
          <w:p w:rsidR="00165462" w:rsidRPr="00165462" w:rsidRDefault="00165462" w:rsidP="00165462">
            <w:pPr>
              <w:suppressAutoHyphens/>
              <w:spacing w:before="40" w:after="120"/>
            </w:pPr>
            <w:r w:rsidRPr="008A0609">
              <w:t>Содействие наращиванию потенциала, просветительской работе и повышению информированности с</w:t>
            </w:r>
            <w:r>
              <w:t> </w:t>
            </w:r>
            <w:r w:rsidRPr="008A0609">
              <w:t>уделением особого внимания странам с формирующейся экономикой</w:t>
            </w:r>
          </w:p>
        </w:tc>
      </w:tr>
      <w:tr w:rsidR="00165462" w:rsidRPr="00DF589A" w:rsidTr="00165462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10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Решение проблем ответственности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165462" w:rsidRPr="00983F4D" w:rsidRDefault="00165462" w:rsidP="00165462">
            <w:pPr>
              <w:suppressAutoHyphens/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20</w:t>
            </w:r>
          </w:p>
          <w:p w:rsidR="00165462" w:rsidRPr="008A0609" w:rsidRDefault="00165462" w:rsidP="00165462">
            <w:pPr>
              <w:suppressAutoHyphens/>
              <w:spacing w:before="40" w:after="120"/>
              <w:rPr>
                <w:sz w:val="18"/>
              </w:rPr>
            </w:pPr>
            <w:r w:rsidRPr="008A0609">
              <w:t>Организация ежегодного «круглого стола» Организации Объединенных Наций по ИТС</w:t>
            </w:r>
          </w:p>
        </w:tc>
      </w:tr>
    </w:tbl>
    <w:p w:rsidR="00951C6B" w:rsidRDefault="00951C6B" w:rsidP="00951C6B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951C6B" w:rsidSect="00951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DD" w:rsidRPr="00A312BC" w:rsidRDefault="005A06DD" w:rsidP="00A312BC"/>
  </w:endnote>
  <w:endnote w:type="continuationSeparator" w:id="0">
    <w:p w:rsidR="005A06DD" w:rsidRPr="00A312BC" w:rsidRDefault="005A06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B" w:rsidRPr="00951C6B" w:rsidRDefault="00951C6B">
    <w:pPr>
      <w:pStyle w:val="Footer"/>
    </w:pPr>
    <w:r w:rsidRPr="00951C6B">
      <w:rPr>
        <w:b/>
        <w:sz w:val="18"/>
      </w:rPr>
      <w:fldChar w:fldCharType="begin"/>
    </w:r>
    <w:r w:rsidRPr="00951C6B">
      <w:rPr>
        <w:b/>
        <w:sz w:val="18"/>
      </w:rPr>
      <w:instrText xml:space="preserve"> PAGE  \* MERGEFORMAT </w:instrText>
    </w:r>
    <w:r w:rsidRPr="00951C6B">
      <w:rPr>
        <w:b/>
        <w:sz w:val="18"/>
      </w:rPr>
      <w:fldChar w:fldCharType="separate"/>
    </w:r>
    <w:r w:rsidR="00DA5C28">
      <w:rPr>
        <w:b/>
        <w:noProof/>
        <w:sz w:val="18"/>
      </w:rPr>
      <w:t>6</w:t>
    </w:r>
    <w:r w:rsidRPr="00951C6B">
      <w:rPr>
        <w:b/>
        <w:sz w:val="18"/>
      </w:rPr>
      <w:fldChar w:fldCharType="end"/>
    </w:r>
    <w:r>
      <w:rPr>
        <w:b/>
        <w:sz w:val="18"/>
      </w:rPr>
      <w:tab/>
    </w:r>
    <w:r>
      <w:t>GE.17-22263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B" w:rsidRPr="00951C6B" w:rsidRDefault="00951C6B" w:rsidP="00951C6B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GE.17-22263</w:t>
    </w:r>
    <w:r>
      <w:tab/>
    </w:r>
    <w:r w:rsidRPr="00951C6B">
      <w:rPr>
        <w:b/>
        <w:sz w:val="18"/>
      </w:rPr>
      <w:fldChar w:fldCharType="begin"/>
    </w:r>
    <w:r w:rsidRPr="00951C6B">
      <w:rPr>
        <w:b/>
        <w:sz w:val="18"/>
      </w:rPr>
      <w:instrText xml:space="preserve"> PAGE  \* MERGEFORMAT </w:instrText>
    </w:r>
    <w:r w:rsidRPr="00951C6B">
      <w:rPr>
        <w:b/>
        <w:sz w:val="18"/>
      </w:rPr>
      <w:fldChar w:fldCharType="separate"/>
    </w:r>
    <w:r w:rsidR="00DA5C28">
      <w:rPr>
        <w:b/>
        <w:noProof/>
        <w:sz w:val="18"/>
      </w:rPr>
      <w:t>7</w:t>
    </w:r>
    <w:r w:rsidRPr="00951C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51C6B" w:rsidRDefault="00951C6B" w:rsidP="00951C6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17-22263  (R)</w:t>
    </w:r>
    <w:r>
      <w:rPr>
        <w:lang w:val="en-US"/>
      </w:rPr>
      <w:t xml:space="preserve">  201217  201217</w:t>
    </w:r>
    <w:r>
      <w:br/>
    </w:r>
    <w:r w:rsidRPr="00951C6B">
      <w:rPr>
        <w:rFonts w:ascii="C39T30Lfz" w:hAnsi="C39T30Lfz"/>
        <w:spacing w:val="0"/>
        <w:w w:val="100"/>
        <w:sz w:val="56"/>
      </w:rPr>
      <w:t></w:t>
    </w:r>
    <w:r w:rsidRPr="00951C6B">
      <w:rPr>
        <w:rFonts w:ascii="C39T30Lfz" w:hAnsi="C39T30Lfz"/>
        <w:spacing w:val="0"/>
        <w:w w:val="100"/>
        <w:sz w:val="56"/>
      </w:rPr>
      <w:t></w:t>
    </w:r>
    <w:r w:rsidRPr="00951C6B">
      <w:rPr>
        <w:rFonts w:ascii="C39T30Lfz" w:hAnsi="C39T30Lfz"/>
        <w:spacing w:val="0"/>
        <w:w w:val="100"/>
        <w:sz w:val="56"/>
      </w:rPr>
      <w:t></w:t>
    </w:r>
    <w:r w:rsidRPr="00951C6B">
      <w:rPr>
        <w:rFonts w:ascii="C39T30Lfz" w:hAnsi="C39T30Lfz"/>
        <w:spacing w:val="0"/>
        <w:w w:val="100"/>
        <w:sz w:val="56"/>
      </w:rPr>
      <w:t></w:t>
    </w:r>
    <w:r w:rsidRPr="00951C6B">
      <w:rPr>
        <w:rFonts w:ascii="C39T30Lfz" w:hAnsi="C39T30Lfz"/>
        <w:spacing w:val="0"/>
        <w:w w:val="100"/>
        <w:sz w:val="56"/>
      </w:rPr>
      <w:t></w:t>
    </w:r>
    <w:r w:rsidRPr="00951C6B">
      <w:rPr>
        <w:rFonts w:ascii="C39T30Lfz" w:hAnsi="C39T30Lfz"/>
        <w:spacing w:val="0"/>
        <w:w w:val="100"/>
        <w:sz w:val="56"/>
      </w:rPr>
      <w:t></w:t>
    </w:r>
    <w:r w:rsidRPr="00951C6B">
      <w:rPr>
        <w:rFonts w:ascii="C39T30Lfz" w:hAnsi="C39T30Lfz"/>
        <w:spacing w:val="0"/>
        <w:w w:val="100"/>
        <w:sz w:val="56"/>
      </w:rPr>
      <w:t></w:t>
    </w:r>
    <w:r w:rsidRPr="00951C6B">
      <w:rPr>
        <w:rFonts w:ascii="C39T30Lfz" w:hAnsi="C39T30Lfz"/>
        <w:spacing w:val="0"/>
        <w:w w:val="100"/>
        <w:sz w:val="56"/>
      </w:rPr>
      <w:t></w:t>
    </w:r>
    <w:r w:rsidRPr="00951C6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DD" w:rsidRPr="001075E9" w:rsidRDefault="005A06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06DD" w:rsidRDefault="005A06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B" w:rsidRPr="00951C6B" w:rsidRDefault="00702E17">
    <w:pPr>
      <w:pStyle w:val="Header"/>
    </w:pPr>
    <w:fldSimple w:instr=" TITLE  \* MERGEFORMAT ">
      <w:r>
        <w:t>ECE/TRANS/2018/8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B" w:rsidRPr="00951C6B" w:rsidRDefault="00702E17" w:rsidP="00951C6B">
    <w:pPr>
      <w:pStyle w:val="Header"/>
      <w:jc w:val="right"/>
    </w:pPr>
    <w:fldSimple w:instr=" TITLE  \* MERGEFORMAT ">
      <w:r>
        <w:t>ECE/TRANS/2018/8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B" w:rsidRDefault="00951C6B" w:rsidP="00951C6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D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546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94F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985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06DD"/>
    <w:rsid w:val="005C6AA4"/>
    <w:rsid w:val="005D7914"/>
    <w:rsid w:val="005E2B41"/>
    <w:rsid w:val="005F0B42"/>
    <w:rsid w:val="006345DB"/>
    <w:rsid w:val="00640F49"/>
    <w:rsid w:val="00680D03"/>
    <w:rsid w:val="00681A10"/>
    <w:rsid w:val="006965F9"/>
    <w:rsid w:val="006A1ED8"/>
    <w:rsid w:val="006C2031"/>
    <w:rsid w:val="006D461A"/>
    <w:rsid w:val="006F35EE"/>
    <w:rsid w:val="007021FF"/>
    <w:rsid w:val="00702E17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1C6B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2402"/>
    <w:rsid w:val="00BA1FC0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5C28"/>
    <w:rsid w:val="00DD78D1"/>
    <w:rsid w:val="00DE32CD"/>
    <w:rsid w:val="00DF5767"/>
    <w:rsid w:val="00DF71B9"/>
    <w:rsid w:val="00E12C5F"/>
    <w:rsid w:val="00E61064"/>
    <w:rsid w:val="00E73F76"/>
    <w:rsid w:val="00EA2C9F"/>
    <w:rsid w:val="00EA420E"/>
    <w:rsid w:val="00EC1528"/>
    <w:rsid w:val="00ED0BDA"/>
    <w:rsid w:val="00EE142A"/>
    <w:rsid w:val="00EF1360"/>
    <w:rsid w:val="00EF1DD1"/>
    <w:rsid w:val="00EF3220"/>
    <w:rsid w:val="00F2523A"/>
    <w:rsid w:val="00F43903"/>
    <w:rsid w:val="00F82464"/>
    <w:rsid w:val="00F94155"/>
    <w:rsid w:val="00F9783F"/>
    <w:rsid w:val="00FA67B3"/>
    <w:rsid w:val="00FC178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951C6B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951C6B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951C6B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951C6B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dppc.org/wp-content/uploads/2015/02/Resolution-on-data-protection-in-automated-and-connected-vehicles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u.int/en/fnc/2017/%20www.itu.int/en/fnc/2017/Documents/Presentations/S3_P2.%20Geneva%20-%20UN%20Beridze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ECE/TRANS/2018/8</vt:lpstr>
      <vt:lpstr>ECE/TRANS/2018/8</vt:lpstr>
      <vt:lpstr>A/</vt:lpstr>
    </vt:vector>
  </TitlesOfParts>
  <Company>DCM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ECE/TRANS/2018/8</dc:title>
  <dc:creator>SHUVALOVA Natalia</dc:creator>
  <cp:lastModifiedBy>Jeyhun Shahverdili</cp:lastModifiedBy>
  <cp:revision>2</cp:revision>
  <cp:lastPrinted>2017-12-20T10:40:00Z</cp:lastPrinted>
  <dcterms:created xsi:type="dcterms:W3CDTF">2018-01-10T07:53:00Z</dcterms:created>
  <dcterms:modified xsi:type="dcterms:W3CDTF">2018-01-10T07:53:00Z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