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54F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54F68" w:rsidP="00A54F68">
            <w:pPr>
              <w:jc w:val="right"/>
            </w:pPr>
            <w:r w:rsidRPr="00A54F68">
              <w:rPr>
                <w:sz w:val="40"/>
              </w:rPr>
              <w:t>ECE</w:t>
            </w:r>
            <w:r>
              <w:t>/TRANS/2018/7</w:t>
            </w:r>
          </w:p>
        </w:tc>
      </w:tr>
      <w:tr w:rsidR="002D5AAC" w:rsidRPr="006B000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54F6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54F68" w:rsidRDefault="00A54F68" w:rsidP="00A54F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2017</w:t>
            </w:r>
          </w:p>
          <w:p w:rsidR="00A54F68" w:rsidRDefault="00A54F68" w:rsidP="00A54F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54F68" w:rsidRPr="008D53B6" w:rsidRDefault="00A54F68" w:rsidP="00A54F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F31DD" w:rsidRPr="00FF31DD" w:rsidRDefault="00FF31DD" w:rsidP="00FF31DD">
      <w:pPr>
        <w:spacing w:before="120"/>
        <w:rPr>
          <w:sz w:val="28"/>
          <w:szCs w:val="28"/>
        </w:rPr>
      </w:pPr>
      <w:r w:rsidRPr="00FF31DD">
        <w:rPr>
          <w:sz w:val="28"/>
          <w:szCs w:val="28"/>
        </w:rPr>
        <w:t>Комитет по внутреннему транспорту</w:t>
      </w:r>
    </w:p>
    <w:p w:rsidR="00FF31DD" w:rsidRPr="00FF31DD" w:rsidRDefault="00FF31DD" w:rsidP="00465401">
      <w:pPr>
        <w:spacing w:before="120"/>
        <w:rPr>
          <w:b/>
          <w:bCs/>
        </w:rPr>
      </w:pPr>
      <w:r w:rsidRPr="00FF31DD">
        <w:rPr>
          <w:b/>
          <w:bCs/>
        </w:rPr>
        <w:t>Восьмидесятая сессия</w:t>
      </w:r>
    </w:p>
    <w:p w:rsidR="00FF31DD" w:rsidRPr="00FF31DD" w:rsidRDefault="00FF31DD" w:rsidP="00FF31DD">
      <w:pPr>
        <w:rPr>
          <w:bCs/>
        </w:rPr>
      </w:pPr>
      <w:r>
        <w:t>Женева, 20</w:t>
      </w:r>
      <w:r w:rsidRPr="00C461CE">
        <w:t>–</w:t>
      </w:r>
      <w:r w:rsidRPr="00FF31DD">
        <w:t>23 февраля 2018 года</w:t>
      </w:r>
    </w:p>
    <w:p w:rsidR="00FF31DD" w:rsidRPr="008E019F" w:rsidRDefault="00FF31DD" w:rsidP="00FF31DD">
      <w:r w:rsidRPr="008E019F">
        <w:t>Пункт 4 d) i) предварительной повестки дня</w:t>
      </w:r>
    </w:p>
    <w:p w:rsidR="00FF31DD" w:rsidRPr="00FF31DD" w:rsidRDefault="00FF31DD" w:rsidP="00FF31DD">
      <w:r w:rsidRPr="00FF31DD">
        <w:rPr>
          <w:b/>
          <w:bCs/>
        </w:rPr>
        <w:t>Стратегические вопросы горизонтальной политики:</w:t>
      </w:r>
      <w:r w:rsidRPr="00FF31DD">
        <w:rPr>
          <w:b/>
          <w:bCs/>
        </w:rPr>
        <w:br/>
        <w:t>окружающая среда, изменение климата и транспорт:</w:t>
      </w:r>
      <w:r w:rsidRPr="00FF31DD">
        <w:rPr>
          <w:b/>
          <w:bCs/>
        </w:rPr>
        <w:br/>
        <w:t>Последующая деятельность КВТ в контексте</w:t>
      </w:r>
      <w:r w:rsidRPr="00FF31DD">
        <w:rPr>
          <w:b/>
          <w:bCs/>
        </w:rPr>
        <w:br/>
        <w:t>Повестки дня на период до 2030 года</w:t>
      </w:r>
    </w:p>
    <w:p w:rsidR="00FF31DD" w:rsidRPr="00FF31DD" w:rsidRDefault="00FF31DD" w:rsidP="00FF31DD">
      <w:pPr>
        <w:pStyle w:val="HChGR"/>
      </w:pPr>
      <w:r w:rsidRPr="00FF31DD">
        <w:tab/>
      </w:r>
      <w:r w:rsidRPr="00FF31DD">
        <w:tab/>
        <w:t xml:space="preserve">Роль внутреннего </w:t>
      </w:r>
      <w:r>
        <w:t>транспорта в достижении целей в </w:t>
      </w:r>
      <w:r w:rsidRPr="00FF31DD">
        <w:t xml:space="preserve">области устойчивого развития: осуществление, мониторинг и переориентация деятельности системы Организации Объединенных Наций </w:t>
      </w:r>
    </w:p>
    <w:p w:rsidR="00FF31DD" w:rsidRDefault="00FF31DD" w:rsidP="00FF31DD">
      <w:pPr>
        <w:pStyle w:val="H1GR"/>
        <w:rPr>
          <w:lang w:val="en-US"/>
        </w:rPr>
      </w:pPr>
      <w:r w:rsidRPr="00FF31DD">
        <w:tab/>
      </w:r>
      <w:r w:rsidRPr="00FF31DD"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FF31DD" w:rsidRPr="00FF31DD" w:rsidTr="00CE79D3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FF31DD" w:rsidRPr="00FF31DD" w:rsidRDefault="00FF31DD" w:rsidP="00CE79D3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F31DD">
              <w:rPr>
                <w:rFonts w:cs="Times New Roman"/>
              </w:rPr>
              <w:tab/>
            </w:r>
            <w:r w:rsidRPr="00FF31D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F31DD" w:rsidRPr="00FF31DD" w:rsidTr="00CE79D3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F31DD" w:rsidRPr="00FF31DD" w:rsidRDefault="00FF31DD" w:rsidP="00CE79D3">
            <w:pPr>
              <w:pStyle w:val="SingleTxtGR"/>
            </w:pPr>
            <w:r w:rsidRPr="00C461CE">
              <w:tab/>
            </w:r>
            <w:r w:rsidRPr="00FF31DD">
              <w:t>В настоящем документе содержится информация об основных изменен</w:t>
            </w:r>
            <w:r w:rsidRPr="00FF31DD">
              <w:t>и</w:t>
            </w:r>
            <w:r w:rsidRPr="00FF31DD">
              <w:t>ях, касающихся роли устойчивого транспорта в контексте недавно принятой Повестки дня в области устойчивого развития на период до 2030 года и целей в области устойчивого развития. К их числу относятся три основных глобальных процесса и инициативы</w:t>
            </w:r>
            <w:r w:rsidR="00CE79D3">
              <w:t xml:space="preserve"> для отслеживания прогресса: </w:t>
            </w:r>
            <w:r w:rsidRPr="00FF31DD">
              <w:t>цели и задачи в области устойчивого развития и соответствующие показатели, инициатива «Устойчивая мобильность для всех» (S</w:t>
            </w:r>
            <w:r w:rsidR="00CE79D3">
              <w:rPr>
                <w:lang w:val="en-US"/>
              </w:rPr>
              <w:t>UM</w:t>
            </w:r>
            <w:r w:rsidRPr="00FF31DD">
              <w:t>4A</w:t>
            </w:r>
            <w:r w:rsidR="00CE79D3">
              <w:rPr>
                <w:lang w:val="en-US"/>
              </w:rPr>
              <w:t>LL</w:t>
            </w:r>
            <w:r w:rsidRPr="00FF31DD">
              <w:t>) и инициатива по разработке добровольных глобальных целевых показателей эффективности и состояния безопасности д</w:t>
            </w:r>
            <w:r w:rsidRPr="00FF31DD">
              <w:t>о</w:t>
            </w:r>
            <w:r w:rsidRPr="00FF31DD">
              <w:t>рожного движения. Комитет по внутреннему транспорту (КВТ) вносит неп</w:t>
            </w:r>
            <w:r w:rsidRPr="00FF31DD">
              <w:t>о</w:t>
            </w:r>
            <w:r w:rsidRPr="00FF31DD">
              <w:t>средственный вклад во все эти три процесса в рамках своей нормативной, ан</w:t>
            </w:r>
            <w:r w:rsidRPr="00FF31DD">
              <w:t>а</w:t>
            </w:r>
            <w:r w:rsidRPr="00FF31DD">
              <w:t>литической деятельности, деятельности по наращиванию потенциала и связа</w:t>
            </w:r>
            <w:r w:rsidRPr="00FF31DD">
              <w:t>н</w:t>
            </w:r>
            <w:r w:rsidRPr="00FF31DD">
              <w:t>ной с вопросами стратегий работы.</w:t>
            </w:r>
          </w:p>
        </w:tc>
      </w:tr>
      <w:tr w:rsidR="00FF31DD" w:rsidRPr="00FF31DD" w:rsidTr="00CE79D3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F31DD" w:rsidRPr="00FF31DD" w:rsidRDefault="00FF31DD" w:rsidP="00FF31DD">
            <w:pPr>
              <w:pStyle w:val="SingleTxtGR"/>
            </w:pPr>
            <w:r w:rsidRPr="00C461CE">
              <w:tab/>
            </w:r>
            <w:proofErr w:type="gramStart"/>
            <w:r w:rsidRPr="00FF31DD">
              <w:t>В свете продолжающихся усилий по переориентации системы развития Организации Объединенных Наций и направления ее на эффективное ос</w:t>
            </w:r>
            <w:r w:rsidRPr="00FF31DD">
              <w:t>у</w:t>
            </w:r>
            <w:r w:rsidRPr="00FF31DD">
              <w:t>ществление целей в области устойчивого развития роль КВТ в решении гл</w:t>
            </w:r>
            <w:r w:rsidRPr="00FF31DD">
              <w:t>о</w:t>
            </w:r>
            <w:r w:rsidRPr="00FF31DD">
              <w:t>бальных транспортных вопросов, в том числе в рамках своей нормативной, аналитической деятельности, деятельности по наращиванию потенциала и св</w:t>
            </w:r>
            <w:r w:rsidRPr="00FF31DD">
              <w:t>я</w:t>
            </w:r>
            <w:r w:rsidRPr="00FF31DD">
              <w:t>занной с вопросами стратегий работы приобретает еще большее значение.</w:t>
            </w:r>
            <w:proofErr w:type="gramEnd"/>
            <w:r w:rsidRPr="00FF31DD">
              <w:t xml:space="preserve"> К</w:t>
            </w:r>
            <w:r w:rsidRPr="00FF31DD">
              <w:t>о</w:t>
            </w:r>
            <w:r w:rsidRPr="00FF31DD">
              <w:t xml:space="preserve">митет, возможно, пожелает </w:t>
            </w:r>
            <w:r w:rsidRPr="00CE79D3">
              <w:rPr>
                <w:b/>
                <w:bCs/>
              </w:rPr>
              <w:t>обсудить пути повышения</w:t>
            </w:r>
            <w:r w:rsidRPr="00FF31DD">
              <w:t xml:space="preserve"> своей роли и расшир</w:t>
            </w:r>
            <w:r w:rsidRPr="00FF31DD">
              <w:t>е</w:t>
            </w:r>
            <w:r w:rsidRPr="00FF31DD">
              <w:t>ния вклада в выполнение задач, связанных с транспортом, в контексте Повестки дня на период до 2030 года.</w:t>
            </w:r>
          </w:p>
        </w:tc>
      </w:tr>
      <w:tr w:rsidR="00FF31DD" w:rsidRPr="00FF31DD" w:rsidTr="00CE79D3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FF31DD" w:rsidRPr="00FF31DD" w:rsidRDefault="00FF31DD" w:rsidP="00CE79D3">
            <w:pPr>
              <w:rPr>
                <w:rFonts w:cs="Times New Roman"/>
              </w:rPr>
            </w:pPr>
          </w:p>
        </w:tc>
      </w:tr>
    </w:tbl>
    <w:p w:rsidR="00FF31DD" w:rsidRPr="00FF31DD" w:rsidRDefault="00FF31DD" w:rsidP="00FF31DD">
      <w:pPr>
        <w:pStyle w:val="HChGR"/>
      </w:pPr>
      <w:r w:rsidRPr="00FF31DD">
        <w:tab/>
        <w:t>I.</w:t>
      </w:r>
      <w:r w:rsidRPr="00FF31DD">
        <w:tab/>
        <w:t>Повестка дня на период до 2030 года и роль устойчивого транспорта</w:t>
      </w:r>
    </w:p>
    <w:p w:rsidR="00FF31DD" w:rsidRPr="00FF31DD" w:rsidRDefault="00FF31DD" w:rsidP="00FF31DD">
      <w:pPr>
        <w:pStyle w:val="SingleTxtGR"/>
      </w:pPr>
      <w:r w:rsidRPr="00FF31DD">
        <w:t>1.</w:t>
      </w:r>
      <w:r w:rsidRPr="00FF31DD">
        <w:tab/>
        <w:t>В 2015 году мировые лидеры утвердили 17 целей в области устойчивого развития и 169 соответствующих задач на период до 2030 года, которые призв</w:t>
      </w:r>
      <w:r w:rsidRPr="00FF31DD">
        <w:t>а</w:t>
      </w:r>
      <w:r w:rsidRPr="00FF31DD">
        <w:t>ны помочь человечеству вновь встать на добродетельный путь устойчивого ра</w:t>
      </w:r>
      <w:r w:rsidRPr="00FF31DD">
        <w:t>з</w:t>
      </w:r>
      <w:r w:rsidRPr="00FF31DD">
        <w:t>вития. Устойчивый транспорт и мобильность являются ключевыми элементами для достижения целей в области устойчивого развития, что становится очеви</w:t>
      </w:r>
      <w:r w:rsidRPr="00FF31DD">
        <w:t>д</w:t>
      </w:r>
      <w:r w:rsidRPr="00FF31DD">
        <w:t xml:space="preserve">ным при сопоставлении деятельности КВТ с целями в области устойчивого развития. </w:t>
      </w:r>
      <w:proofErr w:type="gramStart"/>
      <w:r w:rsidRPr="00FF31DD">
        <w:t xml:space="preserve">Кроме того, работа Комитета имеет прямое отношение к </w:t>
      </w:r>
      <w:r>
        <w:t>14</w:t>
      </w:r>
      <w:r w:rsidRPr="00FF31DD">
        <w:t xml:space="preserve"> из </w:t>
      </w:r>
      <w:r>
        <w:t>17</w:t>
      </w:r>
      <w:r w:rsidRPr="00FF31DD">
        <w:t xml:space="preserve"> ц</w:t>
      </w:r>
      <w:r w:rsidRPr="00FF31DD">
        <w:t>е</w:t>
      </w:r>
      <w:r w:rsidRPr="00FF31DD">
        <w:t xml:space="preserve">лей в области </w:t>
      </w:r>
      <w:r w:rsidR="00CE79D3">
        <w:t>устойчивого развития</w:t>
      </w:r>
      <w:r w:rsidRPr="00FF31DD">
        <w:t xml:space="preserve"> главным образом посредством правовых документов Организации Объединенных Наций и правил глобального и реги</w:t>
      </w:r>
      <w:r w:rsidRPr="00FF31DD">
        <w:t>о</w:t>
      </w:r>
      <w:r w:rsidRPr="00FF31DD">
        <w:t>нального географического охвата, относящихся к сфере его компетенции, через соответствующую аналитическую деятельность и деятельность по наращив</w:t>
      </w:r>
      <w:r w:rsidRPr="00FF31DD">
        <w:t>а</w:t>
      </w:r>
      <w:r w:rsidRPr="00FF31DD">
        <w:t>нию потенциала, а также диалог по вопросам политики.</w:t>
      </w:r>
      <w:proofErr w:type="gramEnd"/>
    </w:p>
    <w:p w:rsidR="00FF31DD" w:rsidRPr="00FF31DD" w:rsidRDefault="00FF31DD" w:rsidP="00FF31DD">
      <w:pPr>
        <w:pStyle w:val="SingleTxtGR"/>
      </w:pPr>
      <w:r w:rsidRPr="00FF31DD">
        <w:t>2.</w:t>
      </w:r>
      <w:r w:rsidRPr="00FF31DD">
        <w:tab/>
        <w:t xml:space="preserve">Возможность достижения целей в области устойчивого развития </w:t>
      </w:r>
      <w:proofErr w:type="gramStart"/>
      <w:r w:rsidRPr="00FF31DD">
        <w:t>будет также в значительной мере определятся</w:t>
      </w:r>
      <w:proofErr w:type="gramEnd"/>
      <w:r w:rsidRPr="00FF31DD">
        <w:t xml:space="preserve"> их практической реализацией в целях отслеживания прогресса. Важность отслеживания прогресса и установления целевых показателей результативности для достижения задач целей в области устойчивого развития была подчеркнута в резолюции A/70/260 Генеральной Ассамблеи Организации Объединенных Наций,</w:t>
      </w:r>
      <w:r>
        <w:t xml:space="preserve"> принятой в апреле 2016 года. </w:t>
      </w:r>
      <w:proofErr w:type="gramStart"/>
      <w:r>
        <w:t>В </w:t>
      </w:r>
      <w:r w:rsidRPr="00FF31DD">
        <w:t>разделе II настоящего докуме</w:t>
      </w:r>
      <w:r w:rsidR="00CE79D3">
        <w:t>нта рассматриваются три основных процесса</w:t>
      </w:r>
      <w:r w:rsidRPr="00FF31DD">
        <w:t xml:space="preserve"> для отслеживания прогресса, в которые Комитет вносит свой вклад.</w:t>
      </w:r>
      <w:proofErr w:type="gramEnd"/>
    </w:p>
    <w:p w:rsidR="00FF31DD" w:rsidRPr="00FF31DD" w:rsidRDefault="00FF31DD" w:rsidP="00FF31DD">
      <w:pPr>
        <w:pStyle w:val="SingleTxtGR"/>
      </w:pPr>
      <w:r w:rsidRPr="00FF31DD">
        <w:t>3.</w:t>
      </w:r>
      <w:r w:rsidRPr="00FF31DD">
        <w:tab/>
        <w:t xml:space="preserve">Масштабность и </w:t>
      </w:r>
      <w:proofErr w:type="spellStart"/>
      <w:r w:rsidRPr="00FF31DD">
        <w:t>амбициозность</w:t>
      </w:r>
      <w:proofErr w:type="spellEnd"/>
      <w:r w:rsidRPr="00FF31DD">
        <w:t xml:space="preserve"> этой новой универсальной повестки дня таковы, что ее успех будет также в значительной степени зависеть от того, насколько система </w:t>
      </w:r>
      <w:r>
        <w:t>Организации Объединенных Наций «</w:t>
      </w:r>
      <w:r w:rsidRPr="00FF31DD">
        <w:t>со</w:t>
      </w:r>
      <w:r>
        <w:t>ответствует целевому назначению»</w:t>
      </w:r>
      <w:r w:rsidRPr="00FF31DD">
        <w:t xml:space="preserve"> для достижения желаемых результатов и поддерживает усилия мирового сообщества посредством отслеживания прогресса в достижении ц</w:t>
      </w:r>
      <w:r w:rsidRPr="00FF31DD">
        <w:t>е</w:t>
      </w:r>
      <w:r w:rsidRPr="00FF31DD">
        <w:t>лей в области устойчивого развития. В разделе III обсуждаются текущие соб</w:t>
      </w:r>
      <w:r w:rsidRPr="00FF31DD">
        <w:t>ы</w:t>
      </w:r>
      <w:r w:rsidRPr="00FF31DD">
        <w:t>тия, имеющие важное для этого значение.</w:t>
      </w:r>
    </w:p>
    <w:p w:rsidR="00FF31DD" w:rsidRPr="00FF31DD" w:rsidRDefault="00FF31DD" w:rsidP="00FF31DD">
      <w:pPr>
        <w:pStyle w:val="HChGR"/>
      </w:pPr>
      <w:r w:rsidRPr="00FF31DD">
        <w:tab/>
        <w:t>II.</w:t>
      </w:r>
      <w:r w:rsidRPr="00FF31DD">
        <w:tab/>
        <w:t>Три глоба</w:t>
      </w:r>
      <w:r>
        <w:t>льных процесса и инициативы для </w:t>
      </w:r>
      <w:r w:rsidRPr="00FF31DD">
        <w:t>отслеживания прогресса в деле достижения целей в области устойчивого развития, свя</w:t>
      </w:r>
      <w:r>
        <w:t>занных с </w:t>
      </w:r>
      <w:r w:rsidRPr="00FF31DD">
        <w:t>транспортом</w:t>
      </w:r>
    </w:p>
    <w:p w:rsidR="00FF31DD" w:rsidRPr="00FF31DD" w:rsidRDefault="00FF31DD" w:rsidP="00FF31DD">
      <w:pPr>
        <w:pStyle w:val="SingleTxtGR"/>
      </w:pPr>
      <w:r w:rsidRPr="00FF31DD">
        <w:t>4.</w:t>
      </w:r>
      <w:r w:rsidRPr="00FF31DD">
        <w:tab/>
        <w:t>В настоящее время существуют три основных глобальных процесса и инициативы по отслеживанию прогресса в достижении аспектов целей в обл</w:t>
      </w:r>
      <w:r w:rsidRPr="00FF31DD">
        <w:t>а</w:t>
      </w:r>
      <w:r w:rsidRPr="00FF31DD">
        <w:t>сти устойчивого развития, связанных с транспортом, при этом Комитет неп</w:t>
      </w:r>
      <w:r w:rsidRPr="00FF31DD">
        <w:t>о</w:t>
      </w:r>
      <w:r w:rsidR="00CE79D3">
        <w:t>средственно участвовал</w:t>
      </w:r>
      <w:r w:rsidRPr="00FF31DD">
        <w:t xml:space="preserve"> во всех трех из них. </w:t>
      </w:r>
    </w:p>
    <w:p w:rsidR="00FF31DD" w:rsidRPr="00FF31DD" w:rsidRDefault="00FF31DD" w:rsidP="00FF31DD">
      <w:pPr>
        <w:pStyle w:val="H4GR"/>
      </w:pPr>
      <w:r>
        <w:tab/>
      </w:r>
      <w:r>
        <w:tab/>
      </w:r>
      <w:r w:rsidRPr="00FF31DD">
        <w:t>Показатели достижения целей в области устойчивого развития</w:t>
      </w:r>
    </w:p>
    <w:p w:rsidR="00FF31DD" w:rsidRPr="00FF31DD" w:rsidRDefault="00FF31DD" w:rsidP="00FF31DD">
      <w:pPr>
        <w:pStyle w:val="SingleTxtGR"/>
      </w:pPr>
      <w:r w:rsidRPr="00FF31DD">
        <w:t>5.</w:t>
      </w:r>
      <w:r w:rsidRPr="00FF31DD">
        <w:tab/>
        <w:t>Во-первых, отслеживание прогресса в достижении 17 целей в области устойчивого развития и соответствующих показателей координируется Депа</w:t>
      </w:r>
      <w:r w:rsidRPr="00FF31DD">
        <w:t>р</w:t>
      </w:r>
      <w:r w:rsidRPr="00FF31DD">
        <w:t xml:space="preserve">таментом по экономическим и социальным вопросам (ДЭСВ ООН), который выступает в качестве секретариата </w:t>
      </w:r>
      <w:proofErr w:type="spellStart"/>
      <w:r w:rsidRPr="00FF31DD">
        <w:t>Межучрежденческой</w:t>
      </w:r>
      <w:proofErr w:type="spellEnd"/>
      <w:r w:rsidRPr="00FF31DD">
        <w:t xml:space="preserve"> группы экспертов по показателям достижения целей в области устойчивого развития (МГЭП</w:t>
      </w:r>
      <w:r w:rsidR="00CE79D3">
        <w:t xml:space="preserve"> – </w:t>
      </w:r>
      <w:r w:rsidRPr="00FF31DD">
        <w:t xml:space="preserve">Цели в области устойчивого развития). </w:t>
      </w:r>
    </w:p>
    <w:p w:rsidR="00FF31DD" w:rsidRPr="00FF31DD" w:rsidRDefault="00FF31DD" w:rsidP="00FF31DD">
      <w:pPr>
        <w:pStyle w:val="SingleTxtGR"/>
      </w:pPr>
      <w:r w:rsidRPr="00FF31DD">
        <w:rPr>
          <w:spacing w:val="0"/>
        </w:rPr>
        <w:t>6.</w:t>
      </w:r>
      <w:r w:rsidRPr="00FF31DD">
        <w:rPr>
          <w:spacing w:val="0"/>
        </w:rPr>
        <w:tab/>
        <w:t>Четыре показателя по трем целям в области устойчивого развития (3, 9 и 11)</w:t>
      </w:r>
      <w:r w:rsidRPr="00FF31DD">
        <w:t xml:space="preserve"> непосредственно связаны с работой КВТ</w:t>
      </w:r>
      <w:r w:rsidRPr="00FF31DD">
        <w:rPr>
          <w:sz w:val="18"/>
          <w:szCs w:val="18"/>
          <w:vertAlign w:val="superscript"/>
        </w:rPr>
        <w:footnoteReference w:id="1"/>
      </w:r>
      <w:r w:rsidRPr="00FF31DD">
        <w:t xml:space="preserve">, как показано в таблице 1. Комитет </w:t>
      </w:r>
      <w:r w:rsidRPr="00FF31DD">
        <w:lastRenderedPageBreak/>
        <w:t xml:space="preserve">содействует мониторингу четырех показателей в качестве </w:t>
      </w:r>
      <w:r w:rsidRPr="00FF31DD">
        <w:rPr>
          <w:i/>
          <w:iCs/>
        </w:rPr>
        <w:t>учреждения-партнера</w:t>
      </w:r>
      <w:r w:rsidRPr="00FF31DD">
        <w:t>.</w:t>
      </w:r>
    </w:p>
    <w:p w:rsidR="00FF31DD" w:rsidRPr="00FF31DD" w:rsidRDefault="00FF31DD" w:rsidP="00FF31DD">
      <w:pPr>
        <w:pStyle w:val="SingleTxtGR"/>
      </w:pPr>
      <w:r w:rsidRPr="00FF31DD">
        <w:t>7.</w:t>
      </w:r>
      <w:r w:rsidRPr="00FF31DD">
        <w:tab/>
        <w:t>Более подробную информацию о показателях и соответствующем вкладе Комитета см. в приложении I.</w:t>
      </w:r>
    </w:p>
    <w:p w:rsidR="00FF31DD" w:rsidRPr="00FF31DD" w:rsidRDefault="00FF31DD" w:rsidP="00FF31DD">
      <w:pPr>
        <w:pStyle w:val="H4GR"/>
      </w:pPr>
      <w:r>
        <w:tab/>
      </w:r>
      <w:r>
        <w:tab/>
      </w:r>
      <w:r w:rsidRPr="00FF31DD">
        <w:t>Устойчивая мобильность для всех (SUM4ALL)</w:t>
      </w:r>
    </w:p>
    <w:p w:rsidR="00FF31DD" w:rsidRPr="00FF31DD" w:rsidRDefault="00FF31DD" w:rsidP="006B0004">
      <w:pPr>
        <w:pStyle w:val="SingleTxtGR"/>
      </w:pPr>
      <w:r w:rsidRPr="00FF31DD">
        <w:t>8.</w:t>
      </w:r>
      <w:r w:rsidRPr="00FF31DD">
        <w:tab/>
        <w:t>Второй крупной глобальной и</w:t>
      </w:r>
      <w:r w:rsidR="00CE79D3">
        <w:t>нициативой</w:t>
      </w:r>
      <w:r>
        <w:t xml:space="preserve"> является инициатива «</w:t>
      </w:r>
      <w:r w:rsidRPr="00FF31DD">
        <w:t>Усто</w:t>
      </w:r>
      <w:r w:rsidRPr="00FF31DD">
        <w:t>й</w:t>
      </w:r>
      <w:r w:rsidRPr="00FF31DD">
        <w:t>чи</w:t>
      </w:r>
      <w:r>
        <w:t>вая мобильность для всех»</w:t>
      </w:r>
      <w:r w:rsidRPr="00FF31DD">
        <w:t xml:space="preserve"> (SUM4ALL), осуществляемая Всемирным банком и рядом </w:t>
      </w:r>
      <w:r w:rsidR="00CE79D3">
        <w:t>ключевых партнеров и включающая среди прочего</w:t>
      </w:r>
      <w:r w:rsidRPr="00FF31DD">
        <w:t xml:space="preserve"> разработку глобал</w:t>
      </w:r>
      <w:r w:rsidRPr="00FF31DD">
        <w:t>ь</w:t>
      </w:r>
      <w:r w:rsidRPr="00FF31DD">
        <w:t>ной системы отслеживания.</w:t>
      </w:r>
    </w:p>
    <w:p w:rsidR="00FF31DD" w:rsidRPr="00FF31DD" w:rsidRDefault="00FF31DD" w:rsidP="006B0004">
      <w:pPr>
        <w:pStyle w:val="SingleTxtGR"/>
      </w:pPr>
      <w:r w:rsidRPr="00FF31DD">
        <w:t>9.</w:t>
      </w:r>
      <w:r w:rsidRPr="00FF31DD">
        <w:tab/>
        <w:t>Цель SUM4ALL состоит в том, чтобы оказывать поддержку достижению связанных с транспортом целей в области устойчивого развития и отслеживать прогресс в достижении этих целей. Упор делается на четыре основных комп</w:t>
      </w:r>
      <w:r w:rsidRPr="00FF31DD">
        <w:t>о</w:t>
      </w:r>
      <w:r w:rsidRPr="00FF31DD">
        <w:t>нента, которые определяют устойчивую мобильность в рамках SUM4ALL: вс</w:t>
      </w:r>
      <w:r w:rsidRPr="00FF31DD">
        <w:t>е</w:t>
      </w:r>
      <w:r w:rsidRPr="00FF31DD">
        <w:t xml:space="preserve">общий доступ, эффективность, безопасность, </w:t>
      </w:r>
      <w:proofErr w:type="spellStart"/>
      <w:r w:rsidRPr="00FF31DD">
        <w:t>экологичность</w:t>
      </w:r>
      <w:proofErr w:type="spellEnd"/>
      <w:r w:rsidRPr="00FF31DD">
        <w:t>. Европейская эк</w:t>
      </w:r>
      <w:r w:rsidRPr="00FF31DD">
        <w:t>о</w:t>
      </w:r>
      <w:r w:rsidRPr="00FF31DD">
        <w:t>номическая комиссия (ЕЭК) непосредственно участвует в SUM4ALL в качестве организатора работы по компоненту эффективности.</w:t>
      </w:r>
    </w:p>
    <w:p w:rsidR="00FF31DD" w:rsidRPr="00FF31DD" w:rsidRDefault="00FF31DD" w:rsidP="006B0004">
      <w:pPr>
        <w:pStyle w:val="SingleTxtGR"/>
      </w:pPr>
      <w:r w:rsidRPr="00FF31DD">
        <w:t>10.</w:t>
      </w:r>
      <w:r w:rsidRPr="00FF31DD">
        <w:tab/>
        <w:t>К числу завершенных мероприятий в рамках этой инициативы относится подготовка первого глобального доклада по мобильности (ГДМ), составленн</w:t>
      </w:r>
      <w:r w:rsidR="00CE79D3">
        <w:t>ого</w:t>
      </w:r>
      <w:r w:rsidRPr="00FF31DD">
        <w:t xml:space="preserve"> на основе материалов ЕЭК, которые вошли в главу, посвященную эффективн</w:t>
      </w:r>
      <w:r w:rsidRPr="00FF31DD">
        <w:t>о</w:t>
      </w:r>
      <w:r w:rsidR="007134DD">
        <w:t>сти (координатор –</w:t>
      </w:r>
      <w:r w:rsidRPr="00FF31DD">
        <w:t xml:space="preserve"> ЕЭК).</w:t>
      </w:r>
    </w:p>
    <w:p w:rsidR="00FF31DD" w:rsidRPr="00FF31DD" w:rsidRDefault="007134DD" w:rsidP="007134DD">
      <w:pPr>
        <w:pStyle w:val="H4GR"/>
      </w:pPr>
      <w:r>
        <w:tab/>
      </w:r>
      <w:r>
        <w:tab/>
      </w:r>
      <w:r w:rsidR="00FF31DD" w:rsidRPr="00FF31DD">
        <w:t>Добровольные глобальные целевые показатели эффективности и состояния безопасности дорожного движения</w:t>
      </w:r>
    </w:p>
    <w:p w:rsidR="00FF31DD" w:rsidRPr="00FF31DD" w:rsidRDefault="00FF31DD" w:rsidP="006B0004">
      <w:pPr>
        <w:pStyle w:val="SingleTxtGR"/>
      </w:pPr>
      <w:r w:rsidRPr="00FF31DD">
        <w:t>11.</w:t>
      </w:r>
      <w:r w:rsidRPr="00FF31DD">
        <w:tab/>
        <w:t>Третья инициатива заключается в разработке и мониторинге добровол</w:t>
      </w:r>
      <w:r w:rsidRPr="00FF31DD">
        <w:t>ь</w:t>
      </w:r>
      <w:r w:rsidRPr="00FF31DD">
        <w:t>ных глобальных целевых показателей эффективности и состояния безопасности дорожного движения. С учетом масштабов кризиса в области безопасности д</w:t>
      </w:r>
      <w:r w:rsidRPr="00FF31DD">
        <w:t>о</w:t>
      </w:r>
      <w:r w:rsidRPr="00FF31DD">
        <w:t>рожного движения в 2011 году Организация Объединенных Наций провозгл</w:t>
      </w:r>
      <w:r w:rsidRPr="00FF31DD">
        <w:t>а</w:t>
      </w:r>
      <w:r w:rsidRPr="00FF31DD">
        <w:t>сила Десятилетие действий по обеспечению безопасности дорожного движения в целях уменьшения числа дорожно-транспортных происшествий со смертел</w:t>
      </w:r>
      <w:r w:rsidRPr="00FF31DD">
        <w:t>ь</w:t>
      </w:r>
      <w:r w:rsidRPr="00FF31DD">
        <w:t xml:space="preserve">ным исходом в мире. В сентябре 2015 года </w:t>
      </w:r>
      <w:proofErr w:type="gramStart"/>
      <w:r w:rsidRPr="00FF31DD">
        <w:t>амбициозные</w:t>
      </w:r>
      <w:proofErr w:type="gramEnd"/>
      <w:r w:rsidRPr="00FF31DD">
        <w:t xml:space="preserve"> глобальные цели Д</w:t>
      </w:r>
      <w:r w:rsidRPr="00FF31DD">
        <w:t>е</w:t>
      </w:r>
      <w:r w:rsidRPr="00FF31DD">
        <w:t>сятилетия действий Организации Объединенных Наций были подтверждены принятием целевых показателей 3.6 и 11.2 в области устойчивого развития. Процесс разработки добровольных глобальных целевых показателей эффекти</w:t>
      </w:r>
      <w:r w:rsidRPr="00FF31DD">
        <w:t>в</w:t>
      </w:r>
      <w:r w:rsidRPr="00FF31DD">
        <w:t>ности и состояния безопасности дорожного движения состоит в том, чтобы д</w:t>
      </w:r>
      <w:r w:rsidRPr="00FF31DD">
        <w:t>о</w:t>
      </w:r>
      <w:r w:rsidRPr="00FF31DD">
        <w:t>полнить соответствующие задачи целей в об</w:t>
      </w:r>
      <w:r w:rsidR="007134DD">
        <w:t>ласти устойчивого развития. ЕЭК </w:t>
      </w:r>
      <w:r w:rsidRPr="00FF31DD">
        <w:t>активно участвует в разработке и мониторинге этих задач.</w:t>
      </w:r>
    </w:p>
    <w:p w:rsidR="00FF31DD" w:rsidRPr="007134DD" w:rsidRDefault="007134DD" w:rsidP="007134DD">
      <w:pPr>
        <w:pStyle w:val="H23GR"/>
      </w:pPr>
      <w:r w:rsidRPr="007134DD">
        <w:rPr>
          <w:b w:val="0"/>
          <w:bCs/>
        </w:rPr>
        <w:tab/>
      </w:r>
      <w:r w:rsidRPr="007134DD">
        <w:rPr>
          <w:b w:val="0"/>
          <w:bCs/>
        </w:rPr>
        <w:tab/>
      </w:r>
      <w:r w:rsidR="00FF31DD" w:rsidRPr="007134DD">
        <w:rPr>
          <w:b w:val="0"/>
          <w:bCs/>
        </w:rPr>
        <w:t>Таблица 1</w:t>
      </w:r>
      <w:r w:rsidRPr="007134DD">
        <w:rPr>
          <w:b w:val="0"/>
          <w:bCs/>
        </w:rPr>
        <w:br/>
      </w:r>
      <w:r w:rsidR="00FF31DD" w:rsidRPr="00FF31DD">
        <w:t>Показатели в области устойчивого развития, связанные с транспортом</w:t>
      </w:r>
    </w:p>
    <w:tbl>
      <w:tblPr>
        <w:tblStyle w:val="TableGrid"/>
        <w:tblW w:w="7409" w:type="dxa"/>
        <w:tblInd w:w="1130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9"/>
      </w:tblGrid>
      <w:tr w:rsidR="00FF31DD" w:rsidRPr="007134DD" w:rsidTr="007134DD">
        <w:trPr>
          <w:tblHeader/>
        </w:trPr>
        <w:tc>
          <w:tcPr>
            <w:tcW w:w="7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F31DD" w:rsidRPr="007134DD" w:rsidRDefault="00FF31DD" w:rsidP="006B0004">
            <w:pPr>
              <w:pStyle w:val="SingleTxtGR"/>
              <w:spacing w:before="80" w:after="80" w:line="200" w:lineRule="exact"/>
              <w:ind w:left="0" w:right="113"/>
              <w:rPr>
                <w:i/>
                <w:iCs/>
                <w:sz w:val="16"/>
                <w:szCs w:val="16"/>
              </w:rPr>
            </w:pPr>
            <w:r w:rsidRPr="007134DD">
              <w:rPr>
                <w:i/>
                <w:iCs/>
                <w:sz w:val="16"/>
                <w:szCs w:val="16"/>
              </w:rPr>
              <w:t>Показатели в области устойчивого развития, связанные с транспортом</w:t>
            </w:r>
          </w:p>
        </w:tc>
      </w:tr>
      <w:tr w:rsidR="00FF31DD" w:rsidRPr="00FF31DD" w:rsidTr="006B0004">
        <w:tc>
          <w:tcPr>
            <w:tcW w:w="740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F31DD" w:rsidRPr="00FF31DD" w:rsidRDefault="00FF31DD" w:rsidP="006B0004">
            <w:pPr>
              <w:pStyle w:val="SingleTxtGR"/>
              <w:spacing w:before="40"/>
              <w:ind w:left="0" w:right="0"/>
              <w:jc w:val="left"/>
              <w:rPr>
                <w:b/>
              </w:rPr>
            </w:pPr>
            <w:r w:rsidRPr="007134DD">
              <w:rPr>
                <w:b/>
                <w:bCs/>
                <w:i/>
                <w:iCs/>
              </w:rPr>
              <w:t>Показатель 3.6.1</w:t>
            </w:r>
            <w:r w:rsidRPr="00FF31DD">
              <w:t xml:space="preserve">: </w:t>
            </w:r>
            <w:r w:rsidRPr="007134DD">
              <w:rPr>
                <w:b/>
                <w:bCs/>
              </w:rPr>
              <w:t>Число случаев смерти в результате дорожно-транспортных происшествий</w:t>
            </w:r>
          </w:p>
          <w:p w:rsidR="00FF31DD" w:rsidRPr="00FF31DD" w:rsidRDefault="00FF31DD" w:rsidP="006B0004">
            <w:pPr>
              <w:pStyle w:val="SingleTxtGR"/>
              <w:spacing w:before="40"/>
              <w:ind w:left="0" w:right="0"/>
              <w:jc w:val="left"/>
              <w:rPr>
                <w:u w:val="single"/>
              </w:rPr>
            </w:pPr>
            <w:r w:rsidRPr="007134DD">
              <w:rPr>
                <w:i/>
                <w:iCs/>
              </w:rPr>
              <w:t>Возможное курирующее учреждение:</w:t>
            </w:r>
            <w:r w:rsidRPr="00FF31DD">
              <w:t xml:space="preserve"> Всемирная организация здравоохранения (ВОЗ)</w:t>
            </w:r>
          </w:p>
          <w:p w:rsidR="00FF31DD" w:rsidRPr="00FF31DD" w:rsidRDefault="00FF31DD" w:rsidP="006B0004">
            <w:pPr>
              <w:pStyle w:val="SingleTxtGR"/>
              <w:spacing w:before="40"/>
              <w:ind w:left="0" w:right="0"/>
              <w:jc w:val="left"/>
              <w:rPr>
                <w:lang w:val="en-GB"/>
              </w:rPr>
            </w:pPr>
            <w:r w:rsidRPr="007134DD">
              <w:rPr>
                <w:i/>
                <w:iCs/>
              </w:rPr>
              <w:t>Учреждения-партнеры:</w:t>
            </w:r>
            <w:r w:rsidRPr="00FF31DD">
              <w:t xml:space="preserve"> ЕЭК </w:t>
            </w:r>
          </w:p>
        </w:tc>
      </w:tr>
      <w:tr w:rsidR="006B0004" w:rsidRPr="00FF31DD" w:rsidTr="006B0004">
        <w:tc>
          <w:tcPr>
            <w:tcW w:w="7409" w:type="dxa"/>
            <w:tcBorders>
              <w:top w:val="nil"/>
              <w:bottom w:val="nil"/>
            </w:tcBorders>
            <w:shd w:val="clear" w:color="auto" w:fill="auto"/>
          </w:tcPr>
          <w:p w:rsidR="006B0004" w:rsidRPr="00D12CE7" w:rsidRDefault="006B0004" w:rsidP="006B0004">
            <w:pPr>
              <w:pStyle w:val="SingleTxtGR"/>
              <w:spacing w:before="40"/>
              <w:ind w:left="0" w:right="0"/>
              <w:jc w:val="left"/>
              <w:rPr>
                <w:b/>
                <w:bCs/>
              </w:rPr>
            </w:pPr>
            <w:r w:rsidRPr="00D12CE7">
              <w:rPr>
                <w:b/>
                <w:bCs/>
                <w:i/>
                <w:iCs/>
              </w:rPr>
              <w:t>Показатель 9.1.1:</w:t>
            </w:r>
            <w:r w:rsidRPr="00D12CE7">
              <w:rPr>
                <w:b/>
                <w:bCs/>
              </w:rPr>
              <w:t xml:space="preserve"> Доля сельского населения, прожи</w:t>
            </w:r>
            <w:r>
              <w:rPr>
                <w:b/>
                <w:bCs/>
              </w:rPr>
              <w:t>вающего в пределах 2 </w:t>
            </w:r>
            <w:r w:rsidRPr="00D12CE7">
              <w:rPr>
                <w:b/>
                <w:bCs/>
              </w:rPr>
              <w:t>км от всесезонных дорог</w:t>
            </w:r>
          </w:p>
          <w:p w:rsidR="006B0004" w:rsidRPr="00FF31DD" w:rsidRDefault="006B0004" w:rsidP="006B0004">
            <w:pPr>
              <w:pStyle w:val="SingleTxtGR"/>
              <w:spacing w:before="40"/>
              <w:ind w:left="0" w:right="0"/>
              <w:jc w:val="left"/>
              <w:rPr>
                <w:u w:val="single"/>
              </w:rPr>
            </w:pPr>
            <w:r w:rsidRPr="00D12CE7">
              <w:rPr>
                <w:i/>
                <w:iCs/>
              </w:rPr>
              <w:t>Возможное курирующее учреждение:</w:t>
            </w:r>
            <w:r w:rsidRPr="00FF31DD">
              <w:t xml:space="preserve"> Всемирный банк</w:t>
            </w:r>
          </w:p>
          <w:p w:rsidR="006B0004" w:rsidRPr="007134DD" w:rsidRDefault="006B0004" w:rsidP="006B0004">
            <w:pPr>
              <w:pStyle w:val="SingleTxtGR"/>
              <w:spacing w:before="40"/>
              <w:ind w:left="0" w:right="0"/>
              <w:jc w:val="left"/>
              <w:rPr>
                <w:b/>
                <w:bCs/>
                <w:i/>
                <w:iCs/>
              </w:rPr>
            </w:pPr>
            <w:r w:rsidRPr="00D12CE7">
              <w:rPr>
                <w:i/>
                <w:iCs/>
              </w:rPr>
              <w:t>Учреждения-партнеры:</w:t>
            </w:r>
            <w:r w:rsidRPr="00FF31DD">
              <w:t xml:space="preserve"> ЕЭК; Программа Организации Объединенных Наций по окружающей среде (ЮНЕП)</w:t>
            </w:r>
          </w:p>
        </w:tc>
      </w:tr>
      <w:tr w:rsidR="00FF31DD" w:rsidRPr="00FF31DD" w:rsidTr="006B0004">
        <w:tc>
          <w:tcPr>
            <w:tcW w:w="7409" w:type="dxa"/>
            <w:tcBorders>
              <w:top w:val="nil"/>
              <w:bottom w:val="nil"/>
            </w:tcBorders>
            <w:shd w:val="clear" w:color="auto" w:fill="auto"/>
          </w:tcPr>
          <w:p w:rsidR="00FF31DD" w:rsidRPr="00D12CE7" w:rsidRDefault="00FF31DD" w:rsidP="006B0004">
            <w:pPr>
              <w:pStyle w:val="SingleTxtGR"/>
              <w:pageBreakBefore/>
              <w:spacing w:before="40"/>
              <w:ind w:left="0" w:right="0"/>
              <w:jc w:val="left"/>
              <w:rPr>
                <w:b/>
                <w:bCs/>
              </w:rPr>
            </w:pPr>
            <w:r w:rsidRPr="00D12CE7">
              <w:rPr>
                <w:b/>
                <w:bCs/>
                <w:i/>
                <w:iCs/>
              </w:rPr>
              <w:lastRenderedPageBreak/>
              <w:t>Показатель 9.1.2:</w:t>
            </w:r>
            <w:r w:rsidRPr="00D12CE7">
              <w:rPr>
                <w:b/>
                <w:bCs/>
              </w:rPr>
              <w:t xml:space="preserve"> Объемы пассажирских и грузовых перевозок</w:t>
            </w:r>
          </w:p>
          <w:p w:rsidR="00FF31DD" w:rsidRPr="00FF31DD" w:rsidRDefault="00FF31DD" w:rsidP="006B0004">
            <w:pPr>
              <w:pStyle w:val="SingleTxtGR"/>
              <w:spacing w:before="40"/>
              <w:ind w:left="0" w:right="0"/>
              <w:jc w:val="left"/>
            </w:pPr>
            <w:r w:rsidRPr="00D12CE7">
              <w:rPr>
                <w:i/>
                <w:iCs/>
              </w:rPr>
              <w:t>Возможное курирующее учреждение:</w:t>
            </w:r>
            <w:r w:rsidR="006B0004" w:rsidRPr="006B0004">
              <w:t xml:space="preserve"> </w:t>
            </w:r>
            <w:r w:rsidRPr="00FF31DD">
              <w:t>Международная организация гражданской авиации (ИКАО); Международная ф</w:t>
            </w:r>
            <w:r w:rsidR="00D12CE7">
              <w:t>едерация транспортников –</w:t>
            </w:r>
            <w:r w:rsidRPr="00FF31DD">
              <w:t xml:space="preserve"> Организация экономического сотрудничества и развития (МФТ-ОЭСР) </w:t>
            </w:r>
          </w:p>
          <w:p w:rsidR="00FF31DD" w:rsidRPr="00FF31DD" w:rsidRDefault="00FF31DD" w:rsidP="006B0004">
            <w:pPr>
              <w:pStyle w:val="SingleTxtGR"/>
              <w:spacing w:before="40"/>
              <w:ind w:left="0" w:right="0"/>
              <w:jc w:val="left"/>
            </w:pPr>
            <w:r w:rsidRPr="00D12CE7">
              <w:rPr>
                <w:i/>
                <w:iCs/>
              </w:rPr>
              <w:t>Учреждения-партнеры:</w:t>
            </w:r>
            <w:r w:rsidRPr="00FF31DD">
              <w:t xml:space="preserve"> ЕЭК, Всемирный почтовый союз (ВПС), ЮНЕП</w:t>
            </w:r>
          </w:p>
        </w:tc>
      </w:tr>
      <w:tr w:rsidR="00FF31DD" w:rsidRPr="00FF31DD" w:rsidTr="00D12CE7">
        <w:trPr>
          <w:trHeight w:val="1547"/>
        </w:trPr>
        <w:tc>
          <w:tcPr>
            <w:tcW w:w="7409" w:type="dxa"/>
            <w:tcBorders>
              <w:top w:val="nil"/>
            </w:tcBorders>
            <w:shd w:val="clear" w:color="auto" w:fill="auto"/>
          </w:tcPr>
          <w:p w:rsidR="00FF31DD" w:rsidRPr="00D12CE7" w:rsidRDefault="00FF31DD" w:rsidP="006B0004">
            <w:pPr>
              <w:pStyle w:val="SingleTxtGR"/>
              <w:spacing w:before="40"/>
              <w:ind w:left="0" w:right="0"/>
              <w:jc w:val="left"/>
              <w:rPr>
                <w:b/>
                <w:bCs/>
              </w:rPr>
            </w:pPr>
            <w:r w:rsidRPr="00D12CE7">
              <w:rPr>
                <w:b/>
                <w:bCs/>
                <w:i/>
                <w:iCs/>
              </w:rPr>
              <w:t>Показатель 11.2.1:</w:t>
            </w:r>
            <w:r w:rsidRPr="00D12CE7">
              <w:rPr>
                <w:b/>
                <w:bCs/>
              </w:rPr>
              <w:t xml:space="preserve"> Доля населения, которая имеет удобный доступ к общ</w:t>
            </w:r>
            <w:r w:rsidRPr="00D12CE7">
              <w:rPr>
                <w:b/>
                <w:bCs/>
              </w:rPr>
              <w:t>е</w:t>
            </w:r>
            <w:r w:rsidRPr="00D12CE7">
              <w:rPr>
                <w:b/>
                <w:bCs/>
              </w:rPr>
              <w:t>ственному транспорту, в разбивке по полу, возрасту и наличию/отсутствию инвалидности</w:t>
            </w:r>
          </w:p>
          <w:p w:rsidR="00FF31DD" w:rsidRPr="00D12CE7" w:rsidRDefault="00FF31DD" w:rsidP="006B0004">
            <w:pPr>
              <w:pStyle w:val="SingleTxtGR"/>
              <w:spacing w:before="40"/>
              <w:ind w:left="0" w:right="0"/>
              <w:jc w:val="left"/>
              <w:rPr>
                <w:u w:val="single"/>
              </w:rPr>
            </w:pPr>
            <w:r w:rsidRPr="00D12CE7">
              <w:rPr>
                <w:i/>
                <w:iCs/>
              </w:rPr>
              <w:t>Возможное курирующее учреждение:</w:t>
            </w:r>
            <w:r w:rsidRPr="00D12CE7">
              <w:t xml:space="preserve"> Программа Организации Объединенных Наций по населенным пунктам (ООН-</w:t>
            </w:r>
            <w:proofErr w:type="spellStart"/>
            <w:r w:rsidRPr="00D12CE7">
              <w:t>Хабитат</w:t>
            </w:r>
            <w:proofErr w:type="spellEnd"/>
            <w:r w:rsidRPr="00D12CE7">
              <w:t>)</w:t>
            </w:r>
          </w:p>
          <w:p w:rsidR="00FF31DD" w:rsidRPr="00FF31DD" w:rsidRDefault="00FF31DD" w:rsidP="006B0004">
            <w:pPr>
              <w:pStyle w:val="SingleTxtGR"/>
              <w:spacing w:before="40"/>
              <w:ind w:left="0" w:right="0"/>
              <w:jc w:val="left"/>
              <w:rPr>
                <w:lang w:val="en-GB"/>
              </w:rPr>
            </w:pPr>
            <w:r w:rsidRPr="00D12CE7">
              <w:rPr>
                <w:i/>
                <w:iCs/>
              </w:rPr>
              <w:t>Учреждения-партнеры:</w:t>
            </w:r>
            <w:r w:rsidRPr="00FF31DD">
              <w:t xml:space="preserve"> ЕЭК; ЮНЕП</w:t>
            </w:r>
          </w:p>
        </w:tc>
      </w:tr>
    </w:tbl>
    <w:p w:rsidR="00FF31DD" w:rsidRPr="00FF31DD" w:rsidRDefault="00FF31DD" w:rsidP="00D12CE7">
      <w:pPr>
        <w:pStyle w:val="HChGR"/>
      </w:pPr>
      <w:r w:rsidRPr="00FF31DD">
        <w:tab/>
      </w:r>
      <w:r w:rsidR="00D12CE7">
        <w:t>III.</w:t>
      </w:r>
      <w:r w:rsidR="00D12CE7">
        <w:tab/>
        <w:t>«</w:t>
      </w:r>
      <w:r w:rsidRPr="00FF31DD">
        <w:t>С</w:t>
      </w:r>
      <w:r w:rsidR="00D12CE7">
        <w:t>оответствие целевому назначению»: призыв к </w:t>
      </w:r>
      <w:r w:rsidRPr="00FF31DD">
        <w:t>переориентации системы развития Организации Объединенных Наций</w:t>
      </w:r>
    </w:p>
    <w:p w:rsidR="00FF31DD" w:rsidRPr="00FF31DD" w:rsidRDefault="00FF31DD" w:rsidP="00FF31DD">
      <w:pPr>
        <w:pStyle w:val="SingleTxtGR"/>
      </w:pPr>
      <w:r w:rsidRPr="00FF31DD">
        <w:t>12.</w:t>
      </w:r>
      <w:r w:rsidRPr="00FF31DD">
        <w:tab/>
        <w:t>С учетом масштабов и задач Повестки дня на период до 2030 года, в ней содержится предложение о том, что система развития Организации Объедине</w:t>
      </w:r>
      <w:r w:rsidRPr="00FF31DD">
        <w:t>н</w:t>
      </w:r>
      <w:r w:rsidRPr="00FF31DD">
        <w:t>ных Наций должна быть адаптирована в плане своей направле</w:t>
      </w:r>
      <w:r w:rsidR="00D12CE7">
        <w:t>нности, с тем чтобы «</w:t>
      </w:r>
      <w:r w:rsidRPr="00FF31DD">
        <w:t>соот</w:t>
      </w:r>
      <w:r w:rsidR="00D12CE7">
        <w:t>ветствовать целевому назначению»</w:t>
      </w:r>
      <w:r w:rsidRPr="00FF31DD">
        <w:t xml:space="preserve"> для достижения желаемых р</w:t>
      </w:r>
      <w:r w:rsidRPr="00FF31DD">
        <w:t>е</w:t>
      </w:r>
      <w:r w:rsidRPr="00FF31DD">
        <w:t xml:space="preserve">зультатов и оказания поддержки государствам-членам в их усилиях. </w:t>
      </w:r>
      <w:proofErr w:type="gramStart"/>
      <w:r w:rsidRPr="00FF31DD">
        <w:t>В целях более четкого отражения этого момента 30 июня 2017 года Генеральный секр</w:t>
      </w:r>
      <w:r w:rsidRPr="00FF31DD">
        <w:t>е</w:t>
      </w:r>
      <w:r w:rsidRPr="00FF31DD">
        <w:t>тарь опубликовал свой доклад «Переориентация системы развития в рамках Организации Объединенных Наций на выполнение Повестки дня на период до 2030 года – обеспечения лучшего будущего для всех» (A/72/124-E/2018/3), за которым в декабре 2017 года последуют более конкретные предложения по р</w:t>
      </w:r>
      <w:r w:rsidRPr="00FF31DD">
        <w:t>е</w:t>
      </w:r>
      <w:r w:rsidRPr="00FF31DD">
        <w:t>форме.</w:t>
      </w:r>
      <w:proofErr w:type="gramEnd"/>
      <w:r w:rsidRPr="00FF31DD">
        <w:t xml:space="preserve"> При подготовке настоящего доклада междуна</w:t>
      </w:r>
      <w:r w:rsidR="00D12CE7">
        <w:t>родная консалтинговая компания «</w:t>
      </w:r>
      <w:proofErr w:type="spellStart"/>
      <w:r w:rsidR="00D12CE7">
        <w:t>Далберг</w:t>
      </w:r>
      <w:proofErr w:type="spellEnd"/>
      <w:r w:rsidR="00D12CE7">
        <w:t>»</w:t>
      </w:r>
      <w:r w:rsidRPr="00FF31DD">
        <w:t xml:space="preserve"> составила документ, посвященный общесистемным фун</w:t>
      </w:r>
      <w:r w:rsidRPr="00FF31DD">
        <w:t>к</w:t>
      </w:r>
      <w:r w:rsidRPr="00FF31DD">
        <w:t>циям и возможностям Организации Объединенных Наций в области развития</w:t>
      </w:r>
      <w:r w:rsidRPr="00D12CE7">
        <w:rPr>
          <w:sz w:val="18"/>
          <w:szCs w:val="18"/>
          <w:vertAlign w:val="superscript"/>
        </w:rPr>
        <w:footnoteReference w:id="2"/>
      </w:r>
      <w:r w:rsidRPr="00FF31DD">
        <w:t>.</w:t>
      </w:r>
    </w:p>
    <w:p w:rsidR="00FF31DD" w:rsidRPr="00FF31DD" w:rsidRDefault="00FF31DD" w:rsidP="00FF31DD">
      <w:pPr>
        <w:pStyle w:val="SingleTxtGR"/>
      </w:pPr>
      <w:r w:rsidRPr="00FF31DD">
        <w:t>13.</w:t>
      </w:r>
      <w:r w:rsidRPr="00FF31DD">
        <w:tab/>
        <w:t>Центральными элементами плана Генерального секретаря является п</w:t>
      </w:r>
      <w:r w:rsidRPr="00FF31DD">
        <w:t>о</w:t>
      </w:r>
      <w:r w:rsidRPr="00FF31DD">
        <w:t xml:space="preserve">вышение руководящей роли, подотчетности, </w:t>
      </w:r>
      <w:proofErr w:type="spellStart"/>
      <w:r w:rsidRPr="00FF31DD">
        <w:t>транспарентности</w:t>
      </w:r>
      <w:proofErr w:type="spellEnd"/>
      <w:r w:rsidRPr="00FF31DD">
        <w:t xml:space="preserve"> и согласованн</w:t>
      </w:r>
      <w:r w:rsidRPr="00FF31DD">
        <w:t>о</w:t>
      </w:r>
      <w:r w:rsidRPr="00FF31DD">
        <w:t>сти в целях оказания более эффективной поддержки осуществлению Повестки дня на период до 2030 года. Для этого Генеральный секретарь изложил ко</w:t>
      </w:r>
      <w:r w:rsidRPr="00FF31DD">
        <w:t>н</w:t>
      </w:r>
      <w:r w:rsidRPr="00FF31DD">
        <w:t>кретные изменения, которые должны произойти на всех уровнях, в том числе в том, что касается наборов навыков, координационных механизмов, инструме</w:t>
      </w:r>
      <w:r w:rsidRPr="00FF31DD">
        <w:t>н</w:t>
      </w:r>
      <w:r w:rsidRPr="00FF31DD">
        <w:t>тов планирования, финансовых стимулов, подотчетности и надзора.</w:t>
      </w:r>
    </w:p>
    <w:p w:rsidR="00FF31DD" w:rsidRPr="00FF31DD" w:rsidRDefault="00FF31DD" w:rsidP="00FF31DD">
      <w:pPr>
        <w:pStyle w:val="SingleTxtGR"/>
      </w:pPr>
      <w:r w:rsidRPr="00FF31DD">
        <w:t>14.</w:t>
      </w:r>
      <w:r w:rsidRPr="00FF31DD">
        <w:tab/>
        <w:t>В преддверии нового доклада вполне можно ожидать, что в ответ на пр</w:t>
      </w:r>
      <w:r w:rsidRPr="00FF31DD">
        <w:t>и</w:t>
      </w:r>
      <w:r w:rsidRPr="00FF31DD">
        <w:t>зыв Генерального секретаря по переориентации системы развития Организации Объединенных Наций больше внимания будет уделяться связи между прод</w:t>
      </w:r>
      <w:r w:rsidRPr="00FF31DD">
        <w:t>е</w:t>
      </w:r>
      <w:r w:rsidRPr="00FF31DD">
        <w:t>ланной работой, с одной стороны, и достижением целей в области устойчивого развития, с другой стороны.</w:t>
      </w:r>
    </w:p>
    <w:p w:rsidR="00FF31DD" w:rsidRPr="00FF31DD" w:rsidRDefault="00FF31DD" w:rsidP="00CE79D3">
      <w:pPr>
        <w:pStyle w:val="SingleTxtGR"/>
      </w:pPr>
      <w:r w:rsidRPr="00FF31DD">
        <w:t>15.</w:t>
      </w:r>
      <w:r w:rsidRPr="00FF31DD">
        <w:tab/>
        <w:t xml:space="preserve">В свете потенциальной </w:t>
      </w:r>
      <w:proofErr w:type="gramStart"/>
      <w:r w:rsidRPr="00FF31DD">
        <w:t>реформы системы развития Организации Объед</w:t>
      </w:r>
      <w:r w:rsidRPr="00FF31DD">
        <w:t>и</w:t>
      </w:r>
      <w:r w:rsidRPr="00FF31DD">
        <w:t>ненных Наций</w:t>
      </w:r>
      <w:proofErr w:type="gramEnd"/>
      <w:r w:rsidRPr="00FF31DD">
        <w:t xml:space="preserve"> Комитет занял соответств</w:t>
      </w:r>
      <w:r w:rsidR="00D12CE7">
        <w:t xml:space="preserve">ующую стратегическую позицию. </w:t>
      </w:r>
      <w:proofErr w:type="gramStart"/>
      <w:r w:rsidR="00D12CE7">
        <w:t>С </w:t>
      </w:r>
      <w:r w:rsidRPr="00FF31DD">
        <w:t xml:space="preserve">точки зрения политической поддержки и мандатов высокого уровня следует отметить, что в резолюции министров 2017 года, которая была подписана по случаю </w:t>
      </w:r>
      <w:r w:rsidR="00CE79D3">
        <w:t>70-</w:t>
      </w:r>
      <w:r w:rsidRPr="00FF31DD">
        <w:t>й годовщины Комитета 21 февраля 2017 года и одобрена Комитетом 24 февраля 2017 года, содержатся многочисленные ссылки на цели в области устойчивого развития и на работу Комитета и его вспомогательных орга</w:t>
      </w:r>
      <w:r w:rsidR="00CE79D3">
        <w:t>нов (см. </w:t>
      </w:r>
      <w:r w:rsidRPr="00FF31DD">
        <w:t>приложение II к настоящей записке).</w:t>
      </w:r>
      <w:proofErr w:type="gramEnd"/>
      <w:r w:rsidRPr="00FF31DD">
        <w:t xml:space="preserve"> Кроме того, Комитет выражал по</w:t>
      </w:r>
      <w:r w:rsidRPr="00FF31DD">
        <w:t>д</w:t>
      </w:r>
      <w:r w:rsidRPr="00FF31DD">
        <w:lastRenderedPageBreak/>
        <w:t>держку осуществлению целей в области устойчивого развития в многочисле</w:t>
      </w:r>
      <w:r w:rsidRPr="00FF31DD">
        <w:t>н</w:t>
      </w:r>
      <w:r w:rsidRPr="00FF31DD">
        <w:t>ных решениях, которые принимались в ходе ежегодных сесси</w:t>
      </w:r>
      <w:r w:rsidR="00CE79D3">
        <w:t>й</w:t>
      </w:r>
      <w:r w:rsidR="00294ACE">
        <w:t xml:space="preserve"> с 2015 года (в </w:t>
      </w:r>
      <w:r w:rsidRPr="00FF31DD">
        <w:t>настоящей записке не воспроизводятся).</w:t>
      </w:r>
    </w:p>
    <w:p w:rsidR="00FF31DD" w:rsidRPr="00FF31DD" w:rsidRDefault="00FF31DD" w:rsidP="00FF31DD">
      <w:pPr>
        <w:pStyle w:val="SingleTxtGR"/>
      </w:pPr>
      <w:r w:rsidRPr="00FF31DD">
        <w:t>16.</w:t>
      </w:r>
      <w:r w:rsidRPr="00FF31DD">
        <w:tab/>
        <w:t>В то же время в плане осуществления и мониторинга Комитет непосре</w:t>
      </w:r>
      <w:r w:rsidRPr="00FF31DD">
        <w:t>д</w:t>
      </w:r>
      <w:r w:rsidRPr="00FF31DD">
        <w:t>ственно участвует в глобальных усилиях по отслеживанию прогресса в реал</w:t>
      </w:r>
      <w:r w:rsidRPr="00FF31DD">
        <w:t>и</w:t>
      </w:r>
      <w:r w:rsidRPr="00FF31DD">
        <w:t xml:space="preserve">зации целей в области устойчивого развития, которые обсуждались ранее в настоящем документе. </w:t>
      </w:r>
      <w:proofErr w:type="gramStart"/>
      <w:r w:rsidRPr="00FF31DD">
        <w:t>Для более наглядного отражения непосредственного вклада Комитета в осуществление целей в области устойчивого развития, а также сопоставления его деятельности с целями в области устойчивого разв</w:t>
      </w:r>
      <w:r w:rsidRPr="00FF31DD">
        <w:t>и</w:t>
      </w:r>
      <w:r w:rsidRPr="00FF31DD">
        <w:t>тия, затрагиваемыми деятельностью Комитета, в его ежегодном докладе за т</w:t>
      </w:r>
      <w:r w:rsidRPr="00FF31DD">
        <w:t>е</w:t>
      </w:r>
      <w:r w:rsidRPr="00FF31DD">
        <w:t xml:space="preserve">кущий год (ECE/TRANS/2018/18) прямо указано на связь работы Комитета с достижением целей в области устойчивого развития. </w:t>
      </w:r>
      <w:proofErr w:type="gramEnd"/>
    </w:p>
    <w:p w:rsidR="00FF31DD" w:rsidRPr="00FF31DD" w:rsidRDefault="00FF31DD" w:rsidP="00FF31DD">
      <w:pPr>
        <w:pStyle w:val="SingleTxtGR"/>
      </w:pPr>
      <w:r w:rsidRPr="00FF31DD">
        <w:t>17.</w:t>
      </w:r>
      <w:r w:rsidRPr="00FF31DD">
        <w:tab/>
        <w:t>И наконец, что не менее важное, проведение стратегического обзора де</w:t>
      </w:r>
      <w:r w:rsidRPr="00FF31DD">
        <w:t>я</w:t>
      </w:r>
      <w:r w:rsidRPr="00FF31DD">
        <w:t>тельности Комитета направлено на обеспечение того, чтобы его назначение полностью соответствовало целям в области устойчивого развития и спосо</w:t>
      </w:r>
      <w:r w:rsidRPr="00FF31DD">
        <w:t>б</w:t>
      </w:r>
      <w:r w:rsidRPr="00FF31DD">
        <w:t>ствовало их достижению.</w:t>
      </w:r>
    </w:p>
    <w:p w:rsidR="00FF31DD" w:rsidRPr="00FF31DD" w:rsidRDefault="00FF31DD" w:rsidP="00D12CE7">
      <w:pPr>
        <w:pStyle w:val="HChGR"/>
      </w:pPr>
      <w:r w:rsidRPr="00FF31DD">
        <w:tab/>
        <w:t>III.</w:t>
      </w:r>
      <w:r w:rsidRPr="00FF31DD">
        <w:tab/>
        <w:t xml:space="preserve">Вывод: повышение роли Комитета в деле достижения целей в области устойчивого развития, </w:t>
      </w:r>
      <w:r w:rsidR="00D12CE7">
        <w:t>связанных с </w:t>
      </w:r>
      <w:r w:rsidRPr="00FF31DD">
        <w:t>транспортом</w:t>
      </w:r>
    </w:p>
    <w:p w:rsidR="00FF31DD" w:rsidRPr="00FF31DD" w:rsidRDefault="00FF31DD" w:rsidP="00A018AE">
      <w:pPr>
        <w:pStyle w:val="SingleTxtGR"/>
      </w:pPr>
      <w:r w:rsidRPr="00FF31DD">
        <w:t>18.</w:t>
      </w:r>
      <w:r w:rsidRPr="00FF31DD">
        <w:tab/>
        <w:t>Комитет непосредственно участвует в крупных глобальных мероприятиях по отслеживанию прогресса в осуществлении целей в области устойчивого ра</w:t>
      </w:r>
      <w:r w:rsidRPr="00FF31DD">
        <w:t>з</w:t>
      </w:r>
      <w:r w:rsidRPr="00FF31DD">
        <w:t>вития, связанных с транспортом. В рамках проводимого в настоящее время его стратегического обзора особое внимание уделяется достижению целей в обл</w:t>
      </w:r>
      <w:r w:rsidRPr="00FF31DD">
        <w:t>а</w:t>
      </w:r>
      <w:r w:rsidRPr="00FF31DD">
        <w:t>ст</w:t>
      </w:r>
      <w:r w:rsidR="00A018AE">
        <w:t>и устойчивого развития. В целом</w:t>
      </w:r>
      <w:r w:rsidRPr="00FF31DD">
        <w:t xml:space="preserve"> работа КВТ и его вспомогательных органов непосредственно связана с </w:t>
      </w:r>
      <w:r w:rsidR="00A018AE">
        <w:t>14</w:t>
      </w:r>
      <w:r w:rsidRPr="00FF31DD">
        <w:t xml:space="preserve"> из </w:t>
      </w:r>
      <w:r w:rsidR="00A018AE">
        <w:t>17</w:t>
      </w:r>
      <w:r w:rsidRPr="00FF31DD">
        <w:t xml:space="preserve"> целей в области устойчивого разви</w:t>
      </w:r>
      <w:r w:rsidR="00A018AE">
        <w:t xml:space="preserve">тия. Тем не </w:t>
      </w:r>
      <w:proofErr w:type="gramStart"/>
      <w:r w:rsidR="00A018AE">
        <w:t>менее</w:t>
      </w:r>
      <w:proofErr w:type="gramEnd"/>
      <w:r w:rsidRPr="00FF31DD">
        <w:t xml:space="preserve"> сохраняются серьезные пробелы в плане потенциала и осущест</w:t>
      </w:r>
      <w:r w:rsidRPr="00FF31DD">
        <w:t>в</w:t>
      </w:r>
      <w:r w:rsidRPr="00FF31DD">
        <w:t>ления, которые необходимо преодолеть, с тем чтобы устойчивые транспортные системы и мобильность в полной мере играли свою роль в глобальных усилиях по обеспечению устойчивости.</w:t>
      </w:r>
    </w:p>
    <w:p w:rsidR="00FF31DD" w:rsidRPr="00FF31DD" w:rsidRDefault="00FF31DD" w:rsidP="00FF31DD">
      <w:pPr>
        <w:pStyle w:val="SingleTxtGR"/>
      </w:pPr>
      <w:r w:rsidRPr="00FF31DD">
        <w:t>19.</w:t>
      </w:r>
      <w:r w:rsidRPr="00FF31DD">
        <w:tab/>
      </w:r>
      <w:proofErr w:type="gramStart"/>
      <w:r w:rsidRPr="00FF31DD">
        <w:t>С учетом этих соображений и продолжающегося обсуждения вопроса о переориентации системы развития Организации Объединенных Наций Комитет, возможно, пожелает предложить государствам-членам обеспечить решающую роль КВТ, его вспомогательных органов и секретариата ЕЭК/КВТ в деле мон</w:t>
      </w:r>
      <w:r w:rsidRPr="00FF31DD">
        <w:t>и</w:t>
      </w:r>
      <w:r w:rsidRPr="00FF31DD">
        <w:t>торинга целей в области устойчивого развития и просить секретариат продо</w:t>
      </w:r>
      <w:r w:rsidRPr="00FF31DD">
        <w:t>л</w:t>
      </w:r>
      <w:r w:rsidRPr="00FF31DD">
        <w:t>жать наращивать свой вклад в нынешние механизмы отслеживания целей в о</w:t>
      </w:r>
      <w:r w:rsidRPr="00FF31DD">
        <w:t>б</w:t>
      </w:r>
      <w:r w:rsidRPr="00FF31DD">
        <w:t>ласти устойчивого развития.</w:t>
      </w:r>
      <w:proofErr w:type="gramEnd"/>
    </w:p>
    <w:p w:rsidR="00FF31DD" w:rsidRPr="00FF31DD" w:rsidRDefault="00FF31DD" w:rsidP="00D12CE7">
      <w:pPr>
        <w:pStyle w:val="HChGR"/>
      </w:pPr>
      <w:r w:rsidRPr="00FF31DD">
        <w:br w:type="page"/>
      </w:r>
      <w:r w:rsidRPr="00FF31DD">
        <w:lastRenderedPageBreak/>
        <w:t>Приложение I</w:t>
      </w:r>
    </w:p>
    <w:p w:rsidR="00FF31DD" w:rsidRPr="00FF31DD" w:rsidRDefault="00FF31DD" w:rsidP="00D30049">
      <w:pPr>
        <w:pStyle w:val="HChGR"/>
      </w:pPr>
      <w:r w:rsidRPr="00FF31DD">
        <w:tab/>
      </w:r>
      <w:r w:rsidRPr="00FF31DD">
        <w:tab/>
        <w:t>Связанные с транспортом цели в области устойчивого развития, соответствующие задачи и показатели</w:t>
      </w:r>
    </w:p>
    <w:p w:rsidR="00FF31DD" w:rsidRPr="00FF31DD" w:rsidRDefault="00D30049" w:rsidP="00FF31DD">
      <w:pPr>
        <w:pStyle w:val="SingleTxtGR"/>
      </w:pPr>
      <w:r>
        <w:tab/>
      </w:r>
      <w:r w:rsidR="00FF31DD" w:rsidRPr="00FF31DD">
        <w:t>В марте 2016 года было разработано 230 показателей для оценки пр</w:t>
      </w:r>
      <w:r w:rsidR="00FF31DD" w:rsidRPr="00FF31DD">
        <w:t>о</w:t>
      </w:r>
      <w:r w:rsidR="00FF31DD" w:rsidRPr="00FF31DD">
        <w:t>гресса в деле достижения целей в области устойчивого развития. Впоследствии эти показатели были разбиты на три категории на основе наличия исходных данных:</w:t>
      </w:r>
    </w:p>
    <w:p w:rsidR="00D30049" w:rsidRPr="00D30049" w:rsidRDefault="00D30049" w:rsidP="00D30049">
      <w:pPr>
        <w:numPr>
          <w:ilvl w:val="0"/>
          <w:numId w:val="16"/>
        </w:numPr>
        <w:spacing w:after="120"/>
        <w:ind w:right="1134"/>
        <w:jc w:val="both"/>
        <w:rPr>
          <w:rFonts w:eastAsia="Times New Roman" w:cs="Times New Roman"/>
          <w:szCs w:val="20"/>
          <w:lang w:eastAsia="ru-RU"/>
        </w:rPr>
      </w:pPr>
      <w:r w:rsidRPr="00D30049">
        <w:rPr>
          <w:rFonts w:eastAsia="Times New Roman" w:cs="Times New Roman"/>
          <w:szCs w:val="20"/>
          <w:lang w:eastAsia="ru-RU"/>
        </w:rPr>
        <w:t>уровень I: концептуально четко оформленный показатель, имеются утвержденная методология и стандарты, а данные представляются стр</w:t>
      </w:r>
      <w:r w:rsidRPr="00D30049">
        <w:rPr>
          <w:rFonts w:eastAsia="Times New Roman" w:cs="Times New Roman"/>
          <w:szCs w:val="20"/>
          <w:lang w:eastAsia="ru-RU"/>
        </w:rPr>
        <w:t>а</w:t>
      </w:r>
      <w:r w:rsidRPr="00D30049">
        <w:rPr>
          <w:rFonts w:eastAsia="Times New Roman" w:cs="Times New Roman"/>
          <w:szCs w:val="20"/>
          <w:lang w:eastAsia="ru-RU"/>
        </w:rPr>
        <w:t>нами на регулярной основе;</w:t>
      </w:r>
    </w:p>
    <w:p w:rsidR="00D30049" w:rsidRPr="00D30049" w:rsidRDefault="00D30049" w:rsidP="00D30049">
      <w:pPr>
        <w:numPr>
          <w:ilvl w:val="0"/>
          <w:numId w:val="16"/>
        </w:numPr>
        <w:spacing w:after="120"/>
        <w:ind w:right="1134"/>
        <w:jc w:val="both"/>
        <w:rPr>
          <w:rFonts w:eastAsia="Times New Roman" w:cs="Times New Roman"/>
          <w:szCs w:val="20"/>
          <w:lang w:eastAsia="ru-RU"/>
        </w:rPr>
      </w:pPr>
      <w:r w:rsidRPr="00D30049">
        <w:rPr>
          <w:rFonts w:eastAsia="Times New Roman" w:cs="Times New Roman"/>
          <w:szCs w:val="20"/>
          <w:lang w:eastAsia="ru-RU"/>
        </w:rPr>
        <w:t>уровень II: концептуально четко оформленный показатель, имеются утвержденная методология и стандарты, однако данные не представляю</w:t>
      </w:r>
      <w:r w:rsidRPr="00D30049">
        <w:rPr>
          <w:rFonts w:eastAsia="Times New Roman" w:cs="Times New Roman"/>
          <w:szCs w:val="20"/>
          <w:lang w:eastAsia="ru-RU"/>
        </w:rPr>
        <w:t>т</w:t>
      </w:r>
      <w:r w:rsidRPr="00D30049">
        <w:rPr>
          <w:rFonts w:eastAsia="Times New Roman" w:cs="Times New Roman"/>
          <w:szCs w:val="20"/>
          <w:lang w:eastAsia="ru-RU"/>
        </w:rPr>
        <w:t>ся странами на регулярной основе;</w:t>
      </w:r>
    </w:p>
    <w:p w:rsidR="00D30049" w:rsidRPr="00D30049" w:rsidRDefault="00D30049" w:rsidP="00D30049">
      <w:pPr>
        <w:numPr>
          <w:ilvl w:val="0"/>
          <w:numId w:val="16"/>
        </w:numPr>
        <w:spacing w:after="120"/>
        <w:ind w:right="1134"/>
        <w:jc w:val="both"/>
        <w:rPr>
          <w:rFonts w:eastAsia="Times New Roman" w:cs="Times New Roman"/>
          <w:szCs w:val="20"/>
          <w:lang w:eastAsia="ru-RU"/>
        </w:rPr>
      </w:pPr>
      <w:r w:rsidRPr="00D30049">
        <w:rPr>
          <w:rFonts w:eastAsia="Times New Roman" w:cs="Times New Roman"/>
          <w:szCs w:val="20"/>
          <w:lang w:eastAsia="ru-RU"/>
        </w:rPr>
        <w:t xml:space="preserve">уровень III: показатель, в отношении которого утвержденная методология и стандарты отсутствуют либо методология/стандарты </w:t>
      </w:r>
      <w:proofErr w:type="gramStart"/>
      <w:r w:rsidRPr="00D30049">
        <w:rPr>
          <w:rFonts w:eastAsia="Times New Roman" w:cs="Times New Roman"/>
          <w:szCs w:val="20"/>
          <w:lang w:eastAsia="ru-RU"/>
        </w:rPr>
        <w:t>разрабатываются</w:t>
      </w:r>
      <w:proofErr w:type="gramEnd"/>
      <w:r w:rsidRPr="00D30049">
        <w:rPr>
          <w:rFonts w:eastAsia="Times New Roman" w:cs="Times New Roman"/>
          <w:szCs w:val="20"/>
          <w:lang w:eastAsia="ru-RU"/>
        </w:rPr>
        <w:t>/ проходят испытания.</w:t>
      </w:r>
    </w:p>
    <w:tbl>
      <w:tblPr>
        <w:tblStyle w:val="TableGrid"/>
        <w:tblW w:w="8361" w:type="dxa"/>
        <w:tblInd w:w="1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</w:tblGrid>
      <w:tr w:rsidR="00FF31DD" w:rsidRPr="00D30049" w:rsidTr="00D30049">
        <w:trPr>
          <w:cantSplit/>
          <w:tblHeader/>
        </w:trPr>
        <w:tc>
          <w:tcPr>
            <w:tcW w:w="8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F31DD" w:rsidRPr="00D30049" w:rsidRDefault="00FF31DD" w:rsidP="00D30049">
            <w:pPr>
              <w:pStyle w:val="SingleTxtGR"/>
              <w:spacing w:before="80" w:after="80" w:line="200" w:lineRule="exact"/>
              <w:ind w:left="0" w:right="0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D30049">
              <w:rPr>
                <w:i/>
                <w:iCs/>
                <w:sz w:val="16"/>
                <w:szCs w:val="16"/>
              </w:rPr>
              <w:t>Цели, связанные с транспортом</w:t>
            </w:r>
          </w:p>
        </w:tc>
      </w:tr>
      <w:tr w:rsidR="00FF31DD" w:rsidRPr="00D30049" w:rsidTr="00D30049">
        <w:trPr>
          <w:cantSplit/>
        </w:trPr>
        <w:tc>
          <w:tcPr>
            <w:tcW w:w="83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F31DD" w:rsidRPr="00D30049" w:rsidRDefault="00FF31DD" w:rsidP="00C461CE">
            <w:pPr>
              <w:pStyle w:val="SingleTxtGR"/>
              <w:tabs>
                <w:tab w:val="clear" w:pos="1701"/>
                <w:tab w:val="left" w:pos="1123"/>
              </w:tabs>
              <w:spacing w:before="40"/>
              <w:ind w:left="0" w:right="0"/>
              <w:rPr>
                <w:b/>
                <w:bCs/>
              </w:rPr>
            </w:pPr>
            <w:r w:rsidRPr="00D30049">
              <w:rPr>
                <w:b/>
                <w:bCs/>
              </w:rPr>
              <w:t>Цель 3.</w:t>
            </w:r>
            <w:r w:rsidRPr="00D30049">
              <w:rPr>
                <w:b/>
                <w:bCs/>
              </w:rPr>
              <w:tab/>
              <w:t>Обеспечение здорового образа жизни и содействие благополучию для всех в любом возрасте</w:t>
            </w:r>
          </w:p>
        </w:tc>
      </w:tr>
      <w:tr w:rsidR="00FF31DD" w:rsidRPr="00D30049" w:rsidTr="00D30049">
        <w:trPr>
          <w:cantSplit/>
        </w:trPr>
        <w:tc>
          <w:tcPr>
            <w:tcW w:w="8361" w:type="dxa"/>
            <w:tcBorders>
              <w:top w:val="single" w:sz="4" w:space="0" w:color="auto"/>
            </w:tcBorders>
            <w:shd w:val="clear" w:color="auto" w:fill="auto"/>
          </w:tcPr>
          <w:p w:rsidR="00FF31DD" w:rsidRPr="00D30049" w:rsidRDefault="00FF31DD" w:rsidP="00C461CE">
            <w:pPr>
              <w:pStyle w:val="SingleTxtGR"/>
              <w:tabs>
                <w:tab w:val="left" w:pos="561"/>
                <w:tab w:val="left" w:pos="1134"/>
              </w:tabs>
              <w:spacing w:before="40"/>
              <w:ind w:left="0" w:right="0"/>
              <w:rPr>
                <w:b/>
                <w:bCs/>
                <w:i/>
                <w:iCs/>
              </w:rPr>
            </w:pPr>
            <w:r w:rsidRPr="00D30049">
              <w:rPr>
                <w:b/>
                <w:bCs/>
                <w:i/>
                <w:iCs/>
              </w:rPr>
              <w:t>3.6</w:t>
            </w:r>
            <w:proofErr w:type="gramStart"/>
            <w:r w:rsidRPr="00D30049">
              <w:rPr>
                <w:b/>
                <w:bCs/>
                <w:i/>
                <w:iCs/>
              </w:rPr>
              <w:tab/>
              <w:t>К</w:t>
            </w:r>
            <w:proofErr w:type="gramEnd"/>
            <w:r w:rsidRPr="00D30049">
              <w:rPr>
                <w:b/>
                <w:bCs/>
                <w:i/>
                <w:iCs/>
              </w:rPr>
              <w:t xml:space="preserve"> 2020 году вдвое сократить во всем мире число смертей и травм в результате дорожно-транспортных происшествий</w:t>
            </w:r>
          </w:p>
        </w:tc>
      </w:tr>
      <w:tr w:rsidR="00FF31DD" w:rsidRPr="00FF31DD" w:rsidTr="00D30049">
        <w:trPr>
          <w:cantSplit/>
        </w:trPr>
        <w:tc>
          <w:tcPr>
            <w:tcW w:w="8361" w:type="dxa"/>
            <w:shd w:val="clear" w:color="auto" w:fill="auto"/>
          </w:tcPr>
          <w:p w:rsidR="00FF31DD" w:rsidRPr="00FF31DD" w:rsidRDefault="00FF31DD" w:rsidP="00C461CE">
            <w:pPr>
              <w:pStyle w:val="SingleTxtGR"/>
              <w:spacing w:before="40"/>
              <w:ind w:left="0" w:right="0"/>
            </w:pPr>
            <w:r w:rsidRPr="000F59C9">
              <w:rPr>
                <w:i/>
                <w:iCs/>
              </w:rPr>
              <w:t>Показатель 3.6.1:</w:t>
            </w:r>
            <w:r w:rsidRPr="00FF31DD">
              <w:t xml:space="preserve"> Число случаев смерти в результате дорожно-транспортных происш</w:t>
            </w:r>
            <w:r w:rsidRPr="00FF31DD">
              <w:t>е</w:t>
            </w:r>
            <w:r w:rsidRPr="00FF31DD">
              <w:t>ствий</w:t>
            </w:r>
          </w:p>
          <w:p w:rsidR="00FF31DD" w:rsidRPr="00FF31DD" w:rsidRDefault="00FF31DD" w:rsidP="00C461CE">
            <w:pPr>
              <w:pStyle w:val="SingleTxtGR"/>
              <w:spacing w:before="40"/>
              <w:ind w:left="0" w:right="0"/>
              <w:rPr>
                <w:u w:val="single"/>
              </w:rPr>
            </w:pPr>
            <w:r w:rsidRPr="000F59C9">
              <w:rPr>
                <w:i/>
                <w:iCs/>
              </w:rPr>
              <w:t>Возможное курирующее учреждение:</w:t>
            </w:r>
            <w:r w:rsidRPr="00FF31DD">
              <w:t xml:space="preserve"> Всемирная организация здравоохранения (ВОЗ)</w:t>
            </w:r>
          </w:p>
          <w:p w:rsidR="00FF31DD" w:rsidRPr="00FF31DD" w:rsidRDefault="00FF31DD" w:rsidP="00C461CE">
            <w:pPr>
              <w:pStyle w:val="SingleTxtGR"/>
              <w:spacing w:before="40"/>
              <w:ind w:left="0" w:right="0"/>
            </w:pPr>
            <w:r w:rsidRPr="000F59C9">
              <w:rPr>
                <w:i/>
                <w:iCs/>
              </w:rPr>
              <w:t>Учреждения-партнеры:</w:t>
            </w:r>
            <w:r w:rsidRPr="00FF31DD">
              <w:t xml:space="preserve"> ЕЭК</w:t>
            </w:r>
          </w:p>
          <w:p w:rsidR="00FF31DD" w:rsidRPr="000F59C9" w:rsidRDefault="00FF31DD" w:rsidP="00C461CE">
            <w:pPr>
              <w:pStyle w:val="SingleTxtGR"/>
              <w:spacing w:before="40"/>
              <w:ind w:left="0" w:right="0"/>
              <w:rPr>
                <w:i/>
                <w:iCs/>
                <w:u w:val="single"/>
              </w:rPr>
            </w:pPr>
            <w:r w:rsidRPr="000F59C9">
              <w:rPr>
                <w:i/>
                <w:iCs/>
              </w:rPr>
              <w:t>Уровень</w:t>
            </w:r>
            <w:r w:rsidR="000F59C9">
              <w:rPr>
                <w:i/>
                <w:iCs/>
              </w:rPr>
              <w:t>:</w:t>
            </w:r>
            <w:r w:rsidRPr="000F59C9">
              <w:rPr>
                <w:i/>
                <w:iCs/>
              </w:rPr>
              <w:t xml:space="preserve"> </w:t>
            </w:r>
            <w:r w:rsidRPr="000F59C9">
              <w:t>I</w:t>
            </w:r>
          </w:p>
        </w:tc>
      </w:tr>
      <w:tr w:rsidR="00FF31DD" w:rsidRPr="00FF31DD" w:rsidTr="00D30049">
        <w:trPr>
          <w:cantSplit/>
        </w:trPr>
        <w:tc>
          <w:tcPr>
            <w:tcW w:w="8361" w:type="dxa"/>
            <w:shd w:val="clear" w:color="auto" w:fill="auto"/>
          </w:tcPr>
          <w:p w:rsidR="00FF31DD" w:rsidRPr="00FF31DD" w:rsidRDefault="00FF31DD" w:rsidP="00C461CE">
            <w:pPr>
              <w:pStyle w:val="SingleTxtGR"/>
              <w:spacing w:before="40"/>
              <w:ind w:left="0" w:right="0"/>
              <w:rPr>
                <w:lang w:val="en-GB"/>
              </w:rPr>
            </w:pPr>
            <w:r w:rsidRPr="000F59C9">
              <w:rPr>
                <w:i/>
                <w:iCs/>
              </w:rPr>
              <w:t>Обоснование участия КВТ:</w:t>
            </w:r>
            <w:r w:rsidRPr="00FF31DD">
              <w:t xml:space="preserve"> КВТ является единственным форумом системы Организации Объединенных Наций, который применяет комплексный подход к проблеме безопасности дорожного движения на основе нормотворческой деятельности, мероприятий по наращ</w:t>
            </w:r>
            <w:r w:rsidRPr="00FF31DD">
              <w:t>и</w:t>
            </w:r>
            <w:r w:rsidRPr="00FF31DD">
              <w:t>ванию потенциала и оказанию технической помощи, аналитической работы и диалога по вопросам политики. К этому относится следующее:</w:t>
            </w:r>
          </w:p>
        </w:tc>
      </w:tr>
      <w:tr w:rsidR="00FF31DD" w:rsidRPr="00FF31DD" w:rsidTr="00D30049">
        <w:trPr>
          <w:cantSplit/>
        </w:trPr>
        <w:tc>
          <w:tcPr>
            <w:tcW w:w="8361" w:type="dxa"/>
            <w:shd w:val="clear" w:color="auto" w:fill="auto"/>
          </w:tcPr>
          <w:p w:rsidR="00FF31DD" w:rsidRPr="00FF31DD" w:rsidRDefault="00FF31DD" w:rsidP="00C461CE">
            <w:pPr>
              <w:numPr>
                <w:ilvl w:val="0"/>
                <w:numId w:val="16"/>
              </w:numPr>
              <w:spacing w:before="40" w:after="120"/>
              <w:ind w:right="1134"/>
              <w:rPr>
                <w:rFonts w:eastAsia="Times New Roman" w:cs="Times New Roman"/>
                <w:szCs w:val="20"/>
                <w:lang w:val="en-GB"/>
              </w:rPr>
            </w:pPr>
            <w:r w:rsidRPr="00FF31DD">
              <w:rPr>
                <w:rFonts w:eastAsia="Times New Roman" w:cs="Times New Roman"/>
                <w:szCs w:val="20"/>
                <w:lang w:eastAsia="ru-RU"/>
              </w:rPr>
              <w:t>правила</w:t>
            </w:r>
            <w:r w:rsidRPr="00FF31DD">
              <w:rPr>
                <w:rFonts w:eastAsia="Times New Roman" w:cs="Times New Roman"/>
                <w:szCs w:val="20"/>
              </w:rPr>
              <w:t xml:space="preserve"> дорожного движения;</w:t>
            </w:r>
          </w:p>
        </w:tc>
      </w:tr>
      <w:tr w:rsidR="00FF31DD" w:rsidRPr="00FF31DD" w:rsidTr="00D30049">
        <w:trPr>
          <w:cantSplit/>
        </w:trPr>
        <w:tc>
          <w:tcPr>
            <w:tcW w:w="8361" w:type="dxa"/>
            <w:shd w:val="clear" w:color="auto" w:fill="auto"/>
          </w:tcPr>
          <w:p w:rsidR="00FF31DD" w:rsidRPr="00FF31DD" w:rsidRDefault="00FF31DD" w:rsidP="00C461CE">
            <w:pPr>
              <w:numPr>
                <w:ilvl w:val="0"/>
                <w:numId w:val="16"/>
              </w:numPr>
              <w:spacing w:before="40" w:after="120"/>
              <w:ind w:right="1134"/>
              <w:rPr>
                <w:rFonts w:eastAsia="Times New Roman" w:cs="Times New Roman"/>
                <w:szCs w:val="20"/>
                <w:lang w:val="en-GB"/>
              </w:rPr>
            </w:pPr>
            <w:r w:rsidRPr="00FF31DD">
              <w:rPr>
                <w:rFonts w:eastAsia="Times New Roman" w:cs="Times New Roman"/>
                <w:szCs w:val="20"/>
              </w:rPr>
              <w:t>дорожные знаки и сигналы;</w:t>
            </w:r>
          </w:p>
        </w:tc>
      </w:tr>
      <w:tr w:rsidR="00FF31DD" w:rsidRPr="00FF31DD" w:rsidTr="00D30049">
        <w:trPr>
          <w:cantSplit/>
        </w:trPr>
        <w:tc>
          <w:tcPr>
            <w:tcW w:w="8361" w:type="dxa"/>
            <w:shd w:val="clear" w:color="auto" w:fill="auto"/>
          </w:tcPr>
          <w:p w:rsidR="00FF31DD" w:rsidRPr="00FF31DD" w:rsidRDefault="00FF31DD" w:rsidP="00C461CE">
            <w:pPr>
              <w:numPr>
                <w:ilvl w:val="0"/>
                <w:numId w:val="16"/>
              </w:numPr>
              <w:spacing w:before="40" w:after="120"/>
              <w:ind w:right="1134"/>
              <w:rPr>
                <w:rFonts w:eastAsia="Times New Roman" w:cs="Times New Roman"/>
                <w:szCs w:val="20"/>
                <w:lang w:val="en-GB"/>
              </w:rPr>
            </w:pPr>
            <w:r w:rsidRPr="00FF31DD">
              <w:rPr>
                <w:rFonts w:eastAsia="Times New Roman" w:cs="Times New Roman"/>
                <w:szCs w:val="20"/>
              </w:rPr>
              <w:t>дорожная инфраструктура;</w:t>
            </w:r>
          </w:p>
        </w:tc>
      </w:tr>
      <w:tr w:rsidR="00FF31DD" w:rsidRPr="00FF31DD" w:rsidTr="00D30049">
        <w:trPr>
          <w:cantSplit/>
        </w:trPr>
        <w:tc>
          <w:tcPr>
            <w:tcW w:w="8361" w:type="dxa"/>
            <w:shd w:val="clear" w:color="auto" w:fill="auto"/>
          </w:tcPr>
          <w:p w:rsidR="00FF31DD" w:rsidRPr="00FF31DD" w:rsidRDefault="00FF31DD" w:rsidP="00C461CE">
            <w:pPr>
              <w:numPr>
                <w:ilvl w:val="0"/>
                <w:numId w:val="16"/>
              </w:numPr>
              <w:spacing w:before="40" w:after="120"/>
              <w:ind w:right="1134"/>
              <w:rPr>
                <w:rFonts w:eastAsia="Times New Roman" w:cs="Times New Roman"/>
                <w:szCs w:val="20"/>
              </w:rPr>
            </w:pPr>
            <w:r w:rsidRPr="00FF31DD">
              <w:rPr>
                <w:rFonts w:eastAsia="Times New Roman" w:cs="Times New Roman"/>
                <w:szCs w:val="20"/>
                <w:lang w:eastAsia="ru-RU"/>
              </w:rPr>
              <w:t>конструкция</w:t>
            </w:r>
            <w:r w:rsidRPr="00FF31DD">
              <w:rPr>
                <w:rFonts w:eastAsia="Times New Roman" w:cs="Times New Roman"/>
                <w:szCs w:val="20"/>
              </w:rPr>
              <w:t xml:space="preserve"> и периодический осмотр транспортных средств;</w:t>
            </w:r>
          </w:p>
        </w:tc>
      </w:tr>
      <w:tr w:rsidR="00FF31DD" w:rsidRPr="00FF31DD" w:rsidTr="00D30049">
        <w:trPr>
          <w:cantSplit/>
        </w:trPr>
        <w:tc>
          <w:tcPr>
            <w:tcW w:w="8361" w:type="dxa"/>
            <w:shd w:val="clear" w:color="auto" w:fill="auto"/>
          </w:tcPr>
          <w:p w:rsidR="00FF31DD" w:rsidRPr="00FF31DD" w:rsidRDefault="00FF31DD" w:rsidP="00C461CE">
            <w:pPr>
              <w:numPr>
                <w:ilvl w:val="0"/>
                <w:numId w:val="16"/>
              </w:numPr>
              <w:spacing w:before="40" w:after="120"/>
              <w:ind w:right="1134"/>
              <w:rPr>
                <w:rFonts w:eastAsia="Times New Roman" w:cs="Times New Roman"/>
                <w:szCs w:val="20"/>
              </w:rPr>
            </w:pPr>
            <w:r w:rsidRPr="00FF31DD">
              <w:rPr>
                <w:rFonts w:eastAsia="Times New Roman" w:cs="Times New Roman"/>
                <w:szCs w:val="20"/>
              </w:rPr>
              <w:t>периоды работы и отдыха профессиональных водителей;</w:t>
            </w:r>
          </w:p>
        </w:tc>
      </w:tr>
      <w:tr w:rsidR="00FF31DD" w:rsidRPr="00FF31DD" w:rsidTr="00D30049">
        <w:trPr>
          <w:cantSplit/>
        </w:trPr>
        <w:tc>
          <w:tcPr>
            <w:tcW w:w="8361" w:type="dxa"/>
            <w:shd w:val="clear" w:color="auto" w:fill="auto"/>
          </w:tcPr>
          <w:p w:rsidR="00FF31DD" w:rsidRPr="00FF31DD" w:rsidRDefault="00FF31DD" w:rsidP="00C461CE">
            <w:pPr>
              <w:numPr>
                <w:ilvl w:val="0"/>
                <w:numId w:val="16"/>
              </w:numPr>
              <w:spacing w:before="40" w:after="120"/>
              <w:ind w:right="1134"/>
              <w:rPr>
                <w:rFonts w:eastAsia="Times New Roman" w:cs="Times New Roman"/>
                <w:szCs w:val="20"/>
                <w:lang w:val="en-GB"/>
              </w:rPr>
            </w:pPr>
            <w:r w:rsidRPr="00FF31DD">
              <w:rPr>
                <w:rFonts w:eastAsia="Times New Roman" w:cs="Times New Roman"/>
                <w:szCs w:val="20"/>
                <w:lang w:eastAsia="ru-RU"/>
              </w:rPr>
              <w:t>перевозка</w:t>
            </w:r>
            <w:r w:rsidRPr="00FF31DD">
              <w:rPr>
                <w:rFonts w:eastAsia="Times New Roman" w:cs="Times New Roman"/>
                <w:szCs w:val="20"/>
              </w:rPr>
              <w:t xml:space="preserve"> опасных грузов;</w:t>
            </w:r>
          </w:p>
        </w:tc>
      </w:tr>
      <w:tr w:rsidR="00FF31DD" w:rsidRPr="00FF31DD" w:rsidTr="000F59C9">
        <w:trPr>
          <w:cantSplit/>
        </w:trPr>
        <w:tc>
          <w:tcPr>
            <w:tcW w:w="8361" w:type="dxa"/>
            <w:shd w:val="clear" w:color="auto" w:fill="auto"/>
          </w:tcPr>
          <w:p w:rsidR="00FF31DD" w:rsidRPr="00FF31DD" w:rsidRDefault="00FF31DD" w:rsidP="006B0004">
            <w:pPr>
              <w:numPr>
                <w:ilvl w:val="0"/>
                <w:numId w:val="16"/>
              </w:numPr>
              <w:suppressAutoHyphens/>
              <w:spacing w:before="40" w:after="120"/>
              <w:ind w:right="1134"/>
              <w:rPr>
                <w:rFonts w:eastAsia="Times New Roman" w:cs="Times New Roman"/>
                <w:szCs w:val="20"/>
              </w:rPr>
            </w:pPr>
            <w:r w:rsidRPr="00FF31DD">
              <w:rPr>
                <w:rFonts w:eastAsia="Times New Roman" w:cs="Times New Roman"/>
                <w:szCs w:val="20"/>
              </w:rPr>
              <w:t xml:space="preserve">мобилизация политической воли и ресурсов, включая поддержку </w:t>
            </w:r>
            <w:proofErr w:type="gramStart"/>
            <w:r w:rsidRPr="00FF31DD">
              <w:rPr>
                <w:rFonts w:eastAsia="Times New Roman" w:cs="Times New Roman"/>
                <w:szCs w:val="20"/>
              </w:rPr>
              <w:t>работы Специального посланника Генерального секретаря Ор</w:t>
            </w:r>
            <w:r w:rsidR="001F60ED">
              <w:rPr>
                <w:rFonts w:eastAsia="Times New Roman" w:cs="Times New Roman"/>
                <w:szCs w:val="20"/>
              </w:rPr>
              <w:t>ганизации Объединенных Наций</w:t>
            </w:r>
            <w:proofErr w:type="gramEnd"/>
            <w:r w:rsidR="001F60ED">
              <w:rPr>
                <w:rFonts w:eastAsia="Times New Roman" w:cs="Times New Roman"/>
                <w:szCs w:val="20"/>
              </w:rPr>
              <w:t xml:space="preserve"> по</w:t>
            </w:r>
            <w:r w:rsidR="001F60ED">
              <w:rPr>
                <w:rFonts w:eastAsia="Times New Roman" w:cs="Times New Roman"/>
                <w:szCs w:val="20"/>
                <w:lang w:val="en-US"/>
              </w:rPr>
              <w:t> </w:t>
            </w:r>
            <w:r w:rsidRPr="00FF31DD">
              <w:rPr>
                <w:rFonts w:eastAsia="Times New Roman" w:cs="Times New Roman"/>
                <w:szCs w:val="20"/>
              </w:rPr>
              <w:t>безопасности дорожного движения.</w:t>
            </w:r>
          </w:p>
        </w:tc>
      </w:tr>
      <w:tr w:rsidR="00FF31DD" w:rsidRPr="00FF31DD" w:rsidTr="00A018AE">
        <w:trPr>
          <w:cantSplit/>
        </w:trPr>
        <w:tc>
          <w:tcPr>
            <w:tcW w:w="8361" w:type="dxa"/>
            <w:tcBorders>
              <w:bottom w:val="single" w:sz="4" w:space="0" w:color="auto"/>
            </w:tcBorders>
            <w:shd w:val="clear" w:color="auto" w:fill="auto"/>
          </w:tcPr>
          <w:p w:rsidR="00FF31DD" w:rsidRPr="00FF31DD" w:rsidRDefault="00FF31DD" w:rsidP="00C461CE">
            <w:pPr>
              <w:pStyle w:val="SingleTxtGR"/>
              <w:spacing w:before="40"/>
              <w:ind w:left="0" w:right="0"/>
            </w:pPr>
            <w:r w:rsidRPr="00FF31DD">
              <w:lastRenderedPageBreak/>
              <w:t>КВТ занимается сбором и распространением среди государств – членов Европейской эк</w:t>
            </w:r>
            <w:r w:rsidRPr="00FF31DD">
              <w:t>о</w:t>
            </w:r>
            <w:r w:rsidRPr="00FF31DD">
              <w:t>номической комиссии Организации Объединенных Наций (ЕЭК) значительного объема статистической информации о безопасности дорожного движения, в том числе содерж</w:t>
            </w:r>
            <w:r w:rsidRPr="00FF31DD">
              <w:t>а</w:t>
            </w:r>
            <w:r w:rsidRPr="00FF31DD">
              <w:t>щейся в онлайновой статистической базе данных, и подготовкой таких статистических публикаций, как «Статистика дорожно-транспортных происшествий в Европе и Северной Америке» и «</w:t>
            </w:r>
            <w:proofErr w:type="spellStart"/>
            <w:r w:rsidRPr="00FF31DD">
              <w:t>Инфокарты</w:t>
            </w:r>
            <w:proofErr w:type="spellEnd"/>
            <w:r w:rsidRPr="00FF31DD">
              <w:t xml:space="preserve"> транспортной статистики». ЕЭК десятилетиями занимается сб</w:t>
            </w:r>
            <w:r w:rsidRPr="00FF31DD">
              <w:t>о</w:t>
            </w:r>
            <w:r w:rsidRPr="00FF31DD">
              <w:t>ром данных, связанных непосредственно с ДТП со смертельным исходом, как указано в этом показателе. Кроме того, КВТ уже располагает этими данными, так что проведения исследования не требуется.</w:t>
            </w:r>
          </w:p>
        </w:tc>
      </w:tr>
      <w:tr w:rsidR="00FF31DD" w:rsidRPr="000F59C9" w:rsidTr="00A018AE">
        <w:trPr>
          <w:cantSplit/>
        </w:trPr>
        <w:tc>
          <w:tcPr>
            <w:tcW w:w="8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DD" w:rsidRPr="000F59C9" w:rsidRDefault="000F59C9" w:rsidP="00C461CE">
            <w:pPr>
              <w:pStyle w:val="SingleTxtGR"/>
              <w:tabs>
                <w:tab w:val="left" w:pos="1123"/>
              </w:tabs>
              <w:spacing w:before="40"/>
              <w:ind w:left="0" w:right="0"/>
              <w:rPr>
                <w:b/>
                <w:bCs/>
              </w:rPr>
            </w:pPr>
            <w:r w:rsidRPr="000F59C9">
              <w:rPr>
                <w:b/>
                <w:bCs/>
              </w:rPr>
              <w:t>Цель 9.</w:t>
            </w:r>
            <w:r w:rsidR="00FF31DD" w:rsidRPr="000F59C9">
              <w:rPr>
                <w:b/>
                <w:bCs/>
              </w:rPr>
              <w:tab/>
              <w:t>Создание стойкой инфраструктуры, содействие всеохватной и устойчивой индустриализации и инновациям</w:t>
            </w:r>
          </w:p>
        </w:tc>
      </w:tr>
      <w:tr w:rsidR="00FF31DD" w:rsidRPr="00FF31DD" w:rsidTr="00D30049">
        <w:trPr>
          <w:cantSplit/>
        </w:trPr>
        <w:tc>
          <w:tcPr>
            <w:tcW w:w="8361" w:type="dxa"/>
            <w:tcBorders>
              <w:top w:val="single" w:sz="4" w:space="0" w:color="auto"/>
            </w:tcBorders>
            <w:shd w:val="clear" w:color="auto" w:fill="auto"/>
          </w:tcPr>
          <w:p w:rsidR="00FF31DD" w:rsidRPr="00FF31DD" w:rsidRDefault="00FF31DD" w:rsidP="00C461CE">
            <w:pPr>
              <w:pStyle w:val="SingleTxtGR"/>
              <w:tabs>
                <w:tab w:val="left" w:pos="561"/>
                <w:tab w:val="left" w:pos="1134"/>
              </w:tabs>
              <w:spacing w:before="40"/>
              <w:ind w:left="0" w:right="0"/>
            </w:pPr>
            <w:r w:rsidRPr="000F59C9">
              <w:rPr>
                <w:b/>
                <w:bCs/>
                <w:i/>
                <w:iCs/>
              </w:rPr>
              <w:t>9.1</w:t>
            </w:r>
            <w:proofErr w:type="gramStart"/>
            <w:r w:rsidRPr="000F59C9">
              <w:rPr>
                <w:b/>
                <w:bCs/>
                <w:i/>
                <w:iCs/>
              </w:rPr>
              <w:tab/>
              <w:t>Р</w:t>
            </w:r>
            <w:proofErr w:type="gramEnd"/>
            <w:r w:rsidRPr="000F59C9">
              <w:rPr>
                <w:b/>
                <w:bCs/>
                <w:i/>
                <w:iCs/>
              </w:rPr>
              <w:t>азвивать качественную, надежную, устойчивую и стойкую инфраструктуру, включая региональную и трансграничную инфраструктуру, в целях поддержки экон</w:t>
            </w:r>
            <w:r w:rsidRPr="000F59C9">
              <w:rPr>
                <w:b/>
                <w:bCs/>
                <w:i/>
                <w:iCs/>
              </w:rPr>
              <w:t>о</w:t>
            </w:r>
            <w:r w:rsidRPr="000F59C9">
              <w:rPr>
                <w:b/>
                <w:bCs/>
                <w:i/>
                <w:iCs/>
              </w:rPr>
              <w:t>мического развития и благополучия людей, уделяя особое внимание обеспечению нед</w:t>
            </w:r>
            <w:r w:rsidRPr="000F59C9">
              <w:rPr>
                <w:b/>
                <w:bCs/>
                <w:i/>
                <w:iCs/>
              </w:rPr>
              <w:t>о</w:t>
            </w:r>
            <w:r w:rsidRPr="000F59C9">
              <w:rPr>
                <w:b/>
                <w:bCs/>
                <w:i/>
                <w:iCs/>
              </w:rPr>
              <w:t>рогого и равноправного доступа для всех</w:t>
            </w:r>
          </w:p>
        </w:tc>
      </w:tr>
      <w:tr w:rsidR="00FF31DD" w:rsidRPr="00FF31DD" w:rsidTr="00D30049">
        <w:trPr>
          <w:cantSplit/>
        </w:trPr>
        <w:tc>
          <w:tcPr>
            <w:tcW w:w="8361" w:type="dxa"/>
            <w:shd w:val="clear" w:color="auto" w:fill="auto"/>
          </w:tcPr>
          <w:p w:rsidR="00FF31DD" w:rsidRPr="00FF31DD" w:rsidRDefault="00FF31DD" w:rsidP="00C461CE">
            <w:pPr>
              <w:pStyle w:val="SingleTxtGR"/>
              <w:spacing w:before="40"/>
              <w:ind w:left="0" w:right="0"/>
            </w:pPr>
            <w:r w:rsidRPr="000F59C9">
              <w:rPr>
                <w:i/>
                <w:iCs/>
              </w:rPr>
              <w:t>Показатель 9.1.1:</w:t>
            </w:r>
            <w:r w:rsidRPr="00FF31DD">
              <w:t xml:space="preserve"> Доля сельского населения, проживающего в пределах 2 км от всесезо</w:t>
            </w:r>
            <w:r w:rsidRPr="00FF31DD">
              <w:t>н</w:t>
            </w:r>
            <w:r w:rsidRPr="00FF31DD">
              <w:t>ных дорог</w:t>
            </w:r>
          </w:p>
          <w:p w:rsidR="00FF31DD" w:rsidRPr="00FF31DD" w:rsidRDefault="00FF31DD" w:rsidP="00C461CE">
            <w:pPr>
              <w:pStyle w:val="SingleTxtGR"/>
              <w:spacing w:before="40"/>
              <w:ind w:left="0" w:right="0"/>
              <w:rPr>
                <w:u w:val="single"/>
              </w:rPr>
            </w:pPr>
            <w:r w:rsidRPr="000F59C9">
              <w:rPr>
                <w:i/>
                <w:iCs/>
              </w:rPr>
              <w:t>Возможное курирующее учреждение:</w:t>
            </w:r>
            <w:r w:rsidRPr="00FF31DD">
              <w:t xml:space="preserve"> Всемирный банк</w:t>
            </w:r>
          </w:p>
          <w:p w:rsidR="00FF31DD" w:rsidRPr="00FF31DD" w:rsidRDefault="000F59C9" w:rsidP="00C461CE">
            <w:pPr>
              <w:pStyle w:val="SingleTxtGR"/>
              <w:spacing w:before="40"/>
              <w:ind w:left="0" w:right="0"/>
            </w:pPr>
            <w:r w:rsidRPr="000F59C9">
              <w:rPr>
                <w:i/>
                <w:iCs/>
              </w:rPr>
              <w:t>Учреждения-</w:t>
            </w:r>
            <w:r w:rsidR="00FF31DD" w:rsidRPr="000F59C9">
              <w:rPr>
                <w:i/>
                <w:iCs/>
              </w:rPr>
              <w:t>партнеры:</w:t>
            </w:r>
            <w:r w:rsidR="00FF31DD" w:rsidRPr="00FF31DD">
              <w:t xml:space="preserve"> ЕЭК; Программа Организации Объединенных Наций по окруж</w:t>
            </w:r>
            <w:r w:rsidR="00FF31DD" w:rsidRPr="00FF31DD">
              <w:t>а</w:t>
            </w:r>
            <w:r w:rsidR="00FF31DD" w:rsidRPr="00FF31DD">
              <w:t xml:space="preserve">ющей среде (ЮНЕП) </w:t>
            </w:r>
            <w:bookmarkStart w:id="1" w:name="hit1"/>
            <w:bookmarkEnd w:id="1"/>
          </w:p>
          <w:p w:rsidR="00FF31DD" w:rsidRPr="00FF31DD" w:rsidRDefault="00FF31DD" w:rsidP="00C461CE">
            <w:pPr>
              <w:pStyle w:val="SingleTxtGR"/>
              <w:spacing w:before="40"/>
              <w:ind w:left="0" w:right="0"/>
              <w:rPr>
                <w:lang w:val="en-GB"/>
              </w:rPr>
            </w:pPr>
            <w:r w:rsidRPr="000F59C9">
              <w:rPr>
                <w:i/>
                <w:iCs/>
              </w:rPr>
              <w:t>Уровень:</w:t>
            </w:r>
            <w:r w:rsidRPr="00FF31DD">
              <w:t xml:space="preserve"> III</w:t>
            </w:r>
          </w:p>
        </w:tc>
      </w:tr>
      <w:tr w:rsidR="00FF31DD" w:rsidRPr="00FF31DD" w:rsidTr="00C461CE">
        <w:trPr>
          <w:cantSplit/>
        </w:trPr>
        <w:tc>
          <w:tcPr>
            <w:tcW w:w="8361" w:type="dxa"/>
            <w:shd w:val="clear" w:color="auto" w:fill="auto"/>
          </w:tcPr>
          <w:p w:rsidR="00FF31DD" w:rsidRPr="00FF31DD" w:rsidRDefault="00FF31DD" w:rsidP="00C461CE">
            <w:pPr>
              <w:pStyle w:val="SingleTxtGR"/>
              <w:spacing w:before="40"/>
              <w:ind w:left="0" w:right="0"/>
            </w:pPr>
            <w:r w:rsidRPr="002D0841">
              <w:rPr>
                <w:i/>
                <w:iCs/>
              </w:rPr>
              <w:t>Показатель 9.1.2:</w:t>
            </w:r>
            <w:r w:rsidRPr="00FF31DD">
              <w:t xml:space="preserve"> Объемы пассажирских и грузовых перевозок</w:t>
            </w:r>
          </w:p>
          <w:p w:rsidR="00FF31DD" w:rsidRPr="00FF31DD" w:rsidRDefault="00FF31DD" w:rsidP="00C461CE">
            <w:pPr>
              <w:pStyle w:val="SingleTxtGR"/>
              <w:spacing w:before="40"/>
              <w:ind w:left="0" w:right="0"/>
            </w:pPr>
            <w:r w:rsidRPr="002D0841">
              <w:rPr>
                <w:i/>
                <w:iCs/>
              </w:rPr>
              <w:t>Возможное курирующее учреждение:</w:t>
            </w:r>
            <w:r w:rsidRPr="00FF31DD">
              <w:t xml:space="preserve"> Международная организа</w:t>
            </w:r>
            <w:r w:rsidR="00A018AE">
              <w:t>ция гражданской ави</w:t>
            </w:r>
            <w:r w:rsidR="00A018AE">
              <w:t>а</w:t>
            </w:r>
            <w:r w:rsidR="00A018AE">
              <w:t>ции </w:t>
            </w:r>
            <w:r w:rsidRPr="00FF31DD">
              <w:t>(ИКАО); МФ</w:t>
            </w:r>
            <w:proofErr w:type="gramStart"/>
            <w:r w:rsidRPr="00FF31DD">
              <w:t>Т-</w:t>
            </w:r>
            <w:proofErr w:type="gramEnd"/>
            <w:r w:rsidRPr="00FF31DD">
              <w:t xml:space="preserve"> ОЭСР</w:t>
            </w:r>
          </w:p>
          <w:p w:rsidR="00FF31DD" w:rsidRPr="00FF31DD" w:rsidRDefault="00FF31DD" w:rsidP="00C461CE">
            <w:pPr>
              <w:pStyle w:val="SingleTxtGR"/>
              <w:spacing w:before="40"/>
              <w:ind w:left="0" w:right="0"/>
              <w:rPr>
                <w:u w:val="single"/>
              </w:rPr>
            </w:pPr>
            <w:r w:rsidRPr="002D0841">
              <w:rPr>
                <w:i/>
                <w:iCs/>
              </w:rPr>
              <w:t>Учреждения-партнеры:</w:t>
            </w:r>
            <w:r w:rsidRPr="00FF31DD">
              <w:t xml:space="preserve"> ЕЭК, Всемирный почтовый союз (ВПС), ЮНЕП</w:t>
            </w:r>
          </w:p>
          <w:p w:rsidR="00FF31DD" w:rsidRPr="00FF31DD" w:rsidRDefault="00FF31DD" w:rsidP="00C461CE">
            <w:pPr>
              <w:pStyle w:val="SingleTxtGR"/>
              <w:spacing w:before="40"/>
              <w:ind w:left="0" w:right="0"/>
              <w:rPr>
                <w:lang w:val="en-GB"/>
              </w:rPr>
            </w:pPr>
            <w:r w:rsidRPr="002D0841">
              <w:rPr>
                <w:i/>
                <w:iCs/>
              </w:rPr>
              <w:t>Уровень:</w:t>
            </w:r>
            <w:r w:rsidRPr="00FF31DD">
              <w:t xml:space="preserve"> I</w:t>
            </w:r>
          </w:p>
        </w:tc>
      </w:tr>
      <w:tr w:rsidR="00FF31DD" w:rsidRPr="00FF31DD" w:rsidTr="00C461CE">
        <w:trPr>
          <w:cantSplit/>
        </w:trPr>
        <w:tc>
          <w:tcPr>
            <w:tcW w:w="8361" w:type="dxa"/>
            <w:shd w:val="clear" w:color="auto" w:fill="auto"/>
          </w:tcPr>
          <w:p w:rsidR="00FF31DD" w:rsidRPr="00FF31DD" w:rsidRDefault="00FF31DD" w:rsidP="00C461CE">
            <w:pPr>
              <w:pStyle w:val="SingleTxtGR"/>
              <w:spacing w:before="40"/>
              <w:ind w:left="0" w:right="0"/>
            </w:pPr>
            <w:r w:rsidRPr="00FF31DD">
              <w:t>КВТ – по линии деятельности в рамках</w:t>
            </w:r>
            <w:r w:rsidR="00A018AE">
              <w:t xml:space="preserve"> </w:t>
            </w:r>
            <w:r w:rsidRPr="00FF31DD">
              <w:t>WP.6 – занимается сбором значительного объема информации по статистике транспорта с особым упором на объемы пассажирских и груз</w:t>
            </w:r>
            <w:r w:rsidRPr="00FF31DD">
              <w:t>о</w:t>
            </w:r>
            <w:r w:rsidRPr="00FF31DD">
              <w:t>вых перевозок в государствах – членах ЕЭК, как указано в онлайновой статистической базе данных, а к числу статистических публикаций, подготовкой которых мы занимаемся, относятся, в частности: «Бюллетень европейской и североамериканской статистики тран</w:t>
            </w:r>
            <w:r w:rsidRPr="00FF31DD">
              <w:t>с</w:t>
            </w:r>
            <w:r w:rsidRPr="00FF31DD">
              <w:t>порта» и «</w:t>
            </w:r>
            <w:proofErr w:type="spellStart"/>
            <w:r w:rsidRPr="00FF31DD">
              <w:t>Инфокарты</w:t>
            </w:r>
            <w:proofErr w:type="spellEnd"/>
            <w:r w:rsidRPr="00FF31DD">
              <w:t xml:space="preserve"> транспортной статистики». ЕЭК десятилетиями занимается сбором и оценкой данных, связанных непосредственно с объемами пассажирских и грузовых п</w:t>
            </w:r>
            <w:r w:rsidRPr="00FF31DD">
              <w:t>е</w:t>
            </w:r>
            <w:r w:rsidRPr="00FF31DD">
              <w:t>ревозок, как указано в этом показателе. Кроме того, КВТ уже располагает этими данными, так что проведения исследования не требуется.</w:t>
            </w:r>
          </w:p>
          <w:p w:rsidR="00FF31DD" w:rsidRPr="00FF31DD" w:rsidRDefault="00FF31DD" w:rsidP="00C461CE">
            <w:pPr>
              <w:pStyle w:val="SingleTxtGR"/>
              <w:spacing w:before="40"/>
              <w:ind w:left="0" w:right="0"/>
            </w:pPr>
            <w:proofErr w:type="gramStart"/>
            <w:r w:rsidRPr="00FF31DD">
              <w:t>Наряду с этим КВТ – по линии деятельности в рамках Рабочей группы по тенденциям и экономике транспорта (WP.5) в области адаптации к изменениям климата – осуществляет подготовку стратегических рекомендаций, нацеленных на повышение устойчивости с</w:t>
            </w:r>
            <w:r w:rsidRPr="00FF31DD">
              <w:t>и</w:t>
            </w:r>
            <w:r w:rsidRPr="00FF31DD">
              <w:t>стем международных перевозок в долгосрочной перспективе, и подбирает оптимальные примеры национальных стратегий, направленных на уменьшение уязвимости транспор</w:t>
            </w:r>
            <w:r w:rsidRPr="00FF31DD">
              <w:t>т</w:t>
            </w:r>
            <w:r w:rsidRPr="00FF31DD">
              <w:t>ных сетей, для правительств государств-членов, включая развивающиеся страны и страны, не имеющие</w:t>
            </w:r>
            <w:proofErr w:type="gramEnd"/>
            <w:r w:rsidRPr="00FF31DD">
              <w:t xml:space="preserve"> выхода к морю, а также малые островные государства.</w:t>
            </w:r>
          </w:p>
        </w:tc>
      </w:tr>
      <w:tr w:rsidR="00FF31DD" w:rsidRPr="00FF31DD" w:rsidTr="00C461CE">
        <w:trPr>
          <w:cantSplit/>
        </w:trPr>
        <w:tc>
          <w:tcPr>
            <w:tcW w:w="8361" w:type="dxa"/>
            <w:tcBorders>
              <w:bottom w:val="single" w:sz="4" w:space="0" w:color="auto"/>
            </w:tcBorders>
            <w:shd w:val="clear" w:color="auto" w:fill="auto"/>
          </w:tcPr>
          <w:p w:rsidR="00FF31DD" w:rsidRPr="00FF31DD" w:rsidRDefault="00FF31DD" w:rsidP="00C461CE">
            <w:pPr>
              <w:pStyle w:val="SingleTxtGR"/>
              <w:keepNext/>
              <w:tabs>
                <w:tab w:val="left" w:pos="1123"/>
              </w:tabs>
              <w:spacing w:before="40"/>
              <w:ind w:left="0" w:right="0"/>
            </w:pPr>
            <w:r w:rsidRPr="002D0841">
              <w:rPr>
                <w:b/>
                <w:bCs/>
              </w:rPr>
              <w:lastRenderedPageBreak/>
              <w:t>Цель 11.</w:t>
            </w:r>
            <w:r w:rsidRPr="002D0841">
              <w:rPr>
                <w:b/>
                <w:bCs/>
              </w:rPr>
              <w:tab/>
              <w:t>Обеспечение открытости, безопасности, жизнестойкости и экологической устойчивости городов и населенных пунктов</w:t>
            </w:r>
          </w:p>
        </w:tc>
      </w:tr>
      <w:tr w:rsidR="00FF31DD" w:rsidRPr="00FF31DD" w:rsidTr="00D30049">
        <w:trPr>
          <w:cantSplit/>
        </w:trPr>
        <w:tc>
          <w:tcPr>
            <w:tcW w:w="8361" w:type="dxa"/>
            <w:tcBorders>
              <w:top w:val="single" w:sz="4" w:space="0" w:color="auto"/>
            </w:tcBorders>
            <w:shd w:val="clear" w:color="auto" w:fill="auto"/>
          </w:tcPr>
          <w:p w:rsidR="00FF31DD" w:rsidRPr="00FF31DD" w:rsidRDefault="00FF31DD" w:rsidP="00C461CE">
            <w:pPr>
              <w:pStyle w:val="SingleTxtGR"/>
              <w:keepNext/>
              <w:tabs>
                <w:tab w:val="left" w:pos="561"/>
                <w:tab w:val="left" w:pos="1134"/>
              </w:tabs>
              <w:spacing w:before="40"/>
              <w:ind w:left="0" w:right="0"/>
            </w:pPr>
            <w:r w:rsidRPr="002D0841">
              <w:rPr>
                <w:b/>
                <w:bCs/>
                <w:i/>
                <w:iCs/>
              </w:rPr>
              <w:t>11.2</w:t>
            </w:r>
            <w:proofErr w:type="gramStart"/>
            <w:r w:rsidRPr="002D0841">
              <w:rPr>
                <w:b/>
                <w:bCs/>
                <w:i/>
                <w:iCs/>
              </w:rPr>
              <w:tab/>
              <w:t>К</w:t>
            </w:r>
            <w:proofErr w:type="gramEnd"/>
            <w:r w:rsidRPr="002D0841">
              <w:rPr>
                <w:b/>
                <w:bCs/>
                <w:i/>
                <w:iCs/>
              </w:rPr>
              <w:t xml:space="preserve"> 2030 году обеспечить доступ к безопасным, недорогим, доступным и устойч</w:t>
            </w:r>
            <w:r w:rsidRPr="002D0841">
              <w:rPr>
                <w:b/>
                <w:bCs/>
                <w:i/>
                <w:iCs/>
              </w:rPr>
              <w:t>и</w:t>
            </w:r>
            <w:r w:rsidRPr="002D0841">
              <w:rPr>
                <w:b/>
                <w:bCs/>
                <w:i/>
                <w:iCs/>
              </w:rPr>
              <w:t>вым транспортным системам для всех благодаря повышению безопасности дорожн</w:t>
            </w:r>
            <w:r w:rsidRPr="002D0841">
              <w:rPr>
                <w:b/>
                <w:bCs/>
                <w:i/>
                <w:iCs/>
              </w:rPr>
              <w:t>о</w:t>
            </w:r>
            <w:r w:rsidRPr="002D0841">
              <w:rPr>
                <w:b/>
                <w:bCs/>
                <w:i/>
                <w:iCs/>
              </w:rPr>
              <w:t>го движения, в том числе за счет расширения сети общественного транспорта, уд</w:t>
            </w:r>
            <w:r w:rsidRPr="002D0841">
              <w:rPr>
                <w:b/>
                <w:bCs/>
                <w:i/>
                <w:iCs/>
              </w:rPr>
              <w:t>е</w:t>
            </w:r>
            <w:r w:rsidRPr="002D0841">
              <w:rPr>
                <w:b/>
                <w:bCs/>
                <w:i/>
                <w:iCs/>
              </w:rPr>
              <w:t>ляя при этом особое внимание потребностям лиц, находящихся в уязвимом полож</w:t>
            </w:r>
            <w:r w:rsidRPr="002D0841">
              <w:rPr>
                <w:b/>
                <w:bCs/>
                <w:i/>
                <w:iCs/>
              </w:rPr>
              <w:t>е</w:t>
            </w:r>
            <w:r w:rsidRPr="002D0841">
              <w:rPr>
                <w:b/>
                <w:bCs/>
                <w:i/>
                <w:iCs/>
              </w:rPr>
              <w:t>нии, женщинам, детям, инвалидам и пожилым людям</w:t>
            </w:r>
          </w:p>
        </w:tc>
      </w:tr>
      <w:tr w:rsidR="00FF31DD" w:rsidRPr="00FF31DD" w:rsidTr="00D30049">
        <w:trPr>
          <w:cantSplit/>
        </w:trPr>
        <w:tc>
          <w:tcPr>
            <w:tcW w:w="8361" w:type="dxa"/>
            <w:shd w:val="clear" w:color="auto" w:fill="auto"/>
          </w:tcPr>
          <w:p w:rsidR="00FF31DD" w:rsidRPr="00FF31DD" w:rsidRDefault="00FF31DD" w:rsidP="00C461CE">
            <w:pPr>
              <w:pStyle w:val="SingleTxtGR"/>
              <w:spacing w:before="40"/>
              <w:ind w:left="0" w:right="0"/>
            </w:pPr>
            <w:r w:rsidRPr="002D0841">
              <w:rPr>
                <w:i/>
                <w:iCs/>
              </w:rPr>
              <w:t>Показатель 11.2.1:</w:t>
            </w:r>
            <w:r w:rsidRPr="00FF31DD">
              <w:t xml:space="preserve"> Доля населения, которая имеет удобный доступ к общественному транспорту, в разбивке по полу, возрасту и наличию/отсутствию инвалидности</w:t>
            </w:r>
          </w:p>
          <w:p w:rsidR="00FF31DD" w:rsidRPr="00FF31DD" w:rsidRDefault="00FF31DD" w:rsidP="00C461CE">
            <w:pPr>
              <w:pStyle w:val="SingleTxtGR"/>
              <w:spacing w:before="40"/>
              <w:ind w:left="0" w:right="0"/>
              <w:rPr>
                <w:u w:val="single"/>
              </w:rPr>
            </w:pPr>
            <w:r w:rsidRPr="002D0841">
              <w:rPr>
                <w:i/>
                <w:iCs/>
              </w:rPr>
              <w:t>Возможное курирующее учреждение:</w:t>
            </w:r>
            <w:r w:rsidRPr="00FF31DD">
              <w:t xml:space="preserve"> Программа Ор</w:t>
            </w:r>
            <w:r w:rsidR="001F60ED">
              <w:t>ганизации Объединенных Наций по</w:t>
            </w:r>
            <w:r w:rsidR="001F60ED">
              <w:rPr>
                <w:lang w:val="en-US"/>
              </w:rPr>
              <w:t> </w:t>
            </w:r>
            <w:r w:rsidRPr="00FF31DD">
              <w:t>населенным пунктам (ООН-</w:t>
            </w:r>
            <w:proofErr w:type="spellStart"/>
            <w:r w:rsidRPr="00FF31DD">
              <w:t>Хабитат</w:t>
            </w:r>
            <w:proofErr w:type="spellEnd"/>
            <w:r w:rsidRPr="00FF31DD">
              <w:t>)</w:t>
            </w:r>
            <w:bookmarkStart w:id="2" w:name="hit_last"/>
            <w:bookmarkEnd w:id="2"/>
          </w:p>
          <w:p w:rsidR="00FF31DD" w:rsidRPr="00FF31DD" w:rsidRDefault="00FF31DD" w:rsidP="00C461CE">
            <w:pPr>
              <w:pStyle w:val="SingleTxtGR"/>
              <w:spacing w:before="40"/>
              <w:ind w:left="0" w:right="0"/>
              <w:rPr>
                <w:lang w:val="en-GB"/>
              </w:rPr>
            </w:pPr>
            <w:r w:rsidRPr="002D0841">
              <w:rPr>
                <w:i/>
                <w:iCs/>
              </w:rPr>
              <w:t>Учреждения-партнеры:</w:t>
            </w:r>
            <w:r w:rsidRPr="00FF31DD">
              <w:t xml:space="preserve"> ЕЭК; ЮНЕП</w:t>
            </w:r>
          </w:p>
        </w:tc>
      </w:tr>
      <w:tr w:rsidR="00FF31DD" w:rsidRPr="00FF31DD" w:rsidTr="00D30049">
        <w:trPr>
          <w:cantSplit/>
        </w:trPr>
        <w:tc>
          <w:tcPr>
            <w:tcW w:w="8361" w:type="dxa"/>
            <w:shd w:val="clear" w:color="auto" w:fill="auto"/>
          </w:tcPr>
          <w:p w:rsidR="00FF31DD" w:rsidRPr="00FF31DD" w:rsidRDefault="00FF31DD" w:rsidP="00C461CE">
            <w:pPr>
              <w:pStyle w:val="SingleTxtGR"/>
              <w:spacing w:before="40"/>
              <w:ind w:left="0" w:right="0"/>
              <w:rPr>
                <w:lang w:val="en-GB"/>
              </w:rPr>
            </w:pPr>
            <w:r w:rsidRPr="002D0841">
              <w:rPr>
                <w:i/>
                <w:iCs/>
              </w:rPr>
              <w:t>Уровень:</w:t>
            </w:r>
            <w:r w:rsidRPr="00FF31DD">
              <w:t xml:space="preserve"> II</w:t>
            </w:r>
          </w:p>
        </w:tc>
      </w:tr>
      <w:tr w:rsidR="00FF31DD" w:rsidRPr="00FF31DD" w:rsidTr="00D30049">
        <w:trPr>
          <w:cantSplit/>
        </w:trPr>
        <w:tc>
          <w:tcPr>
            <w:tcW w:w="8361" w:type="dxa"/>
            <w:tcBorders>
              <w:bottom w:val="single" w:sz="12" w:space="0" w:color="auto"/>
            </w:tcBorders>
            <w:shd w:val="clear" w:color="auto" w:fill="auto"/>
          </w:tcPr>
          <w:p w:rsidR="00FF31DD" w:rsidRPr="00FF31DD" w:rsidRDefault="002D0841" w:rsidP="00C461CE">
            <w:pPr>
              <w:pStyle w:val="SingleTxtGR"/>
              <w:spacing w:before="40"/>
              <w:ind w:left="0" w:right="0"/>
            </w:pPr>
            <w:r w:rsidRPr="00FF31DD">
              <w:t>КВТ предоставляет информацию о примерах передовой практики и стратегиях для созд</w:t>
            </w:r>
            <w:r w:rsidRPr="00FF31DD">
              <w:t>а</w:t>
            </w:r>
            <w:r w:rsidRPr="00FF31DD">
              <w:t>ния устойчивых систем городского транспорта, т.е. систем, которые являются эффекти</w:t>
            </w:r>
            <w:r w:rsidRPr="00FF31DD">
              <w:t>в</w:t>
            </w:r>
            <w:r w:rsidRPr="00FF31DD">
              <w:t xml:space="preserve">ными, взаимосвязанными, доступными по цене, безопасными и </w:t>
            </w:r>
            <w:proofErr w:type="spellStart"/>
            <w:r w:rsidRPr="00FF31DD">
              <w:t>экологичными</w:t>
            </w:r>
            <w:proofErr w:type="spellEnd"/>
            <w:r w:rsidRPr="00FF31DD">
              <w:t xml:space="preserve"> и обесп</w:t>
            </w:r>
            <w:r w:rsidRPr="00FF31DD">
              <w:t>е</w:t>
            </w:r>
            <w:r w:rsidRPr="00FF31DD">
              <w:t>чивают более широкую мобильность и доступ для всех в условиях городской среды с в</w:t>
            </w:r>
            <w:r w:rsidRPr="00FF31DD">
              <w:t>ы</w:t>
            </w:r>
            <w:r w:rsidRPr="00FF31DD">
              <w:t>сокой плотностью населения.</w:t>
            </w:r>
          </w:p>
        </w:tc>
      </w:tr>
    </w:tbl>
    <w:p w:rsidR="00FF31DD" w:rsidRPr="00FF31DD" w:rsidRDefault="00FF31DD" w:rsidP="002D0841">
      <w:pPr>
        <w:pStyle w:val="HChGR"/>
      </w:pPr>
      <w:r w:rsidRPr="00FF31DD">
        <w:br w:type="page"/>
      </w:r>
      <w:r w:rsidRPr="00FF31DD">
        <w:lastRenderedPageBreak/>
        <w:t xml:space="preserve">Приложение II </w:t>
      </w:r>
    </w:p>
    <w:p w:rsidR="00FF31DD" w:rsidRPr="00FF31DD" w:rsidRDefault="00FF31DD" w:rsidP="002D0841">
      <w:pPr>
        <w:pStyle w:val="HChGR"/>
      </w:pPr>
      <w:r w:rsidRPr="00FF31DD">
        <w:tab/>
      </w:r>
      <w:r w:rsidRPr="00FF31DD">
        <w:tab/>
        <w:t xml:space="preserve">Резолюция министров «Вступление в новую эру устойчивого внутреннего транспорта и мобильности» </w:t>
      </w:r>
    </w:p>
    <w:p w:rsidR="00FF31DD" w:rsidRPr="00FF31DD" w:rsidRDefault="00FF31DD" w:rsidP="00FF31DD">
      <w:pPr>
        <w:pStyle w:val="SingleTxtGR"/>
        <w:rPr>
          <w:i/>
        </w:rPr>
      </w:pPr>
      <w:r w:rsidRPr="00FF31DD">
        <w:tab/>
        <w:t>Мы, министры, собравшиеся для того,</w:t>
      </w:r>
      <w:r w:rsidR="00A018AE">
        <w:t xml:space="preserve"> чтобы отметить 21 февраля 2017 </w:t>
      </w:r>
      <w:r w:rsidRPr="00FF31DD">
        <w:t>года семидесятую годовщину работы Комитета по внутреннему транспо</w:t>
      </w:r>
      <w:r w:rsidRPr="00FF31DD">
        <w:t>р</w:t>
      </w:r>
      <w:r w:rsidRPr="00FF31DD">
        <w:t>ту ЕЭК,</w:t>
      </w:r>
    </w:p>
    <w:p w:rsidR="00FF31DD" w:rsidRPr="00FF31DD" w:rsidRDefault="00FF31DD" w:rsidP="00FF31DD">
      <w:pPr>
        <w:pStyle w:val="SingleTxtGR"/>
      </w:pPr>
      <w:r w:rsidRPr="00FF31DD">
        <w:tab/>
      </w:r>
      <w:proofErr w:type="gramStart"/>
      <w:r w:rsidRPr="00FF31DD">
        <w:rPr>
          <w:i/>
          <w:iCs/>
        </w:rPr>
        <w:t>в полной мере осознавая</w:t>
      </w:r>
      <w:r w:rsidRPr="00FF31DD">
        <w:t xml:space="preserve"> наступление новой эры для транспорта и м</w:t>
      </w:r>
      <w:r w:rsidRPr="00FF31DD">
        <w:t>о</w:t>
      </w:r>
      <w:r w:rsidRPr="00FF31DD">
        <w:t xml:space="preserve">бильности под знаком четвертой промышленной революции, а также принятие Повестки дня в области устойчивого развития на период до 2030 года и целей устойчивого развития, </w:t>
      </w:r>
      <w:proofErr w:type="spellStart"/>
      <w:r w:rsidRPr="00FF31DD">
        <w:t>Аддис-Абебской</w:t>
      </w:r>
      <w:proofErr w:type="spellEnd"/>
      <w:r w:rsidRPr="00FF31DD">
        <w:t xml:space="preserve"> программы действий третьей Межд</w:t>
      </w:r>
      <w:r w:rsidRPr="00FF31DD">
        <w:t>у</w:t>
      </w:r>
      <w:r w:rsidRPr="00FF31DD">
        <w:t>народной конференции по финансированию развития и Парижского соглашения в соответствии с Рамочной конвенцией Организации Объединенных Наций об изменении климата,</w:t>
      </w:r>
      <w:proofErr w:type="gramEnd"/>
    </w:p>
    <w:p w:rsidR="00FF31DD" w:rsidRPr="002D0841" w:rsidRDefault="002D0841" w:rsidP="00FF31DD">
      <w:pPr>
        <w:pStyle w:val="SingleTxtGR"/>
        <w:rPr>
          <w:i/>
          <w:iCs/>
        </w:rPr>
      </w:pPr>
      <w:r>
        <w:tab/>
      </w:r>
      <w:r w:rsidR="00FF31DD" w:rsidRPr="002D0841">
        <w:rPr>
          <w:i/>
          <w:iCs/>
        </w:rPr>
        <w:t>(…)</w:t>
      </w:r>
    </w:p>
    <w:p w:rsidR="00FF31DD" w:rsidRPr="00FF31DD" w:rsidRDefault="00FF31DD" w:rsidP="00FF31DD">
      <w:pPr>
        <w:pStyle w:val="SingleTxtGR"/>
      </w:pPr>
      <w:r w:rsidRPr="00FF31DD">
        <w:tab/>
      </w:r>
      <w:r w:rsidRPr="002D0841">
        <w:rPr>
          <w:i/>
          <w:iCs/>
        </w:rPr>
        <w:t>утверждая</w:t>
      </w:r>
      <w:r w:rsidRPr="00FF31DD">
        <w:t>, что присоединение к конвенциям Организации Объедине</w:t>
      </w:r>
      <w:r w:rsidRPr="00FF31DD">
        <w:t>н</w:t>
      </w:r>
      <w:r w:rsidRPr="00FF31DD">
        <w:t>ных Наций по транспорту позитивно отражается на эффективности осущест</w:t>
      </w:r>
      <w:r w:rsidRPr="00FF31DD">
        <w:t>в</w:t>
      </w:r>
      <w:r w:rsidRPr="00FF31DD">
        <w:t>ления связанных с транспортом целей и задач в области устойчивого развития,</w:t>
      </w:r>
    </w:p>
    <w:p w:rsidR="00FF31DD" w:rsidRPr="002D0841" w:rsidRDefault="002D0841" w:rsidP="00FF31DD">
      <w:pPr>
        <w:pStyle w:val="SingleTxtGR"/>
        <w:rPr>
          <w:i/>
          <w:iCs/>
        </w:rPr>
      </w:pPr>
      <w:r>
        <w:tab/>
      </w:r>
      <w:r w:rsidR="00FF31DD" w:rsidRPr="002D0841">
        <w:rPr>
          <w:i/>
          <w:iCs/>
        </w:rPr>
        <w:t>(…)</w:t>
      </w:r>
    </w:p>
    <w:p w:rsidR="00FF31DD" w:rsidRPr="00FF31DD" w:rsidRDefault="00FF31DD" w:rsidP="00FF31DD">
      <w:pPr>
        <w:pStyle w:val="SingleTxtGR"/>
      </w:pPr>
      <w:r w:rsidRPr="00FF31DD">
        <w:tab/>
      </w:r>
      <w:r w:rsidRPr="00FF31DD">
        <w:rPr>
          <w:i/>
          <w:iCs/>
        </w:rPr>
        <w:t>настоятельно призывая</w:t>
      </w:r>
      <w:r w:rsidRPr="00FF31DD">
        <w:t xml:space="preserve"> государства – члены Организации Объедине</w:t>
      </w:r>
      <w:r w:rsidRPr="00FF31DD">
        <w:t>н</w:t>
      </w:r>
      <w:r w:rsidRPr="00FF31DD">
        <w:t xml:space="preserve">ных Наций к дальнейшему совершенствованию </w:t>
      </w:r>
      <w:proofErr w:type="spellStart"/>
      <w:r w:rsidRPr="00FF31DD">
        <w:t>интермодальных</w:t>
      </w:r>
      <w:proofErr w:type="spellEnd"/>
      <w:r w:rsidRPr="00FF31DD">
        <w:t xml:space="preserve"> транспортных услуг и эффективной интеграции различных видов транспорта для достижения целей в области устойчивого развития, </w:t>
      </w:r>
    </w:p>
    <w:p w:rsidR="00FF31DD" w:rsidRPr="002D0841" w:rsidRDefault="002D0841" w:rsidP="00FF31DD">
      <w:pPr>
        <w:pStyle w:val="SingleTxtGR"/>
        <w:rPr>
          <w:i/>
          <w:iCs/>
        </w:rPr>
      </w:pPr>
      <w:r>
        <w:tab/>
      </w:r>
      <w:r w:rsidR="00FF31DD" w:rsidRPr="002D0841">
        <w:rPr>
          <w:i/>
          <w:iCs/>
        </w:rPr>
        <w:t>(…)</w:t>
      </w:r>
    </w:p>
    <w:p w:rsidR="00FF31DD" w:rsidRPr="00FF31DD" w:rsidRDefault="00FF31DD" w:rsidP="00FF31DD">
      <w:pPr>
        <w:pStyle w:val="SingleTxtGR"/>
      </w:pPr>
      <w:r w:rsidRPr="00FF31DD">
        <w:tab/>
      </w:r>
      <w:r w:rsidRPr="002D0841">
        <w:rPr>
          <w:i/>
          <w:iCs/>
        </w:rPr>
        <w:t>заявляя</w:t>
      </w:r>
      <w:r w:rsidRPr="00FF31DD">
        <w:t xml:space="preserve"> о своей готовности продвигаться вперед на пути реализации и осуществления целей в области </w:t>
      </w:r>
      <w:r w:rsidR="00A018AE">
        <w:t>устойчивого развития</w:t>
      </w:r>
      <w:r w:rsidRPr="00FF31DD">
        <w:t>, поскольку они нера</w:t>
      </w:r>
      <w:r w:rsidRPr="00FF31DD">
        <w:t>з</w:t>
      </w:r>
      <w:r w:rsidRPr="00FF31DD">
        <w:t>рывно связаны с транспортом; а также в деле решения проблем, с которыми мы сталкиваемся в результате изменения климата,</w:t>
      </w:r>
    </w:p>
    <w:p w:rsidR="00FF31DD" w:rsidRPr="002D0841" w:rsidRDefault="002D0841" w:rsidP="00FF31DD">
      <w:pPr>
        <w:pStyle w:val="SingleTxtGR"/>
        <w:rPr>
          <w:i/>
          <w:iCs/>
        </w:rPr>
      </w:pPr>
      <w:r>
        <w:tab/>
      </w:r>
      <w:r w:rsidR="00FF31DD" w:rsidRPr="002D0841">
        <w:rPr>
          <w:i/>
          <w:iCs/>
        </w:rPr>
        <w:t>(…)</w:t>
      </w:r>
    </w:p>
    <w:p w:rsidR="00FF31DD" w:rsidRPr="00FF31DD" w:rsidRDefault="00FF31DD" w:rsidP="00FF31DD">
      <w:pPr>
        <w:pStyle w:val="SingleTxtGR"/>
      </w:pPr>
      <w:r w:rsidRPr="00FF31DD">
        <w:t xml:space="preserve">постановляем: </w:t>
      </w:r>
    </w:p>
    <w:p w:rsidR="00FF31DD" w:rsidRPr="00FF31DD" w:rsidRDefault="00FF31DD" w:rsidP="00FF31DD">
      <w:pPr>
        <w:pStyle w:val="SingleTxtGR"/>
      </w:pPr>
      <w:r w:rsidRPr="00FF31DD">
        <w:t>(…)</w:t>
      </w:r>
    </w:p>
    <w:p w:rsidR="00FF31DD" w:rsidRPr="00FF31DD" w:rsidRDefault="00FF31DD" w:rsidP="00FF31DD">
      <w:pPr>
        <w:pStyle w:val="SingleTxtGR"/>
      </w:pPr>
      <w:proofErr w:type="gramStart"/>
      <w:r w:rsidRPr="00FF31DD">
        <w:t>2.</w:t>
      </w:r>
      <w:r w:rsidRPr="00FF31DD">
        <w:tab/>
      </w:r>
      <w:r w:rsidRPr="00FF31DD">
        <w:rPr>
          <w:i/>
          <w:iCs/>
        </w:rPr>
        <w:t>предпринять усилия</w:t>
      </w:r>
      <w:r w:rsidRPr="00FF31DD">
        <w:t xml:space="preserve"> для решения проблем устойчивого развития мобил</w:t>
      </w:r>
      <w:r w:rsidRPr="00FF31DD">
        <w:t>ь</w:t>
      </w:r>
      <w:r w:rsidRPr="00FF31DD">
        <w:t>ности и внутреннего транспорта, в частности в контексте Повестки дня в обл</w:t>
      </w:r>
      <w:r w:rsidRPr="00FF31DD">
        <w:t>а</w:t>
      </w:r>
      <w:r w:rsidRPr="00FF31DD">
        <w:t>сти устойчивого развития на период до 2030 года и целей устойчивого разв</w:t>
      </w:r>
      <w:r w:rsidRPr="00FF31DD">
        <w:t>и</w:t>
      </w:r>
      <w:r w:rsidRPr="00FF31DD">
        <w:t>тия, путем оказания поддержки межправительственному многопрофильному сотрудничеству по вопросам транспорта и в смежных сферах на основе пла</w:t>
      </w:r>
      <w:r w:rsidRPr="00FF31DD">
        <w:t>т</w:t>
      </w:r>
      <w:r w:rsidRPr="00FF31DD">
        <w:t xml:space="preserve">формы Комитета по внутреннему транспорту, а также </w:t>
      </w:r>
      <w:proofErr w:type="spellStart"/>
      <w:r w:rsidRPr="00FF31DD">
        <w:t>уделения</w:t>
      </w:r>
      <w:proofErr w:type="spellEnd"/>
      <w:r w:rsidRPr="00FF31DD">
        <w:t xml:space="preserve"> должного вн</w:t>
      </w:r>
      <w:r w:rsidRPr="00FF31DD">
        <w:t>и</w:t>
      </w:r>
      <w:r w:rsidRPr="00FF31DD">
        <w:t>мания важности мобилизации ресурсов и</w:t>
      </w:r>
      <w:proofErr w:type="gramEnd"/>
      <w:r w:rsidRPr="00FF31DD">
        <w:t xml:space="preserve"> согласования финансовых потоков с задачами устойчивого развития.</w:t>
      </w:r>
    </w:p>
    <w:p w:rsidR="00E12C5F" w:rsidRPr="00FF31DD" w:rsidRDefault="00FF31DD" w:rsidP="00FF31D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FF31DD" w:rsidSect="00A54F6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D3" w:rsidRPr="00A312BC" w:rsidRDefault="00CE79D3" w:rsidP="00A312BC"/>
  </w:endnote>
  <w:endnote w:type="continuationSeparator" w:id="0">
    <w:p w:rsidR="00CE79D3" w:rsidRPr="00A312BC" w:rsidRDefault="00CE79D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D3" w:rsidRPr="00A54F68" w:rsidRDefault="00CE79D3">
    <w:pPr>
      <w:pStyle w:val="Footer"/>
    </w:pPr>
    <w:r w:rsidRPr="00A54F68">
      <w:rPr>
        <w:b/>
        <w:sz w:val="18"/>
      </w:rPr>
      <w:fldChar w:fldCharType="begin"/>
    </w:r>
    <w:r w:rsidRPr="00A54F68">
      <w:rPr>
        <w:b/>
        <w:sz w:val="18"/>
      </w:rPr>
      <w:instrText xml:space="preserve"> PAGE  \* MERGEFORMAT </w:instrText>
    </w:r>
    <w:r w:rsidRPr="00A54F68">
      <w:rPr>
        <w:b/>
        <w:sz w:val="18"/>
      </w:rPr>
      <w:fldChar w:fldCharType="separate"/>
    </w:r>
    <w:r w:rsidR="008E41C3">
      <w:rPr>
        <w:b/>
        <w:noProof/>
        <w:sz w:val="18"/>
      </w:rPr>
      <w:t>8</w:t>
    </w:r>
    <w:r w:rsidRPr="00A54F68">
      <w:rPr>
        <w:b/>
        <w:sz w:val="18"/>
      </w:rPr>
      <w:fldChar w:fldCharType="end"/>
    </w:r>
    <w:r>
      <w:rPr>
        <w:b/>
        <w:sz w:val="18"/>
      </w:rPr>
      <w:tab/>
    </w:r>
    <w:r>
      <w:t>GE.17-22260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D3" w:rsidRPr="00A54F68" w:rsidRDefault="00CE79D3" w:rsidP="00A54F68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GE.17-22260</w:t>
    </w:r>
    <w:r>
      <w:tab/>
    </w:r>
    <w:r w:rsidRPr="00A54F68">
      <w:rPr>
        <w:b/>
        <w:sz w:val="18"/>
      </w:rPr>
      <w:fldChar w:fldCharType="begin"/>
    </w:r>
    <w:r w:rsidRPr="00A54F68">
      <w:rPr>
        <w:b/>
        <w:sz w:val="18"/>
      </w:rPr>
      <w:instrText xml:space="preserve"> PAGE  \* MERGEFORMAT </w:instrText>
    </w:r>
    <w:r w:rsidRPr="00A54F68">
      <w:rPr>
        <w:b/>
        <w:sz w:val="18"/>
      </w:rPr>
      <w:fldChar w:fldCharType="separate"/>
    </w:r>
    <w:r w:rsidR="008E41C3">
      <w:rPr>
        <w:b/>
        <w:noProof/>
        <w:sz w:val="18"/>
      </w:rPr>
      <w:t>9</w:t>
    </w:r>
    <w:r w:rsidRPr="00A54F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D3" w:rsidRPr="00A54F68" w:rsidRDefault="00CE79D3" w:rsidP="00A54F68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74E2274" wp14:editId="0B8CB81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17-22260  (R)  141217  151217</w:t>
    </w:r>
    <w:r>
      <w:br/>
    </w:r>
    <w:r w:rsidRPr="00A54F68">
      <w:rPr>
        <w:rFonts w:ascii="C39T30Lfz" w:hAnsi="C39T30Lfz"/>
        <w:spacing w:val="0"/>
        <w:w w:val="100"/>
        <w:sz w:val="56"/>
      </w:rPr>
      <w:t></w:t>
    </w:r>
    <w:r w:rsidRPr="00A54F68">
      <w:rPr>
        <w:rFonts w:ascii="C39T30Lfz" w:hAnsi="C39T30Lfz"/>
        <w:spacing w:val="0"/>
        <w:w w:val="100"/>
        <w:sz w:val="56"/>
      </w:rPr>
      <w:t></w:t>
    </w:r>
    <w:r w:rsidRPr="00A54F68">
      <w:rPr>
        <w:rFonts w:ascii="C39T30Lfz" w:hAnsi="C39T30Lfz"/>
        <w:spacing w:val="0"/>
        <w:w w:val="100"/>
        <w:sz w:val="56"/>
      </w:rPr>
      <w:t></w:t>
    </w:r>
    <w:r w:rsidRPr="00A54F68">
      <w:rPr>
        <w:rFonts w:ascii="C39T30Lfz" w:hAnsi="C39T30Lfz"/>
        <w:spacing w:val="0"/>
        <w:w w:val="100"/>
        <w:sz w:val="56"/>
      </w:rPr>
      <w:t></w:t>
    </w:r>
    <w:r w:rsidRPr="00A54F68">
      <w:rPr>
        <w:rFonts w:ascii="C39T30Lfz" w:hAnsi="C39T30Lfz"/>
        <w:spacing w:val="0"/>
        <w:w w:val="100"/>
        <w:sz w:val="56"/>
      </w:rPr>
      <w:t></w:t>
    </w:r>
    <w:r w:rsidRPr="00A54F68">
      <w:rPr>
        <w:rFonts w:ascii="C39T30Lfz" w:hAnsi="C39T30Lfz"/>
        <w:spacing w:val="0"/>
        <w:w w:val="100"/>
        <w:sz w:val="56"/>
      </w:rPr>
      <w:t></w:t>
    </w:r>
    <w:r w:rsidRPr="00A54F68">
      <w:rPr>
        <w:rFonts w:ascii="C39T30Lfz" w:hAnsi="C39T30Lfz"/>
        <w:spacing w:val="0"/>
        <w:w w:val="100"/>
        <w:sz w:val="56"/>
      </w:rPr>
      <w:t></w:t>
    </w:r>
    <w:r w:rsidRPr="00A54F68">
      <w:rPr>
        <w:rFonts w:ascii="C39T30Lfz" w:hAnsi="C39T30Lfz"/>
        <w:spacing w:val="0"/>
        <w:w w:val="100"/>
        <w:sz w:val="56"/>
      </w:rPr>
      <w:t></w:t>
    </w:r>
    <w:r w:rsidRPr="00A54F6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2018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D3" w:rsidRPr="001075E9" w:rsidRDefault="00CE79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79D3" w:rsidRDefault="00CE79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E79D3" w:rsidRPr="00227E65" w:rsidRDefault="00CE79D3" w:rsidP="00FF31DD">
      <w:pPr>
        <w:pStyle w:val="FootnoteText"/>
        <w:widowControl w:val="0"/>
        <w:tabs>
          <w:tab w:val="clear" w:pos="1021"/>
          <w:tab w:val="right" w:pos="1020"/>
        </w:tabs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 w:rsidRPr="000D3135">
        <w:rPr>
          <w:lang w:val="en-US"/>
        </w:rPr>
        <w:tab/>
      </w:r>
      <w:r>
        <w:rPr>
          <w:lang w:val="ru-RU"/>
        </w:rPr>
        <w:t>См</w:t>
      </w:r>
      <w:r w:rsidRPr="000D3135">
        <w:rPr>
          <w:lang w:val="en-US"/>
        </w:rPr>
        <w:t xml:space="preserve">. </w:t>
      </w:r>
      <w:r>
        <w:rPr>
          <w:lang w:val="ru-RU"/>
        </w:rPr>
        <w:t>также</w:t>
      </w:r>
      <w:r w:rsidRPr="000D3135">
        <w:rPr>
          <w:lang w:val="en-US"/>
        </w:rPr>
        <w:t xml:space="preserve"> ECE/TRANS/2017/6, ECE/TRANS/2016/6 </w:t>
      </w:r>
      <w:r>
        <w:rPr>
          <w:lang w:val="ru-RU"/>
        </w:rPr>
        <w:t>и</w:t>
      </w:r>
      <w:r w:rsidRPr="000D3135">
        <w:rPr>
          <w:lang w:val="en-US"/>
        </w:rPr>
        <w:t xml:space="preserve"> ECE/TRANS/2015/4. </w:t>
      </w:r>
    </w:p>
  </w:footnote>
  <w:footnote w:id="2">
    <w:p w:rsidR="00CE79D3" w:rsidRPr="00EC626D" w:rsidRDefault="00CE79D3" w:rsidP="00FF31DD">
      <w:pPr>
        <w:pStyle w:val="FootnoteText"/>
        <w:widowControl w:val="0"/>
        <w:tabs>
          <w:tab w:val="clear" w:pos="1021"/>
          <w:tab w:val="right" w:pos="1020"/>
        </w:tabs>
      </w:pPr>
      <w:r w:rsidRPr="000D3135">
        <w:rPr>
          <w:lang w:val="en-US"/>
        </w:rPr>
        <w:tab/>
      </w:r>
      <w:r>
        <w:rPr>
          <w:rStyle w:val="FootnoteReference"/>
          <w:lang w:val="ru-RU"/>
        </w:rPr>
        <w:footnoteRef/>
      </w:r>
      <w:r w:rsidRPr="000D3135">
        <w:rPr>
          <w:lang w:val="en-US"/>
        </w:rPr>
        <w:tab/>
      </w:r>
      <w:proofErr w:type="gramStart"/>
      <w:r w:rsidRPr="000D3135">
        <w:rPr>
          <w:lang w:val="en-US"/>
        </w:rPr>
        <w:t>sg-report-dalberg_unds-outline-of-functions-and-capacities-june-2017.pdf</w:t>
      </w:r>
      <w:proofErr w:type="gramEnd"/>
      <w:r w:rsidRPr="000D3135"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D3" w:rsidRPr="00A54F68" w:rsidRDefault="008E41C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30774">
      <w:t>ECE/TRANS/2018/7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D3" w:rsidRPr="00A54F68" w:rsidRDefault="008E41C3" w:rsidP="00A54F68">
    <w:pPr>
      <w:pStyle w:val="Header"/>
      <w:jc w:val="right"/>
    </w:pPr>
    <w:r>
      <w:fldChar w:fldCharType="begin"/>
    </w:r>
    <w:r>
      <w:instrText xml:space="preserve"> TITLE  \* M</w:instrText>
    </w:r>
    <w:r>
      <w:instrText xml:space="preserve">ERGEFORMAT </w:instrText>
    </w:r>
    <w:r>
      <w:fldChar w:fldCharType="separate"/>
    </w:r>
    <w:r w:rsidR="00030774">
      <w:t>ECE/TRANS/2018/7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E4754"/>
    <w:multiLevelType w:val="hybridMultilevel"/>
    <w:tmpl w:val="6568A17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0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75"/>
    <w:rsid w:val="00030774"/>
    <w:rsid w:val="00033EE1"/>
    <w:rsid w:val="00042B72"/>
    <w:rsid w:val="000558BD"/>
    <w:rsid w:val="000B57E7"/>
    <w:rsid w:val="000B6373"/>
    <w:rsid w:val="000E4E5B"/>
    <w:rsid w:val="000F09DF"/>
    <w:rsid w:val="000F59C9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60ED"/>
    <w:rsid w:val="00255343"/>
    <w:rsid w:val="0027151D"/>
    <w:rsid w:val="00294ACE"/>
    <w:rsid w:val="002A2EFC"/>
    <w:rsid w:val="002B0106"/>
    <w:rsid w:val="002B2518"/>
    <w:rsid w:val="002B74B1"/>
    <w:rsid w:val="002C0E18"/>
    <w:rsid w:val="002D0841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6B6D"/>
    <w:rsid w:val="00407B78"/>
    <w:rsid w:val="00424203"/>
    <w:rsid w:val="00452493"/>
    <w:rsid w:val="00453318"/>
    <w:rsid w:val="00454AF2"/>
    <w:rsid w:val="00454E07"/>
    <w:rsid w:val="00465401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0004"/>
    <w:rsid w:val="006C2031"/>
    <w:rsid w:val="006D461A"/>
    <w:rsid w:val="006F35EE"/>
    <w:rsid w:val="007021FF"/>
    <w:rsid w:val="00712895"/>
    <w:rsid w:val="007134DD"/>
    <w:rsid w:val="00734ACB"/>
    <w:rsid w:val="00757357"/>
    <w:rsid w:val="00792497"/>
    <w:rsid w:val="007C1C9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019F"/>
    <w:rsid w:val="008E41C3"/>
    <w:rsid w:val="008F7609"/>
    <w:rsid w:val="00906890"/>
    <w:rsid w:val="00911BE4"/>
    <w:rsid w:val="00951972"/>
    <w:rsid w:val="009608F3"/>
    <w:rsid w:val="009A24AC"/>
    <w:rsid w:val="009C6FE6"/>
    <w:rsid w:val="009D7E7D"/>
    <w:rsid w:val="00A018AE"/>
    <w:rsid w:val="00A14DA8"/>
    <w:rsid w:val="00A312BC"/>
    <w:rsid w:val="00A54F68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61CE"/>
    <w:rsid w:val="00C60F0C"/>
    <w:rsid w:val="00C805C9"/>
    <w:rsid w:val="00C92939"/>
    <w:rsid w:val="00CA1679"/>
    <w:rsid w:val="00CA6C75"/>
    <w:rsid w:val="00CB151C"/>
    <w:rsid w:val="00CE5A1A"/>
    <w:rsid w:val="00CE79D3"/>
    <w:rsid w:val="00CF55F6"/>
    <w:rsid w:val="00D12CE7"/>
    <w:rsid w:val="00D30049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1AB3"/>
    <w:rsid w:val="00FD2EF7"/>
    <w:rsid w:val="00FE447E"/>
    <w:rsid w:val="00FF31DD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3159</Words>
  <Characters>18008</Characters>
  <Application>Microsoft Office Word</Application>
  <DocSecurity>0</DocSecurity>
  <Lines>150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ECE/TRANS/2018/7</vt:lpstr>
      <vt:lpstr>ECE/TRANS/2018/7</vt:lpstr>
      <vt:lpstr>A/</vt:lpstr>
    </vt:vector>
  </TitlesOfParts>
  <Company>DCM</Company>
  <LinksUpToDate>false</LinksUpToDate>
  <CharactersWithSpaces>21125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ECE/TRANS/2018/7</dc:title>
  <dc:creator>Uliana Antipova</dc:creator>
  <cp:lastModifiedBy>Jeyhun Shahverdili</cp:lastModifiedBy>
  <cp:revision>2</cp:revision>
  <cp:lastPrinted>2017-12-15T14:43:00Z</cp:lastPrinted>
  <dcterms:created xsi:type="dcterms:W3CDTF">2018-01-10T07:50:00Z</dcterms:created>
  <dcterms:modified xsi:type="dcterms:W3CDTF">2018-01-10T07:50:00Z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