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A0B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A0B02" w:rsidP="008A0B02">
            <w:pPr>
              <w:jc w:val="right"/>
            </w:pPr>
            <w:r w:rsidRPr="008A0B02">
              <w:rPr>
                <w:sz w:val="40"/>
              </w:rPr>
              <w:t>ECE</w:t>
            </w:r>
            <w:r>
              <w:t>/TRANS/2018/3</w:t>
            </w:r>
          </w:p>
        </w:tc>
      </w:tr>
      <w:tr w:rsidR="002D5AAC" w:rsidRPr="008A0B0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A0B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A0B02" w:rsidRDefault="008A0B02" w:rsidP="008A0B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8A0B02" w:rsidRDefault="008A0B02" w:rsidP="008A0B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A0B02" w:rsidRPr="008D53B6" w:rsidRDefault="008A0B02" w:rsidP="008A0B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A0B02" w:rsidRPr="008A0B02" w:rsidRDefault="008A0B02" w:rsidP="008A0B02">
      <w:pPr>
        <w:spacing w:before="120" w:after="120"/>
        <w:rPr>
          <w:sz w:val="28"/>
          <w:szCs w:val="28"/>
        </w:rPr>
      </w:pPr>
      <w:r w:rsidRPr="008A0B02">
        <w:rPr>
          <w:sz w:val="28"/>
          <w:szCs w:val="28"/>
        </w:rPr>
        <w:t>Комитет по внутреннему транспорту</w:t>
      </w:r>
    </w:p>
    <w:p w:rsidR="008A0B02" w:rsidRPr="008A0B02" w:rsidRDefault="008A0B02" w:rsidP="008A0B02">
      <w:pPr>
        <w:rPr>
          <w:b/>
          <w:bCs/>
        </w:rPr>
      </w:pPr>
      <w:r w:rsidRPr="008A0B02">
        <w:rPr>
          <w:b/>
          <w:bCs/>
        </w:rPr>
        <w:t>Восьмидесятая сессия</w:t>
      </w:r>
    </w:p>
    <w:p w:rsidR="008A0B02" w:rsidRPr="008A0B02" w:rsidRDefault="008A0B02" w:rsidP="008A0B02">
      <w:r>
        <w:t>Женева, 20</w:t>
      </w:r>
      <w:r>
        <w:rPr>
          <w:lang w:val="en-US"/>
        </w:rPr>
        <w:t>–</w:t>
      </w:r>
      <w:r w:rsidRPr="008A0B02">
        <w:t>23 февраля 2018 года</w:t>
      </w:r>
    </w:p>
    <w:p w:rsidR="008A0B02" w:rsidRPr="008A0B02" w:rsidRDefault="008A0B02" w:rsidP="008A0B02">
      <w:pPr>
        <w:rPr>
          <w:b/>
          <w:bCs/>
        </w:rPr>
      </w:pPr>
      <w:r w:rsidRPr="008A0B02">
        <w:t>Пункт 4 b) предварительной повестки дня</w:t>
      </w:r>
    </w:p>
    <w:p w:rsidR="008A0B02" w:rsidRPr="008A0B02" w:rsidRDefault="008A0B02" w:rsidP="008A0B02">
      <w:pPr>
        <w:rPr>
          <w:b/>
          <w:bCs/>
        </w:rPr>
      </w:pPr>
      <w:r w:rsidRPr="008A0B02">
        <w:rPr>
          <w:b/>
          <w:bCs/>
        </w:rPr>
        <w:t>Стратегические вопросы горизонтальной политики</w:t>
      </w:r>
    </w:p>
    <w:p w:rsidR="00E12C5F" w:rsidRPr="008A0B02" w:rsidRDefault="008A0B02" w:rsidP="008A0B02">
      <w:r w:rsidRPr="008A0B02">
        <w:rPr>
          <w:b/>
          <w:bCs/>
        </w:rPr>
        <w:t xml:space="preserve">Аналитическая работа Европейской экономической </w:t>
      </w:r>
      <w:r w:rsidRPr="008A0B02">
        <w:rPr>
          <w:b/>
          <w:bCs/>
        </w:rPr>
        <w:br/>
        <w:t xml:space="preserve">комиссии Организации Объединенных Наций </w:t>
      </w:r>
      <w:r w:rsidRPr="008A0B02">
        <w:rPr>
          <w:b/>
          <w:bCs/>
        </w:rPr>
        <w:br/>
        <w:t>в области транспорта</w:t>
      </w:r>
    </w:p>
    <w:p w:rsidR="008A0B02" w:rsidRPr="008A0B02" w:rsidRDefault="008A0B02" w:rsidP="008A0B0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A0B02">
        <w:t>Аналитическая работа Отдела устойчивого транспорта</w:t>
      </w:r>
    </w:p>
    <w:p w:rsidR="008A0B02" w:rsidRDefault="008A0B02" w:rsidP="008A0B02">
      <w:pPr>
        <w:pStyle w:val="H1GR"/>
        <w:rPr>
          <w:lang w:val="en-US"/>
        </w:rPr>
      </w:pPr>
      <w:r w:rsidRPr="008A0B02">
        <w:tab/>
      </w:r>
      <w:r w:rsidRPr="008A0B02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8A0B02" w:rsidRPr="008A0B0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8A0B02" w:rsidRPr="008A0B02" w:rsidRDefault="008A0B0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A0B02">
              <w:rPr>
                <w:rFonts w:cs="Times New Roman"/>
              </w:rPr>
              <w:tab/>
            </w:r>
            <w:r w:rsidRPr="008A0B0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A0B02" w:rsidRPr="008A0B0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A0B02" w:rsidRPr="008A0B02" w:rsidRDefault="008A0B02" w:rsidP="00B5429B">
            <w:pPr>
              <w:pStyle w:val="SingleTxtGR"/>
            </w:pPr>
            <w:r>
              <w:rPr>
                <w:lang w:val="en-US"/>
              </w:rPr>
              <w:tab/>
            </w:r>
            <w:r w:rsidRPr="008A0B02">
              <w:t>В настоящей записке представлен краткий обзор аналитической работы, проведенной Отделом устойчивого транспорта Европейской экономической к</w:t>
            </w:r>
            <w:r w:rsidRPr="008A0B02">
              <w:t>о</w:t>
            </w:r>
            <w:r w:rsidRPr="008A0B02">
              <w:t xml:space="preserve">миссии Организации Объединенных Наций (ЕЭК) в 2017 году. </w:t>
            </w:r>
            <w:proofErr w:type="gramStart"/>
            <w:r w:rsidRPr="008A0B02">
              <w:t>Эта работа включала в себя исследования по конкретным вопросам в области транспорта, аналитические оценки, запрашиваемые официальными группами экспертов и целевыми группами, подготовку аналитических документов в поддержку мер</w:t>
            </w:r>
            <w:r w:rsidRPr="008A0B02">
              <w:t>о</w:t>
            </w:r>
            <w:r w:rsidRPr="008A0B02">
              <w:t>приятий, связанных с транспортными конвенциями Организации Объедине</w:t>
            </w:r>
            <w:r w:rsidRPr="008A0B02">
              <w:t>н</w:t>
            </w:r>
            <w:r w:rsidRPr="008A0B02">
              <w:t>ных Наций, и рабочих совещаний по укреплению потенциала, а также аналит</w:t>
            </w:r>
            <w:r w:rsidRPr="008A0B02">
              <w:t>и</w:t>
            </w:r>
            <w:r w:rsidRPr="008A0B02">
              <w:t>ческие исследования, закладывающие прочную основу для управления разли</w:t>
            </w:r>
            <w:r w:rsidRPr="008A0B02">
              <w:t>ч</w:t>
            </w:r>
            <w:r w:rsidRPr="008A0B02">
              <w:t>ными проектами.</w:t>
            </w:r>
            <w:proofErr w:type="gramEnd"/>
            <w:r w:rsidRPr="008A0B02">
              <w:t xml:space="preserve"> В записке приводится краткая информация о работе, прод</w:t>
            </w:r>
            <w:r w:rsidRPr="008A0B02">
              <w:t>е</w:t>
            </w:r>
            <w:r w:rsidRPr="008A0B02">
              <w:t>ланной Рабочей группой по тенденциям и экономике транспорта, а также Отд</w:t>
            </w:r>
            <w:r w:rsidRPr="008A0B02">
              <w:t>е</w:t>
            </w:r>
            <w:r w:rsidRPr="008A0B02">
              <w:t>лом устойчивого транспорта.</w:t>
            </w:r>
          </w:p>
        </w:tc>
      </w:tr>
      <w:tr w:rsidR="008A0B02" w:rsidRPr="008A0B0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A0B02" w:rsidRPr="008A0B02" w:rsidRDefault="008A0B02" w:rsidP="00B5429B">
            <w:pPr>
              <w:pStyle w:val="SingleTxtGR"/>
            </w:pPr>
            <w:r>
              <w:rPr>
                <w:lang w:val="en-US"/>
              </w:rPr>
              <w:tab/>
            </w:r>
            <w:r w:rsidRPr="008A0B02">
              <w:t xml:space="preserve">Члены Комитета, возможно, пожелают </w:t>
            </w:r>
            <w:r w:rsidRPr="008A0B02">
              <w:rPr>
                <w:b/>
                <w:bCs/>
              </w:rPr>
              <w:t>дать указания</w:t>
            </w:r>
            <w:r w:rsidRPr="008A0B02">
              <w:t xml:space="preserve"> относительно б</w:t>
            </w:r>
            <w:r w:rsidRPr="008A0B02">
              <w:t>у</w:t>
            </w:r>
            <w:r w:rsidRPr="008A0B02">
              <w:t>дущих направлений аналитической работы в области транспорта.</w:t>
            </w:r>
          </w:p>
        </w:tc>
      </w:tr>
      <w:tr w:rsidR="008A0B02" w:rsidRPr="008A0B02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8A0B02" w:rsidRPr="008A0B02" w:rsidRDefault="008A0B02" w:rsidP="00850215">
            <w:pPr>
              <w:rPr>
                <w:rFonts w:cs="Times New Roman"/>
              </w:rPr>
            </w:pPr>
          </w:p>
        </w:tc>
      </w:tr>
    </w:tbl>
    <w:p w:rsidR="008A0B02" w:rsidRPr="008A0B02" w:rsidRDefault="0031298D" w:rsidP="0031298D">
      <w:pPr>
        <w:pStyle w:val="HChGR"/>
      </w:pPr>
      <w:r>
        <w:rPr>
          <w:lang w:val="en-US"/>
        </w:rPr>
        <w:tab/>
      </w:r>
      <w:r w:rsidR="008A0B02" w:rsidRPr="008A0B02">
        <w:t>I.</w:t>
      </w:r>
      <w:r w:rsidR="008A0B02" w:rsidRPr="008A0B02">
        <w:tab/>
        <w:t>Аналитическа</w:t>
      </w:r>
      <w:r>
        <w:t>я работа и рабочие совещания по</w:t>
      </w:r>
      <w:r>
        <w:rPr>
          <w:lang w:val="en-US"/>
        </w:rPr>
        <w:t> </w:t>
      </w:r>
      <w:r w:rsidR="008A0B02" w:rsidRPr="008A0B02">
        <w:t>укреплению потенциала, проводимые Рабочей группой по тенденциям и экономике транспорта</w:t>
      </w:r>
    </w:p>
    <w:p w:rsidR="008A0B02" w:rsidRPr="008A0B02" w:rsidRDefault="008A0B02" w:rsidP="008A0B02">
      <w:pPr>
        <w:pStyle w:val="SingleTxtGR"/>
      </w:pPr>
      <w:r w:rsidRPr="008A0B02">
        <w:t>1.</w:t>
      </w:r>
      <w:r w:rsidRPr="008A0B02">
        <w:tab/>
        <w:t>Рабочая группа по тенденциям и экономике транспорта (WP.5) предста</w:t>
      </w:r>
      <w:r w:rsidRPr="008A0B02">
        <w:t>в</w:t>
      </w:r>
      <w:r w:rsidRPr="008A0B02">
        <w:t xml:space="preserve">ляет собой форум для обмена опытом и идеями, связанным, в частности, </w:t>
      </w:r>
      <w:r w:rsidR="0031298D">
        <w:t>с</w:t>
      </w:r>
      <w:r w:rsidR="0031298D">
        <w:rPr>
          <w:lang w:val="en-US"/>
        </w:rPr>
        <w:t> </w:t>
      </w:r>
      <w:r w:rsidRPr="008A0B02">
        <w:t xml:space="preserve">трудностями в области развития устойчивого внутреннего транспорта. </w:t>
      </w:r>
      <w:r w:rsidRPr="008A0B02">
        <w:lastRenderedPageBreak/>
        <w:t>Ее</w:t>
      </w:r>
      <w:r w:rsidR="0031298D">
        <w:rPr>
          <w:lang w:val="en-US"/>
        </w:rPr>
        <w:t> </w:t>
      </w:r>
      <w:r w:rsidRPr="008A0B02">
        <w:t>мандат позволяет ей играть уникальную роль «мозгового центра» по вопр</w:t>
      </w:r>
      <w:r w:rsidRPr="008A0B02">
        <w:t>о</w:t>
      </w:r>
      <w:r w:rsidRPr="008A0B02">
        <w:t>сам перевозок в рамках Комитета по внутреннему транспорту (КВТ).</w:t>
      </w:r>
    </w:p>
    <w:p w:rsidR="008A0B02" w:rsidRPr="008A0B02" w:rsidRDefault="008A0B02" w:rsidP="008A0B02">
      <w:pPr>
        <w:pStyle w:val="SingleTxtGR"/>
      </w:pPr>
      <w:r w:rsidRPr="008A0B02">
        <w:t>2.</w:t>
      </w:r>
      <w:r w:rsidRPr="008A0B02">
        <w:tab/>
      </w:r>
      <w:proofErr w:type="gramStart"/>
      <w:r w:rsidRPr="008A0B02">
        <w:t>В этом качестве WP.5 преследует в своей деятельности следующие цели: выявление глобальных тенденций и изменений, которые могут иметь важные последствия для транспортного сектора, а также проблем в этом секторе; пр</w:t>
      </w:r>
      <w:r w:rsidRPr="008A0B02">
        <w:t>о</w:t>
      </w:r>
      <w:r w:rsidRPr="008A0B02">
        <w:t xml:space="preserve">ведение обзоров и анализа факторов на основе информации, полученной от </w:t>
      </w:r>
      <w:proofErr w:type="spellStart"/>
      <w:r w:rsidRPr="008A0B02">
        <w:t>го</w:t>
      </w:r>
      <w:proofErr w:type="spellEnd"/>
      <w:r w:rsidR="0009190F" w:rsidRPr="0009190F">
        <w:t>-</w:t>
      </w:r>
      <w:proofErr w:type="spellStart"/>
      <w:r w:rsidRPr="008A0B02">
        <w:t>сударств</w:t>
      </w:r>
      <w:proofErr w:type="spellEnd"/>
      <w:r w:rsidRPr="008A0B02">
        <w:t>-членов, и выработка на основе консенсуса соответствующих стратег</w:t>
      </w:r>
      <w:r w:rsidRPr="008A0B02">
        <w:t>и</w:t>
      </w:r>
      <w:r w:rsidRPr="008A0B02">
        <w:t>ческих рекомендаций, которые должны способствовать развитию устойчивых транспортных систем.</w:t>
      </w:r>
      <w:proofErr w:type="gramEnd"/>
    </w:p>
    <w:p w:rsidR="008A0B02" w:rsidRPr="008A0B02" w:rsidRDefault="008A0B02" w:rsidP="0031298D">
      <w:pPr>
        <w:pStyle w:val="H1GR"/>
      </w:pPr>
      <w:r w:rsidRPr="008A0B02">
        <w:tab/>
        <w:t>A.</w:t>
      </w:r>
      <w:r w:rsidRPr="008A0B02">
        <w:tab/>
        <w:t>Публикации: исследования</w:t>
      </w:r>
    </w:p>
    <w:p w:rsidR="008A0B02" w:rsidRPr="008A0B02" w:rsidRDefault="008A0B02" w:rsidP="0031298D">
      <w:pPr>
        <w:pStyle w:val="H23GR"/>
      </w:pPr>
      <w:r w:rsidRPr="008A0B02">
        <w:tab/>
        <w:t>1.</w:t>
      </w:r>
      <w:r w:rsidRPr="008A0B02">
        <w:tab/>
        <w:t xml:space="preserve">Тенденции и экономика транспорта в 2017−2018 годах: мобильность как услуга </w:t>
      </w:r>
    </w:p>
    <w:p w:rsidR="008A0B02" w:rsidRPr="008A0B02" w:rsidRDefault="008A0B02" w:rsidP="008A0B02">
      <w:pPr>
        <w:pStyle w:val="SingleTxtGR"/>
      </w:pPr>
      <w:r w:rsidRPr="008A0B02">
        <w:t>3.</w:t>
      </w:r>
      <w:r w:rsidRPr="008A0B02">
        <w:tab/>
        <w:t>В этой публикации будут использованы результаты рабочего совещания, организованного в ходе проведения последней сессии WP.5 (сроки). Для ко</w:t>
      </w:r>
      <w:r w:rsidRPr="008A0B02">
        <w:t>м</w:t>
      </w:r>
      <w:r w:rsidRPr="008A0B02">
        <w:t>плексного анализа преимуществ, которые мобильность как услуга может обе</w:t>
      </w:r>
      <w:r w:rsidRPr="008A0B02">
        <w:t>с</w:t>
      </w:r>
      <w:r w:rsidRPr="008A0B02">
        <w:t>печить для общества и национальной экономики, будут задействованы сущ</w:t>
      </w:r>
      <w:r w:rsidRPr="008A0B02">
        <w:t>е</w:t>
      </w:r>
      <w:r w:rsidRPr="008A0B02">
        <w:t>ствующие данные, подготовленные национальными статистическими управл</w:t>
      </w:r>
      <w:r w:rsidRPr="008A0B02">
        <w:t>е</w:t>
      </w:r>
      <w:r w:rsidRPr="008A0B02">
        <w:t xml:space="preserve">ниями. </w:t>
      </w:r>
    </w:p>
    <w:p w:rsidR="008A0B02" w:rsidRPr="008A0B02" w:rsidRDefault="008A0B02" w:rsidP="008A0B02">
      <w:pPr>
        <w:pStyle w:val="SingleTxtGR"/>
      </w:pPr>
      <w:r w:rsidRPr="008A0B02">
        <w:t>4.</w:t>
      </w:r>
      <w:r w:rsidRPr="008A0B02">
        <w:tab/>
        <w:t>Это исследование будет включать в себя данные, анализ и материалы, к</w:t>
      </w:r>
      <w:r w:rsidRPr="008A0B02">
        <w:t>а</w:t>
      </w:r>
      <w:r w:rsidRPr="008A0B02">
        <w:t>сающиеся концепции мобильности как услуги, информацию о различных сущ</w:t>
      </w:r>
      <w:r w:rsidRPr="008A0B02">
        <w:t>е</w:t>
      </w:r>
      <w:r w:rsidRPr="008A0B02">
        <w:t>ствующих и действующих поставщиках, различные стратегии регулирования таких предприятий в разных государствах, а также вытекающие из исследов</w:t>
      </w:r>
      <w:r w:rsidRPr="008A0B02">
        <w:t>а</w:t>
      </w:r>
      <w:r w:rsidRPr="008A0B02">
        <w:t xml:space="preserve">ния новые </w:t>
      </w:r>
      <w:proofErr w:type="gramStart"/>
      <w:r w:rsidRPr="008A0B02">
        <w:t>бизнес-модели</w:t>
      </w:r>
      <w:proofErr w:type="gramEnd"/>
      <w:r w:rsidRPr="008A0B02">
        <w:t xml:space="preserve">. </w:t>
      </w:r>
    </w:p>
    <w:p w:rsidR="008A0B02" w:rsidRPr="008A0B02" w:rsidRDefault="008A0B02" w:rsidP="008A0B02">
      <w:pPr>
        <w:pStyle w:val="SingleTxtGR"/>
      </w:pPr>
      <w:r w:rsidRPr="008A0B02">
        <w:t>5.</w:t>
      </w:r>
      <w:r w:rsidRPr="008A0B02">
        <w:tab/>
        <w:t>Окончательный проект публикации будет готов для обсуждения и перв</w:t>
      </w:r>
      <w:r w:rsidRPr="008A0B02">
        <w:t>о</w:t>
      </w:r>
      <w:r w:rsidRPr="008A0B02">
        <w:t>начального утверждения на следующей сессии WP.5, которая состоится в се</w:t>
      </w:r>
      <w:r w:rsidRPr="008A0B02">
        <w:t>н</w:t>
      </w:r>
      <w:r w:rsidRPr="008A0B02">
        <w:t xml:space="preserve">тябре 2018 года. </w:t>
      </w:r>
    </w:p>
    <w:p w:rsidR="008A0B02" w:rsidRPr="008A0B02" w:rsidRDefault="008A0B02" w:rsidP="0031298D">
      <w:pPr>
        <w:pStyle w:val="H23GR"/>
      </w:pPr>
      <w:r w:rsidRPr="008A0B02">
        <w:tab/>
        <w:t xml:space="preserve">2. </w:t>
      </w:r>
      <w:r w:rsidRPr="008A0B02">
        <w:tab/>
        <w:t>Доклад по этапу III проекта евро-азиатских транспортных связей</w:t>
      </w:r>
    </w:p>
    <w:p w:rsidR="008A0B02" w:rsidRPr="008A0B02" w:rsidRDefault="008A0B02" w:rsidP="008A0B02">
      <w:pPr>
        <w:pStyle w:val="SingleTxtGR"/>
      </w:pPr>
      <w:r w:rsidRPr="008A0B02">
        <w:t>6.</w:t>
      </w:r>
      <w:r w:rsidRPr="008A0B02">
        <w:tab/>
        <w:t>В соответствии с Совместным заявлением о будущем развитии евро-азиатских транспортных связей, которое было подписано на совещании мин</w:t>
      </w:r>
      <w:r w:rsidRPr="008A0B02">
        <w:t>и</w:t>
      </w:r>
      <w:r w:rsidRPr="008A0B02">
        <w:t>стров стран − членов ЕЭК по теме «Введение в действие евро-азиатской тран</w:t>
      </w:r>
      <w:r w:rsidRPr="008A0B02">
        <w:t>с</w:t>
      </w:r>
      <w:r w:rsidRPr="008A0B02">
        <w:t>портной сети» 26 февраля 2013 года, на Группу экспертов возлагаются следу</w:t>
      </w:r>
      <w:r w:rsidRPr="008A0B02">
        <w:t>ю</w:t>
      </w:r>
      <w:r w:rsidRPr="008A0B02">
        <w:t xml:space="preserve">щие задачи: 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a)</w:t>
      </w:r>
      <w:r w:rsidR="008A0B02" w:rsidRPr="008A0B02">
        <w:tab/>
        <w:t>анализировать, поддерживать и представлять международным ф</w:t>
      </w:r>
      <w:r w:rsidR="008A0B02" w:rsidRPr="008A0B02">
        <w:t>и</w:t>
      </w:r>
      <w:r w:rsidR="008A0B02" w:rsidRPr="008A0B02">
        <w:t>нансовым учреждениям и другим донорам высокоприоритетные проекты ЕАТС, технико-экономические обоснования или другие соответствующие исследов</w:t>
      </w:r>
      <w:r w:rsidR="008A0B02" w:rsidRPr="008A0B02">
        <w:t>а</w:t>
      </w:r>
      <w:r w:rsidR="008A0B02" w:rsidRPr="008A0B02">
        <w:t>ния в целях облегчения устойчивого долгосрочного финансирования этих пр</w:t>
      </w:r>
      <w:r w:rsidR="008A0B02" w:rsidRPr="008A0B02">
        <w:t>о</w:t>
      </w:r>
      <w:r w:rsidR="008A0B02" w:rsidRPr="008A0B02">
        <w:t xml:space="preserve">ектов; 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b)</w:t>
      </w:r>
      <w:r w:rsidR="008A0B02" w:rsidRPr="008A0B02">
        <w:tab/>
        <w:t>определять потоки грузов (количества и типы), которые могут п</w:t>
      </w:r>
      <w:r w:rsidR="008A0B02" w:rsidRPr="008A0B02">
        <w:t>е</w:t>
      </w:r>
      <w:r w:rsidR="008A0B02" w:rsidRPr="008A0B02">
        <w:t xml:space="preserve">ревозиться по девяти евро-азиатским железнодорожным и автомобильным маршрутам; 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с)</w:t>
      </w:r>
      <w:r w:rsidR="008A0B02" w:rsidRPr="008A0B02">
        <w:tab/>
        <w:t>облегчать координацию комплексных графиков движения и тар</w:t>
      </w:r>
      <w:r w:rsidR="008A0B02" w:rsidRPr="008A0B02">
        <w:t>и</w:t>
      </w:r>
      <w:r w:rsidR="008A0B02" w:rsidRPr="008A0B02">
        <w:t xml:space="preserve">фов для девяти железнодорожных и автомобильных маршрутов; 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d)</w:t>
      </w:r>
      <w:r w:rsidR="008A0B02" w:rsidRPr="008A0B02">
        <w:tab/>
        <w:t>содействовать использованию евро-азиатских наземных транспор</w:t>
      </w:r>
      <w:r w:rsidR="008A0B02" w:rsidRPr="008A0B02">
        <w:t>т</w:t>
      </w:r>
      <w:r w:rsidR="008A0B02" w:rsidRPr="008A0B02">
        <w:t xml:space="preserve">ных маршрутов и развитию комплексной стратегии маркетинга; 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e)</w:t>
      </w:r>
      <w:r w:rsidR="008A0B02" w:rsidRPr="008A0B02">
        <w:tab/>
        <w:t>обновлять и совершенствовать прикладную программу для геогр</w:t>
      </w:r>
      <w:r w:rsidR="008A0B02" w:rsidRPr="008A0B02">
        <w:t>а</w:t>
      </w:r>
      <w:r w:rsidR="008A0B02" w:rsidRPr="008A0B02">
        <w:t>фических информационных систем (ГИС).</w:t>
      </w:r>
    </w:p>
    <w:p w:rsidR="008A0B02" w:rsidRPr="008A0B02" w:rsidRDefault="008A0B02" w:rsidP="008A0B02">
      <w:pPr>
        <w:pStyle w:val="SingleTxtGR"/>
      </w:pPr>
      <w:r w:rsidRPr="008A0B02">
        <w:t>7.</w:t>
      </w:r>
      <w:r w:rsidRPr="008A0B02">
        <w:tab/>
        <w:t xml:space="preserve">В заключительном докладе Группы содержится всеобъемлющий анализ сильных и слабых сторон, возможностей и угроз и предлагаются стратегии и рекомендации по преодолению основных препятствий и введению евро-азиатских транспортных коридоров в действие. </w:t>
      </w:r>
    </w:p>
    <w:p w:rsidR="008A0B02" w:rsidRPr="008A0B02" w:rsidRDefault="008A0B02" w:rsidP="0031298D">
      <w:pPr>
        <w:pStyle w:val="H1GR"/>
      </w:pPr>
      <w:r w:rsidRPr="008A0B02">
        <w:lastRenderedPageBreak/>
        <w:tab/>
        <w:t>B.</w:t>
      </w:r>
      <w:r w:rsidRPr="008A0B02">
        <w:tab/>
        <w:t>Рабочие совещания</w:t>
      </w:r>
    </w:p>
    <w:p w:rsidR="008A0B02" w:rsidRPr="008A0B02" w:rsidRDefault="008A0B02" w:rsidP="0031298D">
      <w:pPr>
        <w:pStyle w:val="H23GR"/>
      </w:pPr>
      <w:r w:rsidRPr="008A0B02">
        <w:tab/>
        <w:t>1.</w:t>
      </w:r>
      <w:r w:rsidRPr="008A0B02">
        <w:tab/>
        <w:t>Коридоры транспортной инфраструктуры в Европе и Азии</w:t>
      </w:r>
    </w:p>
    <w:p w:rsidR="008A0B02" w:rsidRPr="008A0B02" w:rsidRDefault="008A0B02" w:rsidP="008A0B02">
      <w:pPr>
        <w:pStyle w:val="SingleTxtGR"/>
      </w:pPr>
      <w:r w:rsidRPr="008A0B02">
        <w:t>8.</w:t>
      </w:r>
      <w:r w:rsidRPr="008A0B02">
        <w:tab/>
        <w:t>В ходе двадцать восьмой сессии (7–9 сентября 2015 года, Женева) Раб</w:t>
      </w:r>
      <w:r w:rsidRPr="008A0B02">
        <w:t>о</w:t>
      </w:r>
      <w:r w:rsidRPr="008A0B02">
        <w:t>чая группа организовала рабочее совещание на тему: «Автотранспортные и ж</w:t>
      </w:r>
      <w:r w:rsidRPr="008A0B02">
        <w:t>е</w:t>
      </w:r>
      <w:r w:rsidRPr="008A0B02">
        <w:t>лезнодорожные коридоры в Европе и Азии». Участники согласились с тем, что, хотя между Европой и Азией существуют и реализуются многочисленные ин</w:t>
      </w:r>
      <w:r w:rsidRPr="008A0B02">
        <w:t>и</w:t>
      </w:r>
      <w:r w:rsidRPr="008A0B02">
        <w:t>циативы по развитию транспортных коридоров, взаимодействие между этими инициативами является весьма слабым или отсутствует. В ходе двадцать дев</w:t>
      </w:r>
      <w:r w:rsidRPr="008A0B02">
        <w:t>я</w:t>
      </w:r>
      <w:r w:rsidRPr="008A0B02">
        <w:t>той сессии (5–7 сентября 2016 года, Женева) Рабочая группа одобрила создание центра мониторинга транспортной инфраструктуры в Европе и Азии, который должен охватывать все существующие инициативы в области развития тран</w:t>
      </w:r>
      <w:r w:rsidRPr="008A0B02">
        <w:t>с</w:t>
      </w:r>
      <w:r w:rsidRPr="008A0B02">
        <w:t>портной инфраструктуры в Европе и Азии. Его главная цель заключается в укреплении сотрудничества между этими инициативами. Проведенное в этом году рабочее совещание стало продолжением этой деятельности, и у экспертов была возможность обменяться опытом в области развития транспортных кор</w:t>
      </w:r>
      <w:r w:rsidRPr="008A0B02">
        <w:t>и</w:t>
      </w:r>
      <w:r w:rsidRPr="008A0B02">
        <w:t>доров, внести вклад в дискуссии о путях укрепления сотрудничества и обсудить принципы, которые должны лежать в основе работы центра мониторинга транспортной инфраструктуры для поддержки взаимодействия различных ин</w:t>
      </w:r>
      <w:r w:rsidRPr="008A0B02">
        <w:t>и</w:t>
      </w:r>
      <w:r w:rsidRPr="008A0B02">
        <w:t>циатив.</w:t>
      </w:r>
    </w:p>
    <w:p w:rsidR="008A0B02" w:rsidRPr="008A0B02" w:rsidRDefault="008A0B02" w:rsidP="008A0B02">
      <w:pPr>
        <w:pStyle w:val="SingleTxtGR"/>
      </w:pPr>
      <w:r w:rsidRPr="008A0B02">
        <w:t>9.</w:t>
      </w:r>
      <w:r w:rsidRPr="008A0B02">
        <w:tab/>
        <w:t>Участники: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a)</w:t>
      </w:r>
      <w:r w:rsidR="008A0B02" w:rsidRPr="008A0B02">
        <w:tab/>
        <w:t>приняли к сведению последние тенденции и изменения в области транспортных коридоров в регионе ЕЭК:</w:t>
      </w:r>
    </w:p>
    <w:p w:rsidR="008A0B02" w:rsidRPr="008A0B02" w:rsidRDefault="008A0B02" w:rsidP="0031298D">
      <w:pPr>
        <w:pStyle w:val="Bullet1GR"/>
      </w:pPr>
      <w:r w:rsidRPr="008A0B02">
        <w:t xml:space="preserve">отметили предложение о развитии соединения между Дунаем и Моравой в Сербии и далее рекой </w:t>
      </w:r>
      <w:proofErr w:type="spellStart"/>
      <w:r w:rsidRPr="008A0B02">
        <w:t>Аксьос</w:t>
      </w:r>
      <w:proofErr w:type="spellEnd"/>
      <w:r w:rsidRPr="008A0B02">
        <w:t xml:space="preserve"> в бывшей югославской Республике Мак</w:t>
      </w:r>
      <w:r w:rsidRPr="008A0B02">
        <w:t>е</w:t>
      </w:r>
      <w:r w:rsidRPr="008A0B02">
        <w:t>дония и Греции, которое заканчивается в порту Салоники на Средизе</w:t>
      </w:r>
      <w:r w:rsidRPr="008A0B02">
        <w:t>м</w:t>
      </w:r>
      <w:r w:rsidRPr="008A0B02">
        <w:t>ном море;</w:t>
      </w:r>
    </w:p>
    <w:p w:rsidR="008A0B02" w:rsidRPr="008A0B02" w:rsidRDefault="008A0B02" w:rsidP="0031298D">
      <w:pPr>
        <w:pStyle w:val="Bullet1GR"/>
      </w:pPr>
      <w:r w:rsidRPr="008A0B02">
        <w:t>напомнили о том, что в 2015 году был согласован проект основной тран</w:t>
      </w:r>
      <w:r w:rsidRPr="008A0B02">
        <w:t>с</w:t>
      </w:r>
      <w:r w:rsidRPr="008A0B02">
        <w:t>портной сети на Западных Балканах, в основе которого, в соответствии с подписанным между странами ТОЮВЕ и Европейским союзом Мем</w:t>
      </w:r>
      <w:r w:rsidRPr="008A0B02">
        <w:t>о</w:t>
      </w:r>
      <w:r w:rsidRPr="008A0B02">
        <w:t>рандумом о взаимопонимании (МОВ), лежит всеобъемлющая сеть (мет</w:t>
      </w:r>
      <w:r w:rsidRPr="008A0B02">
        <w:t>о</w:t>
      </w:r>
      <w:r w:rsidRPr="008A0B02">
        <w:t xml:space="preserve">дика </w:t>
      </w:r>
      <w:proofErr w:type="gramStart"/>
      <w:r w:rsidRPr="008A0B02">
        <w:t>ТЕС-Т</w:t>
      </w:r>
      <w:proofErr w:type="gramEnd"/>
      <w:r w:rsidRPr="008A0B02">
        <w:t xml:space="preserve">). Таким </w:t>
      </w:r>
      <w:proofErr w:type="gramStart"/>
      <w:r w:rsidRPr="008A0B02">
        <w:t>образом</w:t>
      </w:r>
      <w:proofErr w:type="gramEnd"/>
      <w:r w:rsidRPr="008A0B02">
        <w:t xml:space="preserve"> Западные Балканы были охвачены основной сетью ТЕС-Т;</w:t>
      </w:r>
    </w:p>
    <w:p w:rsidR="008A0B02" w:rsidRPr="008A0B02" w:rsidRDefault="008A0B02" w:rsidP="0031298D">
      <w:pPr>
        <w:pStyle w:val="Bullet1GR"/>
      </w:pPr>
      <w:proofErr w:type="gramStart"/>
      <w:r w:rsidRPr="008A0B02">
        <w:t>были проинформированы об инициативе «Один пояс — один путь» (OBOR), которая ориентирована на азиатский, европейский и африка</w:t>
      </w:r>
      <w:r w:rsidRPr="008A0B02">
        <w:t>н</w:t>
      </w:r>
      <w:r w:rsidRPr="008A0B02">
        <w:t>ский континенты, но вместе с тем открыта к участию всех стран в инт</w:t>
      </w:r>
      <w:r w:rsidRPr="008A0B02">
        <w:t>е</w:t>
      </w:r>
      <w:r w:rsidRPr="008A0B02">
        <w:t>ресах регионального экономического сотрудничества и всеобщего пр</w:t>
      </w:r>
      <w:r w:rsidRPr="008A0B02">
        <w:t>о</w:t>
      </w:r>
      <w:r w:rsidRPr="008A0B02">
        <w:t>цветания и направлена на обеспечение увязки политики, инфраструкт</w:t>
      </w:r>
      <w:r w:rsidRPr="008A0B02">
        <w:t>у</w:t>
      </w:r>
      <w:r w:rsidRPr="008A0B02">
        <w:t>ры, торговли, финансов и контактов между людьми.</w:t>
      </w:r>
      <w:proofErr w:type="gramEnd"/>
      <w:r w:rsidRPr="008A0B02">
        <w:t xml:space="preserve"> Этот проект охват</w:t>
      </w:r>
      <w:r w:rsidRPr="008A0B02">
        <w:t>ы</w:t>
      </w:r>
      <w:r w:rsidRPr="008A0B02">
        <w:t>вает 350 автомобильных маршрутов, открытых для международных па</w:t>
      </w:r>
      <w:r w:rsidRPr="008A0B02">
        <w:t>с</w:t>
      </w:r>
      <w:r w:rsidRPr="008A0B02">
        <w:t>сажирских и грузовых перевозок, и 4</w:t>
      </w:r>
      <w:r w:rsidR="0009190F" w:rsidRPr="0009190F">
        <w:t xml:space="preserve"> </w:t>
      </w:r>
      <w:r w:rsidRPr="008A0B02">
        <w:t xml:space="preserve">000 скоростных поездов с пунктами назначения в 29 городах в 11 европейских странах; </w:t>
      </w:r>
    </w:p>
    <w:p w:rsidR="008A0B02" w:rsidRPr="008A0B02" w:rsidRDefault="008A0B02" w:rsidP="0031298D">
      <w:pPr>
        <w:pStyle w:val="Bullet1GR"/>
      </w:pPr>
      <w:r w:rsidRPr="008A0B02">
        <w:t>были проинформированы о коридоре «Восточный/Восточно-Средиземноморский» и технико-экономическом обосновании для мар</w:t>
      </w:r>
      <w:r w:rsidRPr="008A0B02">
        <w:t>ш</w:t>
      </w:r>
      <w:r w:rsidRPr="008A0B02">
        <w:t>рута Дунай</w:t>
      </w:r>
      <w:r w:rsidR="0009190F" w:rsidRPr="0009190F">
        <w:t>–</w:t>
      </w:r>
      <w:r w:rsidRPr="008A0B02">
        <w:t>Одер</w:t>
      </w:r>
      <w:r w:rsidR="0009190F" w:rsidRPr="0009190F">
        <w:t>–</w:t>
      </w:r>
      <w:r w:rsidRPr="008A0B02">
        <w:t xml:space="preserve">Эльба (на данный момент Эльба обеспечивает связь с Северным морем, а Дунай </w:t>
      </w:r>
      <w:r w:rsidR="0031298D" w:rsidRPr="0031298D">
        <w:t>–</w:t>
      </w:r>
      <w:r w:rsidRPr="008A0B02">
        <w:t xml:space="preserve"> </w:t>
      </w:r>
      <w:proofErr w:type="gramStart"/>
      <w:r w:rsidRPr="008A0B02">
        <w:t>с</w:t>
      </w:r>
      <w:proofErr w:type="gramEnd"/>
      <w:r w:rsidRPr="008A0B02">
        <w:t xml:space="preserve"> </w:t>
      </w:r>
      <w:proofErr w:type="gramStart"/>
      <w:r w:rsidRPr="008A0B02">
        <w:t>Черным</w:t>
      </w:r>
      <w:proofErr w:type="gramEnd"/>
      <w:r w:rsidRPr="008A0B02">
        <w:t xml:space="preserve"> и Средиземным морями);</w:t>
      </w:r>
    </w:p>
    <w:p w:rsidR="008A0B02" w:rsidRPr="008A0B02" w:rsidRDefault="008A0B02" w:rsidP="0031298D">
      <w:pPr>
        <w:pStyle w:val="Bullet1GR"/>
      </w:pPr>
      <w:r w:rsidRPr="008A0B02">
        <w:t>отметили разработку на территории Китая и Российской Федерации пр</w:t>
      </w:r>
      <w:r w:rsidRPr="008A0B02">
        <w:t>о</w:t>
      </w:r>
      <w:r w:rsidRPr="008A0B02">
        <w:t>ектов транспортных коридоров «Приморье-1» и «Приморье-2»;</w:t>
      </w:r>
    </w:p>
    <w:p w:rsidR="008A0B02" w:rsidRPr="008A0B02" w:rsidRDefault="008A0B02" w:rsidP="0031298D">
      <w:pPr>
        <w:pStyle w:val="Bullet1GR"/>
      </w:pPr>
      <w:r w:rsidRPr="008A0B02">
        <w:t>были проинформированы о создании транспортного коридора «</w:t>
      </w:r>
      <w:proofErr w:type="spellStart"/>
      <w:r w:rsidRPr="008A0B02">
        <w:t>Виа</w:t>
      </w:r>
      <w:proofErr w:type="spellEnd"/>
      <w:r w:rsidRPr="008A0B02">
        <w:t xml:space="preserve"> </w:t>
      </w:r>
      <w:proofErr w:type="spellStart"/>
      <w:r w:rsidRPr="008A0B02">
        <w:t>Ка</w:t>
      </w:r>
      <w:r w:rsidRPr="008A0B02">
        <w:t>р</w:t>
      </w:r>
      <w:r w:rsidRPr="008A0B02">
        <w:t>патия</w:t>
      </w:r>
      <w:proofErr w:type="spellEnd"/>
      <w:r w:rsidRPr="008A0B02">
        <w:t>», который соединит Балтику и Средиземное море. Реализация этого проекта позволит создать самое короткое транспортное соединение ме</w:t>
      </w:r>
      <w:r w:rsidRPr="008A0B02">
        <w:t>ж</w:t>
      </w:r>
      <w:r w:rsidRPr="008A0B02">
        <w:t>ду странами Ближнего Востока и Юго-Восточной Европы и Балтийскими государствами, способствуя тем самым началу реализации инициативы «Новый шелковый путь»;</w:t>
      </w:r>
    </w:p>
    <w:p w:rsidR="008A0B02" w:rsidRPr="008A0B02" w:rsidRDefault="008A0B02" w:rsidP="0031298D">
      <w:pPr>
        <w:pStyle w:val="Bullet1GR"/>
      </w:pPr>
      <w:proofErr w:type="gramStart"/>
      <w:r w:rsidRPr="008A0B02">
        <w:lastRenderedPageBreak/>
        <w:t>напомнили о проекте Организации черноморского экономического с</w:t>
      </w:r>
      <w:r w:rsidRPr="008A0B02">
        <w:t>о</w:t>
      </w:r>
      <w:r w:rsidRPr="008A0B02">
        <w:t>трудничества (ОЧЭС), посвященном развитию дорожной инфраструкт</w:t>
      </w:r>
      <w:r w:rsidRPr="008A0B02">
        <w:t>у</w:t>
      </w:r>
      <w:r w:rsidRPr="008A0B02">
        <w:t>ры «Черноморского кольца», в рамках которого государства</w:t>
      </w:r>
      <w:r w:rsidR="0009190F" w:rsidRPr="0009190F">
        <w:t xml:space="preserve"> – </w:t>
      </w:r>
      <w:r w:rsidRPr="008A0B02">
        <w:t>члены ОЧЭС совместными усилиями проведут высококачествен</w:t>
      </w:r>
      <w:r w:rsidR="0009190F">
        <w:t>ную</w:t>
      </w:r>
      <w:r w:rsidR="0009190F" w:rsidRPr="0009190F">
        <w:t xml:space="preserve"> </w:t>
      </w:r>
      <w:r w:rsidRPr="008A0B02">
        <w:t>модерниз</w:t>
      </w:r>
      <w:r w:rsidRPr="008A0B02">
        <w:t>а</w:t>
      </w:r>
      <w:r w:rsidRPr="008A0B02">
        <w:t xml:space="preserve">цию порядка 755 </w:t>
      </w:r>
      <w:r w:rsidR="0031298D" w:rsidRPr="0031298D">
        <w:t>000</w:t>
      </w:r>
      <w:r w:rsidRPr="008A0B02">
        <w:t xml:space="preserve"> км дорог вдоль Черного моря, соединяющих между собой основные города и порты и облегчающие перевозку товаров, ко</w:t>
      </w:r>
      <w:r w:rsidRPr="008A0B02">
        <w:t>н</w:t>
      </w:r>
      <w:r w:rsidRPr="008A0B02">
        <w:t>тейнеров и прочих грузов к этим портам и из них;</w:t>
      </w:r>
      <w:proofErr w:type="gramEnd"/>
    </w:p>
    <w:p w:rsidR="008A0B02" w:rsidRPr="008A0B02" w:rsidRDefault="008A0B02" w:rsidP="0031298D">
      <w:pPr>
        <w:pStyle w:val="Bullet1GR"/>
      </w:pPr>
      <w:r w:rsidRPr="008A0B02">
        <w:t xml:space="preserve">напомнили также о морском проекте ОЧЭС «Морские автомагистрали», направленном на модернизацию портовой инфраструктуры, внедрение передовых методов, повышение совместимости и стыкуемости систем управления дорожным движением, развитие </w:t>
      </w:r>
      <w:proofErr w:type="spellStart"/>
      <w:r w:rsidRPr="008A0B02">
        <w:t>интермодальных</w:t>
      </w:r>
      <w:proofErr w:type="spellEnd"/>
      <w:r w:rsidRPr="008A0B02">
        <w:t xml:space="preserve"> перевозок, сохранение свободной и добросовестной конкуренции в международном судоходстве, о намерении принять </w:t>
      </w:r>
      <w:proofErr w:type="gramStart"/>
      <w:r w:rsidRPr="008A0B02">
        <w:t>участие</w:t>
      </w:r>
      <w:proofErr w:type="gramEnd"/>
      <w:r w:rsidRPr="008A0B02">
        <w:t xml:space="preserve"> в котором заявили 43 порта, расположенные на Черном, Адриатическом, Средиземном и Эгейском м</w:t>
      </w:r>
      <w:r w:rsidRPr="008A0B02">
        <w:t>о</w:t>
      </w:r>
      <w:r w:rsidRPr="008A0B02">
        <w:t>рях;</w:t>
      </w:r>
    </w:p>
    <w:p w:rsidR="008A0B02" w:rsidRPr="008A0B02" w:rsidRDefault="008A0B02" w:rsidP="0031298D">
      <w:pPr>
        <w:pStyle w:val="Bullet1GR"/>
      </w:pPr>
      <w:r w:rsidRPr="008A0B02">
        <w:t>приняли к сведению тот факт, что шесть стран согласовали развитие транспортного коридора между Персидским заливом и Черным морем;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b)</w:t>
      </w:r>
      <w:r w:rsidR="008A0B02" w:rsidRPr="008A0B02">
        <w:tab/>
        <w:t xml:space="preserve">решили, что важно рассматривать возможность введения новых технологий для повышения экономичности, </w:t>
      </w:r>
      <w:proofErr w:type="spellStart"/>
      <w:r w:rsidR="008A0B02" w:rsidRPr="008A0B02">
        <w:t>экологичности</w:t>
      </w:r>
      <w:proofErr w:type="spellEnd"/>
      <w:r w:rsidR="008A0B02" w:rsidRPr="008A0B02">
        <w:t xml:space="preserve"> и безопасности транспортных операций между двумя континентами;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с)</w:t>
      </w:r>
      <w:r w:rsidR="008A0B02" w:rsidRPr="008A0B02">
        <w:tab/>
        <w:t>отметили, что ряд препятствий в области международных железн</w:t>
      </w:r>
      <w:r w:rsidR="008A0B02" w:rsidRPr="008A0B02">
        <w:t>о</w:t>
      </w:r>
      <w:r w:rsidR="008A0B02" w:rsidRPr="008A0B02">
        <w:t>дорожных перевозок, а именно слабость инфраструктуры, неконкурентные т</w:t>
      </w:r>
      <w:r w:rsidR="008A0B02" w:rsidRPr="008A0B02">
        <w:t>а</w:t>
      </w:r>
      <w:r w:rsidR="008A0B02" w:rsidRPr="008A0B02">
        <w:t>рифы, существование не менее двух действующих правовых режимов и з</w:t>
      </w:r>
      <w:r w:rsidR="008A0B02" w:rsidRPr="008A0B02">
        <w:t>а</w:t>
      </w:r>
      <w:r w:rsidR="008A0B02" w:rsidRPr="008A0B02">
        <w:t>держки в пунктах пересечения границ, делают железные дороги неконкурент</w:t>
      </w:r>
      <w:r w:rsidR="008A0B02" w:rsidRPr="008A0B02">
        <w:t>о</w:t>
      </w:r>
      <w:r w:rsidR="008A0B02" w:rsidRPr="008A0B02">
        <w:t>способными;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d)</w:t>
      </w:r>
      <w:r w:rsidR="008A0B02" w:rsidRPr="008A0B02">
        <w:tab/>
        <w:t>согласились с тем, что развитие транспортных коридоров в Европе и Азии сопряжено с многочисленными проблемами, включая:</w:t>
      </w:r>
    </w:p>
    <w:p w:rsidR="008A0B02" w:rsidRPr="008A0B02" w:rsidRDefault="008A0B02" w:rsidP="0031298D">
      <w:pPr>
        <w:pStyle w:val="Bullet1GR"/>
      </w:pPr>
      <w:r w:rsidRPr="008A0B02">
        <w:t>слабое управление коридорами и недостаточность механизмов осущест</w:t>
      </w:r>
      <w:r w:rsidRPr="008A0B02">
        <w:t>в</w:t>
      </w:r>
      <w:r w:rsidRPr="008A0B02">
        <w:t>ления;</w:t>
      </w:r>
    </w:p>
    <w:p w:rsidR="008A0B02" w:rsidRPr="008A0B02" w:rsidRDefault="008A0B02" w:rsidP="0031298D">
      <w:pPr>
        <w:pStyle w:val="Bullet1GR"/>
      </w:pPr>
      <w:r w:rsidRPr="008A0B02">
        <w:t>отсутствие общих и комплексных услуг вдоль коридоров (один т</w:t>
      </w:r>
      <w:r w:rsidRPr="008A0B02">
        <w:t>а</w:t>
      </w:r>
      <w:r w:rsidRPr="008A0B02">
        <w:t>риф/одно расписание);</w:t>
      </w:r>
    </w:p>
    <w:p w:rsidR="008A0B02" w:rsidRPr="008A0B02" w:rsidRDefault="008A0B02" w:rsidP="0031298D">
      <w:pPr>
        <w:pStyle w:val="Bullet1GR"/>
      </w:pPr>
      <w:r w:rsidRPr="008A0B02">
        <w:t>недостаточность мер по облегчению пересечения границ, несмотря на существующие правовые документы (Конвенция о согласовании, Конве</w:t>
      </w:r>
      <w:r w:rsidRPr="008A0B02">
        <w:t>н</w:t>
      </w:r>
      <w:r w:rsidRPr="008A0B02">
        <w:t>ция МДП);</w:t>
      </w:r>
    </w:p>
    <w:p w:rsidR="008A0B02" w:rsidRPr="008A0B02" w:rsidRDefault="008A0B02" w:rsidP="0031298D">
      <w:pPr>
        <w:pStyle w:val="Bullet1GR"/>
      </w:pPr>
      <w:r w:rsidRPr="008A0B02">
        <w:t xml:space="preserve">слабое взаимодействие между различными инициативами по развитию коридоров и между железнодорожными предприятиями; </w:t>
      </w:r>
    </w:p>
    <w:p w:rsidR="008A0B02" w:rsidRPr="008A0B02" w:rsidRDefault="008A0B02" w:rsidP="0031298D">
      <w:pPr>
        <w:pStyle w:val="Bullet1GR"/>
      </w:pPr>
      <w:r w:rsidRPr="008A0B02">
        <w:t>недостаточное понимание выгод и преимуществ, связанных с развитием коридоров;</w:t>
      </w:r>
    </w:p>
    <w:p w:rsidR="008A0B02" w:rsidRPr="008A0B02" w:rsidRDefault="008A0B02" w:rsidP="0031298D">
      <w:pPr>
        <w:pStyle w:val="Bullet1GR"/>
      </w:pPr>
      <w:r w:rsidRPr="008A0B02">
        <w:t>отсутствие знаний о способах привлечения грузов.</w:t>
      </w:r>
    </w:p>
    <w:p w:rsidR="008A0B02" w:rsidRPr="008A0B02" w:rsidRDefault="008A0B02" w:rsidP="008A0B02">
      <w:pPr>
        <w:pStyle w:val="SingleTxtGR"/>
      </w:pPr>
      <w:r w:rsidRPr="008A0B02">
        <w:t>10.</w:t>
      </w:r>
      <w:r w:rsidRPr="008A0B02">
        <w:tab/>
        <w:t>Информацию о рабочем совещании, доклады и другие материалы см. по адресу www.unece.org/trans/main/wp5/transport_infrastructure_corridors_along_</w:t>
      </w:r>
      <w:r w:rsidR="0031298D" w:rsidRPr="0031298D">
        <w:br/>
      </w:r>
      <w:r w:rsidRPr="008A0B02">
        <w:t>europe_and_asia.html.</w:t>
      </w:r>
    </w:p>
    <w:p w:rsidR="008A0B02" w:rsidRPr="008A0B02" w:rsidRDefault="008A0B02" w:rsidP="0031298D">
      <w:pPr>
        <w:pStyle w:val="H23GR"/>
      </w:pPr>
      <w:r w:rsidRPr="008A0B02">
        <w:tab/>
        <w:t>2.</w:t>
      </w:r>
      <w:r w:rsidRPr="008A0B02">
        <w:tab/>
        <w:t>Мобильность как услуга</w:t>
      </w:r>
    </w:p>
    <w:p w:rsidR="008A0B02" w:rsidRPr="008A0B02" w:rsidRDefault="008A0B02" w:rsidP="008A0B02">
      <w:pPr>
        <w:pStyle w:val="SingleTxtGR"/>
      </w:pPr>
      <w:r w:rsidRPr="008A0B02">
        <w:t>11.</w:t>
      </w:r>
      <w:r w:rsidRPr="008A0B02">
        <w:tab/>
        <w:t>По мере роста числа городов, страдающих от дорожных заторов и загря</w:t>
      </w:r>
      <w:r w:rsidRPr="008A0B02">
        <w:t>з</w:t>
      </w:r>
      <w:r w:rsidRPr="008A0B02">
        <w:t xml:space="preserve">нения окружающей среды, появляются новые </w:t>
      </w:r>
      <w:proofErr w:type="gramStart"/>
      <w:r w:rsidRPr="008A0B02">
        <w:t>бизнес-модели</w:t>
      </w:r>
      <w:proofErr w:type="gramEnd"/>
      <w:r w:rsidRPr="008A0B02">
        <w:t xml:space="preserve"> и технологии для решения проблем, связанных с обеспечением мобильности. В 2014 году гл</w:t>
      </w:r>
      <w:r w:rsidRPr="008A0B02">
        <w:t>о</w:t>
      </w:r>
      <w:r w:rsidRPr="008A0B02">
        <w:t xml:space="preserve">бальные инвестиции капитала в услуги мобильности превысили 5 </w:t>
      </w:r>
      <w:proofErr w:type="gramStart"/>
      <w:r w:rsidRPr="008A0B02">
        <w:t>млрд</w:t>
      </w:r>
      <w:proofErr w:type="gramEnd"/>
      <w:r w:rsidRPr="008A0B02">
        <w:t xml:space="preserve"> долл. США, тогда как в 2009 году их объем составил менее 10 млн долл. США. Ко</w:t>
      </w:r>
      <w:r w:rsidRPr="008A0B02">
        <w:t>м</w:t>
      </w:r>
      <w:r w:rsidRPr="008A0B02">
        <w:t>пании «</w:t>
      </w:r>
      <w:proofErr w:type="spellStart"/>
      <w:r w:rsidRPr="008A0B02">
        <w:t>Диди</w:t>
      </w:r>
      <w:proofErr w:type="spellEnd"/>
      <w:r w:rsidRPr="008A0B02">
        <w:t xml:space="preserve"> </w:t>
      </w:r>
      <w:proofErr w:type="spellStart"/>
      <w:r w:rsidRPr="008A0B02">
        <w:t>Дачэ</w:t>
      </w:r>
      <w:proofErr w:type="spellEnd"/>
      <w:r w:rsidRPr="008A0B02">
        <w:t>» и «</w:t>
      </w:r>
      <w:proofErr w:type="spellStart"/>
      <w:r w:rsidRPr="008A0B02">
        <w:t>Убер</w:t>
      </w:r>
      <w:proofErr w:type="spellEnd"/>
      <w:r w:rsidRPr="008A0B02">
        <w:t xml:space="preserve">» в Китае, насчитывающие более 100 </w:t>
      </w:r>
      <w:proofErr w:type="gramStart"/>
      <w:r w:rsidRPr="008A0B02">
        <w:t>млн</w:t>
      </w:r>
      <w:proofErr w:type="gramEnd"/>
      <w:r w:rsidRPr="008A0B02">
        <w:t xml:space="preserve"> пользов</w:t>
      </w:r>
      <w:r w:rsidRPr="008A0B02">
        <w:t>а</w:t>
      </w:r>
      <w:r w:rsidRPr="008A0B02">
        <w:t>телей в 300 городах, сумели привлечь инвестиции в объеме свыше 800 млн долл. США, тогда как «Ола» – крупнейшая компания такси в Индии с онлайн</w:t>
      </w:r>
      <w:r w:rsidRPr="008A0B02">
        <w:t>о</w:t>
      </w:r>
      <w:r w:rsidRPr="008A0B02">
        <w:lastRenderedPageBreak/>
        <w:t>вым бронированием – на сегодняшний день получила от инвесторов 677 млн долл. США (по данным компании «</w:t>
      </w:r>
      <w:proofErr w:type="spellStart"/>
      <w:r w:rsidRPr="008A0B02">
        <w:t>Маккинзи</w:t>
      </w:r>
      <w:proofErr w:type="spellEnd"/>
      <w:r w:rsidRPr="008A0B02">
        <w:t xml:space="preserve"> энд </w:t>
      </w:r>
      <w:proofErr w:type="spellStart"/>
      <w:r w:rsidRPr="008A0B02">
        <w:t>кампани</w:t>
      </w:r>
      <w:proofErr w:type="spellEnd"/>
      <w:r w:rsidRPr="008A0B02">
        <w:t xml:space="preserve">» за 2017 год). </w:t>
      </w:r>
    </w:p>
    <w:p w:rsidR="008A0B02" w:rsidRPr="008A0B02" w:rsidRDefault="008A0B02" w:rsidP="008A0B02">
      <w:pPr>
        <w:pStyle w:val="SingleTxtGR"/>
      </w:pPr>
      <w:r w:rsidRPr="008A0B02">
        <w:t>12.</w:t>
      </w:r>
      <w:r w:rsidRPr="008A0B02">
        <w:tab/>
        <w:t>Участники рабочего совещания: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a)</w:t>
      </w:r>
      <w:r w:rsidR="008A0B02" w:rsidRPr="008A0B02">
        <w:tab/>
        <w:t>отметили, что мобильность как услуга (МКУ) объединяет разли</w:t>
      </w:r>
      <w:r w:rsidR="008A0B02" w:rsidRPr="008A0B02">
        <w:t>ч</w:t>
      </w:r>
      <w:r w:rsidR="008A0B02" w:rsidRPr="008A0B02">
        <w:t>ные виды транспортного обслуживания в рамках единой услуги по обеспеч</w:t>
      </w:r>
      <w:r w:rsidR="008A0B02" w:rsidRPr="008A0B02">
        <w:t>е</w:t>
      </w:r>
      <w:r w:rsidR="008A0B02" w:rsidRPr="008A0B02">
        <w:t>нию мобильности, которая доступна по запросу. Для удовлетворения потребн</w:t>
      </w:r>
      <w:r w:rsidR="008A0B02" w:rsidRPr="008A0B02">
        <w:t>о</w:t>
      </w:r>
      <w:r w:rsidR="008A0B02" w:rsidRPr="008A0B02">
        <w:t xml:space="preserve">стей заказчиков оператор МКУ предлагает широкий набор вариантов перевозок. МКУ может принести пользователю дополнительную выгоду, поскольку речь идет о единой прикладной программе доступа к мобильности, в которой вместо многочисленных операций по заказу и покупке билетов оплата производится через единый канал; 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b)</w:t>
      </w:r>
      <w:r w:rsidR="008A0B02" w:rsidRPr="008A0B02">
        <w:tab/>
        <w:t xml:space="preserve">напомнили о том, что в мире насчитывается более 1,2 </w:t>
      </w:r>
      <w:proofErr w:type="gramStart"/>
      <w:r w:rsidR="008A0B02" w:rsidRPr="008A0B02">
        <w:t>млрд</w:t>
      </w:r>
      <w:proofErr w:type="gramEnd"/>
      <w:r w:rsidR="008A0B02" w:rsidRPr="008A0B02">
        <w:t xml:space="preserve"> автом</w:t>
      </w:r>
      <w:r w:rsidR="008A0B02" w:rsidRPr="008A0B02">
        <w:t>о</w:t>
      </w:r>
      <w:r w:rsidR="008A0B02" w:rsidRPr="008A0B02">
        <w:t>билей, 22</w:t>
      </w:r>
      <w:r w:rsidRPr="0031298D">
        <w:t>%</w:t>
      </w:r>
      <w:r w:rsidR="008A0B02" w:rsidRPr="008A0B02">
        <w:t xml:space="preserve"> всех углеродсодержащих выбросов приходится на транс</w:t>
      </w:r>
      <w:r>
        <w:t>порт и что 95</w:t>
      </w:r>
      <w:r w:rsidRPr="0031298D">
        <w:t xml:space="preserve">% </w:t>
      </w:r>
      <w:r w:rsidR="008A0B02" w:rsidRPr="008A0B02">
        <w:t>времени автомобили не используются;</w:t>
      </w:r>
    </w:p>
    <w:p w:rsidR="008A0B02" w:rsidRPr="008A0B02" w:rsidRDefault="0031298D" w:rsidP="008A0B02">
      <w:pPr>
        <w:pStyle w:val="SingleTxtGR"/>
      </w:pPr>
      <w:r w:rsidRPr="00C12104">
        <w:tab/>
      </w:r>
      <w:r w:rsidR="008A0B02" w:rsidRPr="008A0B02">
        <w:t>с)</w:t>
      </w:r>
      <w:r w:rsidR="008A0B02" w:rsidRPr="008A0B02">
        <w:tab/>
        <w:t>были проинформированы о том, что муниципалитет Нью-Джерси в США вместо строительства автостоянки принял решение оплачивать услуги «</w:t>
      </w:r>
      <w:proofErr w:type="spellStart"/>
      <w:r w:rsidR="008A0B02" w:rsidRPr="008A0B02">
        <w:t>Убера</w:t>
      </w:r>
      <w:proofErr w:type="spellEnd"/>
      <w:r w:rsidR="008A0B02" w:rsidRPr="008A0B02">
        <w:t>». Городские власти заявили, что это п</w:t>
      </w:r>
      <w:r>
        <w:t>озволит высвободить порядка 100</w:t>
      </w:r>
      <w:r>
        <w:rPr>
          <w:lang w:val="en-US"/>
        </w:rPr>
        <w:t> </w:t>
      </w:r>
      <w:r w:rsidR="008A0B02" w:rsidRPr="008A0B02">
        <w:t>парковочных мест у железнодорожной станции и сэкономить миллионы долларов на строительстве дополнительной парковки;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d)</w:t>
      </w:r>
      <w:r w:rsidR="008A0B02" w:rsidRPr="008A0B02">
        <w:tab/>
        <w:t>были проинформированы о том, что на сегодняшний день на долю перевозок с посадкой и высадкой пассажиров по их просьбе вне установленных зон остановки приходится 4% от общего расстояния, пройд</w:t>
      </w:r>
      <w:r w:rsidR="0009190F">
        <w:t>е</w:t>
      </w:r>
      <w:r w:rsidR="008A0B02" w:rsidRPr="008A0B02">
        <w:t>нного автомобил</w:t>
      </w:r>
      <w:r w:rsidR="008A0B02" w:rsidRPr="008A0B02">
        <w:t>я</w:t>
      </w:r>
      <w:r w:rsidR="008A0B02" w:rsidRPr="008A0B02">
        <w:t>ми во всем мире. По оценкам, к 2030 году эта доля составит 25%;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e)</w:t>
      </w:r>
      <w:r w:rsidR="008A0B02" w:rsidRPr="008A0B02">
        <w:tab/>
        <w:t>отметили, что «Альянс МКУ» представляет собой государственно-частное партнерство, которое заложило основу для единого подхода к МКУ и создало возможности для экономии за счет эффекта масштаба, необходимой для успешного внедрения и распространения МКУ в Европе и за ее пределами. Его основная цель заключается в содействии созданию единого и открытого рынка услуг МКУ и их полному развертыванию;</w:t>
      </w:r>
    </w:p>
    <w:p w:rsidR="008A0B02" w:rsidRPr="008A0B02" w:rsidRDefault="0031298D" w:rsidP="008A0B02">
      <w:pPr>
        <w:pStyle w:val="SingleTxtGR"/>
      </w:pPr>
      <w:r w:rsidRPr="00C12104">
        <w:tab/>
      </w:r>
      <w:r w:rsidR="008A0B02" w:rsidRPr="008A0B02">
        <w:t>f)</w:t>
      </w:r>
      <w:r w:rsidR="008A0B02" w:rsidRPr="008A0B02">
        <w:tab/>
        <w:t>были проинформированы о технологиях и прикладных программах, объединяющих различные транспортные услуги в рамках одного предложения мобильности;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g)</w:t>
      </w:r>
      <w:r w:rsidR="008A0B02" w:rsidRPr="008A0B02">
        <w:tab/>
        <w:t>были проинформированы об инициативах в области железнод</w:t>
      </w:r>
      <w:r w:rsidR="008A0B02" w:rsidRPr="008A0B02">
        <w:t>о</w:t>
      </w:r>
      <w:r w:rsidR="008A0B02" w:rsidRPr="008A0B02">
        <w:t>рожных перевозок по созданию комплексной электронной транспортной сист</w:t>
      </w:r>
      <w:r w:rsidR="008A0B02" w:rsidRPr="008A0B02">
        <w:t>е</w:t>
      </w:r>
      <w:r w:rsidR="008A0B02" w:rsidRPr="008A0B02">
        <w:t>мы с услугами «от двери до двери»;</w:t>
      </w:r>
    </w:p>
    <w:p w:rsidR="008A0B02" w:rsidRPr="008A0B02" w:rsidRDefault="0031298D" w:rsidP="008A0B02">
      <w:pPr>
        <w:pStyle w:val="SingleTxtGR"/>
      </w:pPr>
      <w:r>
        <w:rPr>
          <w:lang w:val="en-US"/>
        </w:rPr>
        <w:tab/>
      </w:r>
      <w:r w:rsidR="008A0B02" w:rsidRPr="008A0B02">
        <w:t>h)</w:t>
      </w:r>
      <w:r w:rsidR="008A0B02" w:rsidRPr="008A0B02">
        <w:tab/>
        <w:t>согласились с тем, что в настоящее время не существует подход</w:t>
      </w:r>
      <w:r w:rsidR="008A0B02" w:rsidRPr="008A0B02">
        <w:t>я</w:t>
      </w:r>
      <w:r w:rsidR="008A0B02" w:rsidRPr="008A0B02">
        <w:t>щих единообразных условий, в которых прикладная программа МКУ может или должна функционировать, особенно в трансграничном контексте.</w:t>
      </w:r>
    </w:p>
    <w:p w:rsidR="008A0B02" w:rsidRPr="008A0B02" w:rsidRDefault="008A0B02" w:rsidP="008A0B02">
      <w:pPr>
        <w:pStyle w:val="SingleTxtGR"/>
      </w:pPr>
      <w:r w:rsidRPr="008A0B02">
        <w:t>13.</w:t>
      </w:r>
      <w:r w:rsidRPr="008A0B02">
        <w:tab/>
        <w:t>Рабочая группа приняла к сведению сообщения экспертов, поблагодарила их за участие и попросила секретариат обеспечить включение этой темы в п</w:t>
      </w:r>
      <w:r w:rsidRPr="008A0B02">
        <w:t>о</w:t>
      </w:r>
      <w:r w:rsidRPr="008A0B02">
        <w:t>вестку дня Рабочей группы на регулярной основе.</w:t>
      </w:r>
    </w:p>
    <w:p w:rsidR="008A0B02" w:rsidRPr="008A0B02" w:rsidRDefault="008A0B02" w:rsidP="008A0B02">
      <w:pPr>
        <w:pStyle w:val="SingleTxtGR"/>
      </w:pPr>
      <w:r w:rsidRPr="008A0B02">
        <w:t>14.</w:t>
      </w:r>
      <w:r w:rsidRPr="008A0B02">
        <w:tab/>
        <w:t>Тезисы, сообщения и все остальные материалы рабочего совещания ра</w:t>
      </w:r>
      <w:r w:rsidRPr="008A0B02">
        <w:t>з</w:t>
      </w:r>
      <w:r w:rsidRPr="008A0B02">
        <w:t>мещены на веб-сайте ЕЭК. См. www.unece.org/trans/main/wp5/mobility_as_a_</w:t>
      </w:r>
      <w:r w:rsidR="0057531D" w:rsidRPr="0057531D">
        <w:br/>
      </w:r>
      <w:r w:rsidRPr="008A0B02">
        <w:t>service.html.</w:t>
      </w:r>
    </w:p>
    <w:p w:rsidR="008A0B02" w:rsidRPr="008A0B02" w:rsidRDefault="008A0B02" w:rsidP="0057531D">
      <w:pPr>
        <w:pStyle w:val="H1GR"/>
      </w:pPr>
      <w:r w:rsidRPr="008A0B02">
        <w:tab/>
        <w:t>C.</w:t>
      </w:r>
      <w:r w:rsidRPr="008A0B02">
        <w:tab/>
        <w:t xml:space="preserve">Группы экспертов </w:t>
      </w:r>
    </w:p>
    <w:p w:rsidR="008A0B02" w:rsidRPr="008A0B02" w:rsidRDefault="008A0B02" w:rsidP="0057531D">
      <w:pPr>
        <w:pStyle w:val="H23GR"/>
      </w:pPr>
      <w:r w:rsidRPr="008A0B02">
        <w:tab/>
        <w:t>1.</w:t>
      </w:r>
      <w:r w:rsidRPr="008A0B02">
        <w:tab/>
        <w:t>Группа экспертов по последствиям изменения климата для международных транспортных сетей и узлов и адаптации к ним</w:t>
      </w:r>
    </w:p>
    <w:p w:rsidR="008A0B02" w:rsidRPr="008A0B02" w:rsidRDefault="008A0B02" w:rsidP="008A0B02">
      <w:pPr>
        <w:pStyle w:val="SingleTxtGR"/>
      </w:pPr>
      <w:r w:rsidRPr="008A0B02">
        <w:t>15.</w:t>
      </w:r>
      <w:r w:rsidRPr="008A0B02">
        <w:tab/>
        <w:t>На втором этапе Группой экспертов был проделан значительный объем аналитической работы, в рамках которой основное внимание было уделено по</w:t>
      </w:r>
      <w:r w:rsidRPr="008A0B02">
        <w:t>д</w:t>
      </w:r>
      <w:r w:rsidRPr="008A0B02">
        <w:t>готовке так называемой «карты горячих точек». На сессиях 2017 года Группа: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lastRenderedPageBreak/>
        <w:tab/>
      </w:r>
      <w:r w:rsidR="008A0B02" w:rsidRPr="008A0B02">
        <w:t>a)</w:t>
      </w:r>
      <w:r w:rsidR="008A0B02" w:rsidRPr="008A0B02">
        <w:tab/>
        <w:t>обсудила результаты первого этапа;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b)</w:t>
      </w:r>
      <w:r w:rsidR="008A0B02" w:rsidRPr="008A0B02">
        <w:tab/>
        <w:t>подготовила и обсудила первую главу своего окончательного д</w:t>
      </w:r>
      <w:r w:rsidR="008A0B02" w:rsidRPr="008A0B02">
        <w:t>о</w:t>
      </w:r>
      <w:r w:rsidR="008A0B02" w:rsidRPr="008A0B02">
        <w:t xml:space="preserve">клада; 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с)</w:t>
      </w:r>
      <w:r w:rsidR="008A0B02" w:rsidRPr="008A0B02">
        <w:tab/>
        <w:t xml:space="preserve">подготовила проект главы о национальной политике, передовом опыте и тематических исследованиях; 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d)</w:t>
      </w:r>
      <w:r w:rsidR="008A0B02" w:rsidRPr="008A0B02">
        <w:tab/>
        <w:t>подготовила, обсудила и проанализировала вопросник, направле</w:t>
      </w:r>
      <w:r w:rsidR="008A0B02" w:rsidRPr="008A0B02">
        <w:t>н</w:t>
      </w:r>
      <w:r w:rsidR="008A0B02" w:rsidRPr="008A0B02">
        <w:t xml:space="preserve">ный правительствам; 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e)</w:t>
      </w:r>
      <w:r w:rsidR="008A0B02" w:rsidRPr="008A0B02">
        <w:tab/>
        <w:t>собрала данные в среде ГИС (из ответов на вопросник или из др</w:t>
      </w:r>
      <w:r w:rsidR="008A0B02" w:rsidRPr="008A0B02">
        <w:t>у</w:t>
      </w:r>
      <w:r w:rsidR="008A0B02" w:rsidRPr="008A0B02">
        <w:t>гих источников, в частности Европейского союза, проекта ЕАТС и обследов</w:t>
      </w:r>
      <w:r w:rsidR="008A0B02" w:rsidRPr="008A0B02">
        <w:t>а</w:t>
      </w:r>
      <w:r w:rsidR="008A0B02" w:rsidRPr="008A0B02">
        <w:t>ний состояния автомобильного и железнодорожного транспорта ЕЭК) о тран</w:t>
      </w:r>
      <w:r w:rsidR="008A0B02" w:rsidRPr="008A0B02">
        <w:t>с</w:t>
      </w:r>
      <w:r w:rsidR="008A0B02" w:rsidRPr="008A0B02">
        <w:t xml:space="preserve">портной инфраструктуре для большинства государств </w:t>
      </w:r>
      <w:r w:rsidR="0009190F">
        <w:t>–</w:t>
      </w:r>
      <w:r w:rsidR="008A0B02" w:rsidRPr="008A0B02">
        <w:t xml:space="preserve"> членов ЕЭК;</w:t>
      </w:r>
    </w:p>
    <w:p w:rsidR="008A0B02" w:rsidRPr="008A0B02" w:rsidRDefault="0057531D" w:rsidP="008A0B02">
      <w:pPr>
        <w:pStyle w:val="SingleTxtGR"/>
      </w:pPr>
      <w:r w:rsidRPr="0009190F">
        <w:tab/>
      </w:r>
      <w:r w:rsidR="008A0B02" w:rsidRPr="008A0B02">
        <w:t>f)</w:t>
      </w:r>
      <w:r w:rsidR="008A0B02" w:rsidRPr="008A0B02">
        <w:tab/>
        <w:t>получила от Всемирной метеорологической организации прогнозы состояния основных климатических параметров, включая количество осадков, температуру и повышение уровня моря, в среде ГИС.</w:t>
      </w:r>
    </w:p>
    <w:p w:rsidR="008A0B02" w:rsidRPr="008A0B02" w:rsidRDefault="008A0B02" w:rsidP="008A0B02">
      <w:pPr>
        <w:pStyle w:val="SingleTxtGR"/>
      </w:pPr>
      <w:r w:rsidRPr="008A0B02">
        <w:t>16.</w:t>
      </w:r>
      <w:r w:rsidRPr="008A0B02">
        <w:tab/>
        <w:t>Вместе с тем для того, чтобы Группа смогла завершить свою работу и д</w:t>
      </w:r>
      <w:r w:rsidRPr="008A0B02">
        <w:t>о</w:t>
      </w:r>
      <w:r w:rsidRPr="008A0B02">
        <w:t>стичь поставленных целей в соответствии с положениям</w:t>
      </w:r>
      <w:proofErr w:type="gramStart"/>
      <w:r w:rsidRPr="008A0B02">
        <w:t>и о ее</w:t>
      </w:r>
      <w:proofErr w:type="gramEnd"/>
      <w:r w:rsidRPr="008A0B02">
        <w:t xml:space="preserve"> круге ведения, еще многое предстоит сделать, в том числе создать «карту горячих точек»</w:t>
      </w:r>
      <w:r w:rsidR="0057531D">
        <w:t>. В</w:t>
      </w:r>
      <w:r w:rsidR="0057531D">
        <w:rPr>
          <w:lang w:val="en-US"/>
        </w:rPr>
        <w:t> </w:t>
      </w:r>
      <w:r w:rsidRPr="008A0B02">
        <w:t>этой связи Группа просила Рабочую группу продлить ее мандат на основе т</w:t>
      </w:r>
      <w:r w:rsidRPr="008A0B02">
        <w:t>о</w:t>
      </w:r>
      <w:r w:rsidRPr="008A0B02">
        <w:t>го же круга ведения еще на один год.</w:t>
      </w:r>
    </w:p>
    <w:p w:rsidR="008A0B02" w:rsidRPr="008A0B02" w:rsidRDefault="008A0B02" w:rsidP="0057531D">
      <w:pPr>
        <w:pStyle w:val="H23GR"/>
      </w:pPr>
      <w:r w:rsidRPr="008A0B02">
        <w:tab/>
        <w:t>2.</w:t>
      </w:r>
      <w:r w:rsidRPr="008A0B02">
        <w:tab/>
        <w:t>Группа экспертов по евро-азиатским транспортным связям</w:t>
      </w:r>
    </w:p>
    <w:p w:rsidR="008A0B02" w:rsidRPr="008A0B02" w:rsidRDefault="008A0B02" w:rsidP="008A0B02">
      <w:pPr>
        <w:pStyle w:val="SingleTxtGR"/>
      </w:pPr>
      <w:r w:rsidRPr="008A0B02">
        <w:t>17.</w:t>
      </w:r>
      <w:r w:rsidRPr="008A0B02">
        <w:tab/>
        <w:t>Группа экспертов завершила третий этап своей работы и представила свой окончательный доклад. Рабочая группа высоко оценила усилия экспертов, поблагодарила их за прекрасную работу и утвердила с поправками окончател</w:t>
      </w:r>
      <w:r w:rsidRPr="008A0B02">
        <w:t>ь</w:t>
      </w:r>
      <w:r w:rsidRPr="008A0B02">
        <w:t>ный доклад Группы. Рабочая группа поручила секретариату с учетом итогов третьего этапа работы Группы организовать на своей следующей сессии ме</w:t>
      </w:r>
      <w:r w:rsidRPr="008A0B02">
        <w:t>ж</w:t>
      </w:r>
      <w:r w:rsidRPr="008A0B02">
        <w:t>дународную конференцию по теме «Введение в действие евро-азиатских кор</w:t>
      </w:r>
      <w:r w:rsidRPr="008A0B02">
        <w:t>и</w:t>
      </w:r>
      <w:r w:rsidRPr="008A0B02">
        <w:t>доров» и пригласить для участия в ней правительства, экспедиторов, грузоо</w:t>
      </w:r>
      <w:r w:rsidRPr="008A0B02">
        <w:t>т</w:t>
      </w:r>
      <w:r w:rsidRPr="008A0B02">
        <w:t>правителей и железнодорожные предприятия.</w:t>
      </w:r>
    </w:p>
    <w:p w:rsidR="008A0B02" w:rsidRPr="008A0B02" w:rsidRDefault="008A0B02" w:rsidP="0057531D">
      <w:pPr>
        <w:pStyle w:val="H23GR"/>
      </w:pPr>
      <w:r w:rsidRPr="008A0B02">
        <w:tab/>
        <w:t>3.</w:t>
      </w:r>
      <w:r w:rsidRPr="008A0B02">
        <w:tab/>
        <w:t xml:space="preserve">Группа экспертов по сопоставительному анализу затрат на строительство транспортной инфраструктуры </w:t>
      </w:r>
    </w:p>
    <w:p w:rsidR="008A0B02" w:rsidRPr="008A0B02" w:rsidRDefault="008A0B02" w:rsidP="008A0B02">
      <w:pPr>
        <w:pStyle w:val="SingleTxtGR"/>
      </w:pPr>
      <w:r w:rsidRPr="008A0B02">
        <w:t>18.</w:t>
      </w:r>
      <w:r w:rsidRPr="008A0B02">
        <w:tab/>
        <w:t>Сопоставительный анализ затрат на строительство транспортной инфр</w:t>
      </w:r>
      <w:r w:rsidRPr="008A0B02">
        <w:t>а</w:t>
      </w:r>
      <w:r w:rsidRPr="008A0B02">
        <w:t>структуры имеет крайне важное значение для получения представления о р</w:t>
      </w:r>
      <w:r w:rsidRPr="008A0B02">
        <w:t>е</w:t>
      </w:r>
      <w:r w:rsidRPr="008A0B02">
        <w:t>альной стоимости строительства, усиления роли руководства и реализации ст</w:t>
      </w:r>
      <w:r w:rsidRPr="008A0B02">
        <w:t>а</w:t>
      </w:r>
      <w:r w:rsidRPr="008A0B02">
        <w:t>бильной инвестиционной программы без непредвиденного роста затрат. Такой анализ строительных затрат может быть полезным также для составления см</w:t>
      </w:r>
      <w:r w:rsidRPr="008A0B02">
        <w:t>е</w:t>
      </w:r>
      <w:r w:rsidRPr="008A0B02">
        <w:t>ты проектных расходов и контроля за ними. Срок действия мандата Группы с</w:t>
      </w:r>
      <w:r w:rsidRPr="008A0B02">
        <w:t>о</w:t>
      </w:r>
      <w:r w:rsidRPr="008A0B02">
        <w:t>ставляет два года, а деятельность ее экспертов сосредоточена на следующем: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a)</w:t>
      </w:r>
      <w:r w:rsidR="008A0B02" w:rsidRPr="008A0B02">
        <w:tab/>
        <w:t>выявление моделей, методологий, инструментов и образцов опт</w:t>
      </w:r>
      <w:r w:rsidR="008A0B02" w:rsidRPr="008A0B02">
        <w:t>и</w:t>
      </w:r>
      <w:r w:rsidR="008A0B02" w:rsidRPr="008A0B02">
        <w:t>мальной практики для оценки, расчета и анализа затрат на строительство и</w:t>
      </w:r>
      <w:r w:rsidR="008A0B02" w:rsidRPr="008A0B02">
        <w:t>н</w:t>
      </w:r>
      <w:r w:rsidR="008A0B02" w:rsidRPr="008A0B02">
        <w:t>фраструктуры внутреннего транспорта;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b)</w:t>
      </w:r>
      <w:r w:rsidR="008A0B02" w:rsidRPr="008A0B02">
        <w:tab/>
        <w:t>выявление и составление списков терминов, используемых в рег</w:t>
      </w:r>
      <w:r w:rsidR="008A0B02" w:rsidRPr="008A0B02">
        <w:t>и</w:t>
      </w:r>
      <w:r w:rsidR="008A0B02" w:rsidRPr="008A0B02">
        <w:t>оне ЕЭК в связи с затратами на строительство инфраструктуры внутреннего транспорта. По возможности создание глоссария согласованных терминов с с</w:t>
      </w:r>
      <w:r w:rsidR="008A0B02" w:rsidRPr="008A0B02">
        <w:t>о</w:t>
      </w:r>
      <w:r w:rsidR="008A0B02" w:rsidRPr="008A0B02">
        <w:t>ответствующими пояснениями;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с)</w:t>
      </w:r>
      <w:r w:rsidR="008A0B02" w:rsidRPr="008A0B02">
        <w:tab/>
        <w:t>сбор и анализ данных для подготовки сопоставительного анализа затрат на строительство транспортной инфраструктуры в регионе ЕЭК по ка</w:t>
      </w:r>
      <w:r w:rsidR="008A0B02" w:rsidRPr="008A0B02">
        <w:t>ж</w:t>
      </w:r>
      <w:r w:rsidR="008A0B02" w:rsidRPr="008A0B02">
        <w:t>дому виду внутреннего транспорта (автомобильный, железнодорожный, вну</w:t>
      </w:r>
      <w:r w:rsidR="008A0B02" w:rsidRPr="008A0B02">
        <w:t>т</w:t>
      </w:r>
      <w:r w:rsidR="008A0B02" w:rsidRPr="008A0B02">
        <w:t xml:space="preserve">ренний водный), включая </w:t>
      </w:r>
      <w:proofErr w:type="spellStart"/>
      <w:r w:rsidR="008A0B02" w:rsidRPr="008A0B02">
        <w:t>интермодальные</w:t>
      </w:r>
      <w:proofErr w:type="spellEnd"/>
      <w:r w:rsidR="008A0B02" w:rsidRPr="008A0B02">
        <w:t xml:space="preserve"> терминалы, грузовые/логистические центры и порты; 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d)</w:t>
      </w:r>
      <w:r w:rsidR="008A0B02" w:rsidRPr="008A0B02">
        <w:tab/>
        <w:t>анализ и описание условий/параметров расчета этих затрат.</w:t>
      </w:r>
    </w:p>
    <w:p w:rsidR="008A0B02" w:rsidRPr="008A0B02" w:rsidRDefault="008A0B02" w:rsidP="008A0B02">
      <w:pPr>
        <w:pStyle w:val="SingleTxtGR"/>
      </w:pPr>
      <w:r w:rsidRPr="008A0B02">
        <w:lastRenderedPageBreak/>
        <w:t xml:space="preserve">19. </w:t>
      </w:r>
      <w:r w:rsidRPr="008A0B02">
        <w:tab/>
        <w:t xml:space="preserve">После формирования групп, назначения их руководителей и подготовки соответствующих документов работа по автомобильным дорогам, портам и </w:t>
      </w:r>
      <w:proofErr w:type="spellStart"/>
      <w:r w:rsidRPr="008A0B02">
        <w:t>и</w:t>
      </w:r>
      <w:r w:rsidRPr="008A0B02">
        <w:t>н</w:t>
      </w:r>
      <w:r w:rsidRPr="008A0B02">
        <w:t>термодальным</w:t>
      </w:r>
      <w:proofErr w:type="spellEnd"/>
      <w:r w:rsidRPr="008A0B02">
        <w:t xml:space="preserve"> терминалам успешно продвигается. В то же время ситуация в отношении железных дорог и внутренних водных путей обстоит иначе. Секр</w:t>
      </w:r>
      <w:r w:rsidRPr="008A0B02">
        <w:t>е</w:t>
      </w:r>
      <w:r w:rsidRPr="008A0B02">
        <w:t>тариат подготовил соответствующие документы (терминологию и вопросник для сравнительного анализа) и пытается привлечь к активному участию экспе</w:t>
      </w:r>
      <w:r w:rsidRPr="008A0B02">
        <w:t>р</w:t>
      </w:r>
      <w:r w:rsidRPr="008A0B02">
        <w:t>тов от правитель</w:t>
      </w:r>
      <w:proofErr w:type="gramStart"/>
      <w:r w:rsidRPr="008A0B02">
        <w:t>ств дл</w:t>
      </w:r>
      <w:proofErr w:type="gramEnd"/>
      <w:r w:rsidRPr="008A0B02">
        <w:t xml:space="preserve">я рассмотрения и доработки этих документов. </w:t>
      </w:r>
    </w:p>
    <w:p w:rsidR="008A0B02" w:rsidRPr="008A0B02" w:rsidRDefault="008A0B02" w:rsidP="0057531D">
      <w:pPr>
        <w:pStyle w:val="H1GR"/>
      </w:pPr>
      <w:r w:rsidRPr="008A0B02">
        <w:tab/>
        <w:t xml:space="preserve">D. </w:t>
      </w:r>
      <w:r w:rsidRPr="008A0B02">
        <w:tab/>
        <w:t>Проекты</w:t>
      </w:r>
    </w:p>
    <w:p w:rsidR="008A0B02" w:rsidRPr="008A0B02" w:rsidRDefault="008A0B02" w:rsidP="0057531D">
      <w:pPr>
        <w:pStyle w:val="H23GR"/>
      </w:pPr>
      <w:r w:rsidRPr="008A0B02">
        <w:tab/>
        <w:t xml:space="preserve">1. </w:t>
      </w:r>
      <w:r w:rsidRPr="008A0B02">
        <w:tab/>
        <w:t>Общеевропейский генеральный план развития ин</w:t>
      </w:r>
      <w:r w:rsidR="0057531D">
        <w:t>фраструктуры для</w:t>
      </w:r>
      <w:r w:rsidR="0057531D">
        <w:rPr>
          <w:lang w:val="en-US"/>
        </w:rPr>
        <w:t> </w:t>
      </w:r>
      <w:r w:rsidRPr="008A0B02">
        <w:t xml:space="preserve">велосипедного движения </w:t>
      </w:r>
    </w:p>
    <w:p w:rsidR="008A0B02" w:rsidRPr="008A0B02" w:rsidRDefault="008A0B02" w:rsidP="008A0B02">
      <w:pPr>
        <w:pStyle w:val="SingleTxtGR"/>
      </w:pPr>
      <w:r w:rsidRPr="008A0B02">
        <w:t xml:space="preserve">20. </w:t>
      </w:r>
      <w:r w:rsidRPr="008A0B02">
        <w:tab/>
        <w:t>Во исполнение мандата, предоставленного ей КВТ, Рабочая группа ра</w:t>
      </w:r>
      <w:r w:rsidRPr="008A0B02">
        <w:t>с</w:t>
      </w:r>
      <w:r w:rsidRPr="008A0B02">
        <w:t>смотрела вопрос о сотрудничестве с Общеевропейской программой по тран</w:t>
      </w:r>
      <w:r w:rsidRPr="008A0B02">
        <w:t>с</w:t>
      </w:r>
      <w:r w:rsidRPr="008A0B02">
        <w:t>порту, окружающей среде и охране здоровья (ОПТОСОЗ) в области разработки общеевропейского генерального плана для велосипедного движения.</w:t>
      </w:r>
    </w:p>
    <w:p w:rsidR="008A0B02" w:rsidRPr="008A0B02" w:rsidRDefault="008A0B02" w:rsidP="008A0B02">
      <w:pPr>
        <w:pStyle w:val="SingleTxtGR"/>
      </w:pPr>
      <w:r w:rsidRPr="008A0B02">
        <w:t xml:space="preserve">21. </w:t>
      </w:r>
      <w:r w:rsidRPr="008A0B02">
        <w:tab/>
        <w:t>В ходе совещания руководителей групп в рамках Партнерства ОПТОСОЗ по велосипедному движению (2 июня 2016 года, Кельн, Германия) был пре</w:t>
      </w:r>
      <w:r w:rsidRPr="008A0B02">
        <w:t>д</w:t>
      </w:r>
      <w:r w:rsidRPr="008A0B02">
        <w:t>ставлен опыт ЕЭК в сфере разработк</w:t>
      </w:r>
      <w:r w:rsidR="0009190F">
        <w:t>и</w:t>
      </w:r>
      <w:r w:rsidRPr="008A0B02">
        <w:t xml:space="preserve"> таких генеральных планов, как планы ТЕА/ТЕЖ и ЕАТС. Руководители групп в рамках Партнерства решили, что О</w:t>
      </w:r>
      <w:r w:rsidRPr="008A0B02">
        <w:t>т</w:t>
      </w:r>
      <w:r w:rsidRPr="008A0B02">
        <w:t>дел устойчивого транспорта, и в частности WP.5, должен играть ведущую роль в деле разработки генерального плана для велосипедного движения. Внебю</w:t>
      </w:r>
      <w:r w:rsidRPr="008A0B02">
        <w:t>д</w:t>
      </w:r>
      <w:r w:rsidRPr="008A0B02">
        <w:t>жетные ресурсы, необходимые для этой деятельности, в частности для оплаты услуг консультант</w:t>
      </w:r>
      <w:proofErr w:type="gramStart"/>
      <w:r w:rsidRPr="008A0B02">
        <w:t>а(</w:t>
      </w:r>
      <w:proofErr w:type="spellStart"/>
      <w:proofErr w:type="gramEnd"/>
      <w:r w:rsidRPr="008A0B02">
        <w:t>ов</w:t>
      </w:r>
      <w:proofErr w:type="spellEnd"/>
      <w:r w:rsidRPr="008A0B02">
        <w:t>), будут обеспечиваться через Целевой фонд ОПТОСОЗ.</w:t>
      </w:r>
    </w:p>
    <w:p w:rsidR="008A0B02" w:rsidRPr="008A0B02" w:rsidRDefault="008A0B02" w:rsidP="0057531D">
      <w:pPr>
        <w:pStyle w:val="H23GR"/>
      </w:pPr>
      <w:r w:rsidRPr="008A0B02">
        <w:tab/>
        <w:t xml:space="preserve">2. </w:t>
      </w:r>
      <w:r w:rsidRPr="008A0B02">
        <w:tab/>
        <w:t>Укрепление сообщения между странам</w:t>
      </w:r>
      <w:r w:rsidR="0057531D">
        <w:t>и в Южной и Центральной Азии, в</w:t>
      </w:r>
      <w:r w:rsidR="0057531D">
        <w:rPr>
          <w:lang w:val="en-US"/>
        </w:rPr>
        <w:t> </w:t>
      </w:r>
      <w:r w:rsidRPr="008A0B02">
        <w:t xml:space="preserve">частности не имеющими выхода к морю и наименее развитыми странами, в целях их присоединения к субрегиональным и региональным транспортным и торговым сетям (в сотрудничестве с ЭСКАТО) </w:t>
      </w:r>
    </w:p>
    <w:p w:rsidR="008A0B02" w:rsidRPr="008A0B02" w:rsidRDefault="008A0B02" w:rsidP="008A0B02">
      <w:pPr>
        <w:pStyle w:val="SingleTxtGR"/>
      </w:pPr>
      <w:r w:rsidRPr="008A0B02">
        <w:t xml:space="preserve">22. </w:t>
      </w:r>
      <w:r w:rsidRPr="008A0B02">
        <w:tab/>
        <w:t>Этот проект призван повысить потенциал заинтересованных сторон в странах Южной и Центральной Азии, особенно в не имеющих выхода к морю наименее развитых странах и других наименее развитых странах (НРСНВМ и НРС), для укрепления связей этих госуда</w:t>
      </w:r>
      <w:proofErr w:type="gramStart"/>
      <w:r w:rsidRPr="008A0B02">
        <w:t>рств с с</w:t>
      </w:r>
      <w:proofErr w:type="gramEnd"/>
      <w:r w:rsidRPr="008A0B02">
        <w:t>убрегиональными и реги</w:t>
      </w:r>
      <w:r w:rsidRPr="008A0B02">
        <w:t>о</w:t>
      </w:r>
      <w:r w:rsidRPr="008A0B02">
        <w:t>нальными транспортными и торговыми сетями.</w:t>
      </w:r>
    </w:p>
    <w:p w:rsidR="008A0B02" w:rsidRPr="008A0B02" w:rsidRDefault="008A0B02" w:rsidP="008A0B02">
      <w:pPr>
        <w:pStyle w:val="SingleTxtGR"/>
      </w:pPr>
      <w:r w:rsidRPr="008A0B02">
        <w:t xml:space="preserve">23. </w:t>
      </w:r>
      <w:r w:rsidRPr="008A0B02">
        <w:tab/>
        <w:t>Таким образом, этот проект направлен на изучение следующих возмо</w:t>
      </w:r>
      <w:r w:rsidRPr="008A0B02">
        <w:t>ж</w:t>
      </w:r>
      <w:r w:rsidRPr="008A0B02">
        <w:t>ностей: a) налаживание связей этих стран с существующими и предлагаемыми субрегиональными сетями автомобильных и железных дорог вдоль коридоров Сети азиатских автомобильных дорог (AH), Трансазиатской железной дороги (ТАЖД) и евро-азиатских транспортных связей (ЕАТС) при минимальном об</w:t>
      </w:r>
      <w:r w:rsidRPr="008A0B02">
        <w:t>ъ</w:t>
      </w:r>
      <w:r w:rsidRPr="008A0B02">
        <w:t xml:space="preserve">еме инвестиций; </w:t>
      </w:r>
      <w:proofErr w:type="gramStart"/>
      <w:r w:rsidRPr="008A0B02">
        <w:t xml:space="preserve">b) содействие передвижению по этим коридорам товаров на взаимовыгодной основе, особенно для НРСНВМ и НРС в этих </w:t>
      </w:r>
      <w:proofErr w:type="spellStart"/>
      <w:r w:rsidRPr="008A0B02">
        <w:t>субрегионах</w:t>
      </w:r>
      <w:proofErr w:type="spellEnd"/>
      <w:r w:rsidR="0009190F">
        <w:t>; и </w:t>
      </w:r>
      <w:r w:rsidRPr="008A0B02">
        <w:t>c) содействие торговле и инвестициям с поощрением безбумажной торговли и созданием экономических коридоров в пунктах пересечения границ, которые могли бы представлять особый интерес для НРСНВМ и стран, переживших конфликты, таких как Афганистан.</w:t>
      </w:r>
      <w:proofErr w:type="gramEnd"/>
      <w:r w:rsidRPr="008A0B02">
        <w:t xml:space="preserve"> Эти страны стремятся перестроить свою экономику путем расширения доступа к формирующимся в их регионе рынкам и укрепления связей, которые могли бы принести экономическую выгоду и сп</w:t>
      </w:r>
      <w:r w:rsidRPr="008A0B02">
        <w:t>о</w:t>
      </w:r>
      <w:r w:rsidRPr="008A0B02">
        <w:t>собствовать восстановлению мира и стабильности.</w:t>
      </w:r>
    </w:p>
    <w:p w:rsidR="008A0B02" w:rsidRPr="008A0B02" w:rsidRDefault="0057531D" w:rsidP="0057531D">
      <w:pPr>
        <w:pStyle w:val="H23GR"/>
      </w:pPr>
      <w:r>
        <w:rPr>
          <w:lang w:val="en-US"/>
        </w:rPr>
        <w:tab/>
      </w:r>
      <w:r w:rsidR="008A0B02" w:rsidRPr="008A0B02">
        <w:t>3.</w:t>
      </w:r>
      <w:r w:rsidR="008A0B02" w:rsidRPr="008A0B02">
        <w:tab/>
        <w:t xml:space="preserve">Укрепление региональных связей с помощью базы данных Географической информационной системы (в сотрудничестве с Исламским банком развития) </w:t>
      </w:r>
    </w:p>
    <w:p w:rsidR="008A0B02" w:rsidRPr="008A0B02" w:rsidRDefault="008A0B02" w:rsidP="008A0B02">
      <w:pPr>
        <w:pStyle w:val="SingleTxtGR"/>
      </w:pPr>
      <w:r w:rsidRPr="008A0B02">
        <w:t>24.</w:t>
      </w:r>
      <w:r w:rsidRPr="008A0B02">
        <w:tab/>
        <w:t>Этот прое</w:t>
      </w:r>
      <w:proofErr w:type="gramStart"/>
      <w:r w:rsidRPr="008A0B02">
        <w:t>кт вкл</w:t>
      </w:r>
      <w:proofErr w:type="gramEnd"/>
      <w:r w:rsidRPr="008A0B02">
        <w:t>ючает четыре компонента: создание базы данных ГИС, подготовку перечня потенциальных инвестиционных проектов и определение их первоочередности, а также проведение двух региональных исследований по следующим темам: «Сопоставительный анализ затрат на строительство и о</w:t>
      </w:r>
      <w:r w:rsidRPr="008A0B02">
        <w:t>б</w:t>
      </w:r>
      <w:r w:rsidRPr="008A0B02">
        <w:lastRenderedPageBreak/>
        <w:t xml:space="preserve">служивание транспортной инфраструктуры» и «Организация </w:t>
      </w:r>
      <w:proofErr w:type="spellStart"/>
      <w:r w:rsidRPr="008A0B02">
        <w:t>мультидонорских</w:t>
      </w:r>
      <w:proofErr w:type="spellEnd"/>
      <w:r w:rsidRPr="008A0B02">
        <w:t xml:space="preserve"> кредитных линий для финансирования проектов регионального сотрудничества и интеграции (</w:t>
      </w:r>
      <w:proofErr w:type="spellStart"/>
      <w:r w:rsidRPr="008A0B02">
        <w:t>РСиИ</w:t>
      </w:r>
      <w:proofErr w:type="spellEnd"/>
      <w:r w:rsidRPr="008A0B02">
        <w:t xml:space="preserve">)». </w:t>
      </w:r>
      <w:proofErr w:type="gramStart"/>
      <w:r w:rsidRPr="008A0B02">
        <w:t>Странами-бенефициарами этого проекта являются А</w:t>
      </w:r>
      <w:r w:rsidRPr="008A0B02">
        <w:t>л</w:t>
      </w:r>
      <w:r w:rsidRPr="008A0B02">
        <w:t>бания, Афганистан, Азербайджан, Исламская Республика Иран, Казахстан, Кыргызстан, Пакистан, Таджикистан, Турция, Туркменистан и Узбекистан.</w:t>
      </w:r>
      <w:proofErr w:type="gramEnd"/>
    </w:p>
    <w:p w:rsidR="008A0B02" w:rsidRPr="008A0B02" w:rsidRDefault="008A0B02" w:rsidP="0057531D">
      <w:pPr>
        <w:pStyle w:val="HChGR"/>
      </w:pPr>
      <w:r w:rsidRPr="008A0B02">
        <w:tab/>
        <w:t>II.</w:t>
      </w:r>
      <w:r w:rsidRPr="008A0B02">
        <w:tab/>
        <w:t>Аналитическая деятельность Отдела устойчивого транспорта</w:t>
      </w:r>
    </w:p>
    <w:p w:rsidR="008A0B02" w:rsidRPr="008A0B02" w:rsidRDefault="008A0B02" w:rsidP="0057531D">
      <w:pPr>
        <w:pStyle w:val="H1GR"/>
      </w:pPr>
      <w:r w:rsidRPr="008A0B02">
        <w:tab/>
        <w:t>A.</w:t>
      </w:r>
      <w:r w:rsidRPr="008A0B02">
        <w:tab/>
        <w:t>Аналитические инструменты, разработанные Отделом</w:t>
      </w:r>
    </w:p>
    <w:p w:rsidR="008A0B02" w:rsidRPr="008A0B02" w:rsidRDefault="008A0B02" w:rsidP="0057531D">
      <w:pPr>
        <w:pStyle w:val="H23GR"/>
      </w:pPr>
      <w:r w:rsidRPr="008A0B02">
        <w:tab/>
        <w:t>1.</w:t>
      </w:r>
      <w:r w:rsidRPr="008A0B02">
        <w:tab/>
        <w:t>Инструмент «В интересах будущих систем внутреннего транспорта»</w:t>
      </w:r>
    </w:p>
    <w:p w:rsidR="008A0B02" w:rsidRPr="008A0B02" w:rsidRDefault="008A0B02" w:rsidP="008A0B02">
      <w:pPr>
        <w:pStyle w:val="SingleTxtGR"/>
      </w:pPr>
      <w:r w:rsidRPr="008A0B02">
        <w:t>25.</w:t>
      </w:r>
      <w:r w:rsidRPr="008A0B02">
        <w:tab/>
        <w:t>Инструмент «В интересах будущих систем внутреннего транспорта» (</w:t>
      </w:r>
      <w:proofErr w:type="spellStart"/>
      <w:r w:rsidRPr="008A0B02">
        <w:t>ForFITS</w:t>
      </w:r>
      <w:proofErr w:type="spellEnd"/>
      <w:r w:rsidRPr="008A0B02">
        <w:t xml:space="preserve">) представляет собой превосходный аналитический продукт, который был разработан в рамках проекта по наращиванию потенциала, </w:t>
      </w:r>
      <w:proofErr w:type="spellStart"/>
      <w:r w:rsidRPr="008A0B02">
        <w:t>финансирова</w:t>
      </w:r>
      <w:r w:rsidRPr="008A0B02">
        <w:t>в</w:t>
      </w:r>
      <w:r w:rsidRPr="008A0B02">
        <w:t>шегося</w:t>
      </w:r>
      <w:proofErr w:type="spellEnd"/>
      <w:r w:rsidRPr="008A0B02">
        <w:t xml:space="preserve"> по линии Счета развития Организации Объединенных Наций. Этот и</w:t>
      </w:r>
      <w:r w:rsidRPr="008A0B02">
        <w:t>н</w:t>
      </w:r>
      <w:r w:rsidRPr="008A0B02">
        <w:t>струмент может способствовать диалогу по вопросам политики и укреплению потенциала в деле решения проблем, связанных со смягчением последствий изменения климата для транспорта; он может также использоваться в качестве основного инструмента в рамках исследований на местном, национальном, су</w:t>
      </w:r>
      <w:r w:rsidRPr="008A0B02">
        <w:t>б</w:t>
      </w:r>
      <w:r w:rsidRPr="008A0B02">
        <w:t>региональном, региональном и глобальном уровнях. Отдел подготовил дву</w:t>
      </w:r>
      <w:r w:rsidRPr="008A0B02">
        <w:t>х</w:t>
      </w:r>
      <w:r w:rsidRPr="008A0B02">
        <w:t>летний план работы, нацеленный на расширение масштабов применения и</w:t>
      </w:r>
      <w:r w:rsidRPr="008A0B02">
        <w:t>н</w:t>
      </w:r>
      <w:r w:rsidRPr="008A0B02">
        <w:t xml:space="preserve">струмента </w:t>
      </w:r>
      <w:proofErr w:type="spellStart"/>
      <w:r w:rsidRPr="008A0B02">
        <w:t>ForFITs</w:t>
      </w:r>
      <w:proofErr w:type="spellEnd"/>
      <w:r w:rsidRPr="008A0B02">
        <w:t xml:space="preserve"> и дальнейшее </w:t>
      </w:r>
      <w:proofErr w:type="gramStart"/>
      <w:r w:rsidRPr="008A0B02">
        <w:t>развитие</w:t>
      </w:r>
      <w:proofErr w:type="gramEnd"/>
      <w:r w:rsidRPr="008A0B02">
        <w:t xml:space="preserve"> и совершенствование этой модели. Более подробную информацию см. в неофициальном документе № 4. Нижесл</w:t>
      </w:r>
      <w:r w:rsidRPr="008A0B02">
        <w:t>е</w:t>
      </w:r>
      <w:r w:rsidRPr="008A0B02">
        <w:t>дующие виды деятельности, предусмотренные в плане работы, требуют моб</w:t>
      </w:r>
      <w:r w:rsidRPr="008A0B02">
        <w:t>и</w:t>
      </w:r>
      <w:r w:rsidRPr="008A0B02">
        <w:t>лизации сре</w:t>
      </w:r>
      <w:proofErr w:type="gramStart"/>
      <w:r w:rsidRPr="008A0B02">
        <w:t>дств дл</w:t>
      </w:r>
      <w:proofErr w:type="gramEnd"/>
      <w:r w:rsidRPr="008A0B02">
        <w:t>я осуществления внебюджетных проектов</w:t>
      </w:r>
      <w:bookmarkStart w:id="1" w:name="hit1"/>
      <w:bookmarkEnd w:id="1"/>
      <w:r w:rsidRPr="008A0B02">
        <w:t>:</w:t>
      </w:r>
    </w:p>
    <w:p w:rsidR="008A0B02" w:rsidRPr="008A0B02" w:rsidRDefault="0057531D" w:rsidP="008A0B02">
      <w:pPr>
        <w:pStyle w:val="SingleTxtGR"/>
      </w:pPr>
      <w:r w:rsidRPr="00C12104">
        <w:tab/>
      </w:r>
      <w:r w:rsidR="008A0B02" w:rsidRPr="008A0B02">
        <w:t>a)</w:t>
      </w:r>
      <w:r w:rsidR="008A0B02" w:rsidRPr="008A0B02">
        <w:tab/>
        <w:t>разработка нового модуля для местных загрязнителей;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b)</w:t>
      </w:r>
      <w:r w:rsidR="008A0B02" w:rsidRPr="008A0B02">
        <w:tab/>
        <w:t>разработка нового модуля для внедорожной подвижной техники;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с)</w:t>
      </w:r>
      <w:r w:rsidR="008A0B02" w:rsidRPr="008A0B02">
        <w:tab/>
        <w:t>разработка нового интерфейса пользователя;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d)</w:t>
      </w:r>
      <w:r w:rsidR="008A0B02" w:rsidRPr="008A0B02">
        <w:tab/>
        <w:t>учебные занятия;</w:t>
      </w:r>
    </w:p>
    <w:p w:rsidR="008A0B02" w:rsidRPr="008A0B02" w:rsidRDefault="0057531D" w:rsidP="008A0B02">
      <w:pPr>
        <w:pStyle w:val="SingleTxtGR"/>
      </w:pPr>
      <w:r>
        <w:rPr>
          <w:lang w:val="en-US"/>
        </w:rPr>
        <w:tab/>
      </w:r>
      <w:r w:rsidR="008A0B02" w:rsidRPr="008A0B02">
        <w:t>e)</w:t>
      </w:r>
      <w:r w:rsidR="008A0B02" w:rsidRPr="008A0B02">
        <w:tab/>
        <w:t>конкретные аналитические исследования по отдельным странам.</w:t>
      </w:r>
    </w:p>
    <w:p w:rsidR="008A0B02" w:rsidRPr="008A0B02" w:rsidRDefault="008A0B02" w:rsidP="0057531D">
      <w:pPr>
        <w:pStyle w:val="H23GR"/>
      </w:pPr>
      <w:r w:rsidRPr="008A0B02">
        <w:tab/>
        <w:t xml:space="preserve">2. </w:t>
      </w:r>
      <w:r w:rsidRPr="008A0B02">
        <w:tab/>
        <w:t>Проект «Безопасные будущие системы внутреннего транспорта»</w:t>
      </w:r>
    </w:p>
    <w:p w:rsidR="008A0B02" w:rsidRPr="008A0B02" w:rsidRDefault="008A0B02" w:rsidP="008A0B02">
      <w:pPr>
        <w:pStyle w:val="SingleTxtGR"/>
      </w:pPr>
      <w:r w:rsidRPr="008A0B02">
        <w:t xml:space="preserve">26. </w:t>
      </w:r>
      <w:r w:rsidRPr="008A0B02">
        <w:tab/>
        <w:t>Модель безопасности дорожного движения «Безопасные будущие сист</w:t>
      </w:r>
      <w:r w:rsidRPr="008A0B02">
        <w:t>е</w:t>
      </w:r>
      <w:r w:rsidRPr="008A0B02">
        <w:t>мы внутреннего транспорта (</w:t>
      </w:r>
      <w:proofErr w:type="spellStart"/>
      <w:r w:rsidRPr="008A0B02">
        <w:t>SafeFITS</w:t>
      </w:r>
      <w:proofErr w:type="spellEnd"/>
      <w:r w:rsidRPr="008A0B02">
        <w:t>)» призвана служить подспорьем в прин</w:t>
      </w:r>
      <w:r w:rsidRPr="008A0B02">
        <w:t>я</w:t>
      </w:r>
      <w:r w:rsidRPr="008A0B02">
        <w:t xml:space="preserve">тии опирающихся на знания решений по вопросам транспортной политики, направленной на сокращение дорожно-транспортного травматизма. Основная задача </w:t>
      </w:r>
      <w:proofErr w:type="spellStart"/>
      <w:r w:rsidRPr="008A0B02">
        <w:t>SafeFITS</w:t>
      </w:r>
      <w:proofErr w:type="spellEnd"/>
      <w:r w:rsidRPr="008A0B02">
        <w:t xml:space="preserve"> состоит в оказании правительствам и директивным органам развитых и развивающихся стран поддержки в принятии решений о наиболее целесообразных стратегиях и мерах укрепления безопасности дорожного дв</w:t>
      </w:r>
      <w:r w:rsidRPr="008A0B02">
        <w:t>и</w:t>
      </w:r>
      <w:r w:rsidRPr="008A0B02">
        <w:t>жения, которые бы дали ощутимые результаты. Эта модель будет опираться на данные о динамике ситуации с безопасностью дорожного движения за длител</w:t>
      </w:r>
      <w:r w:rsidRPr="008A0B02">
        <w:t>ь</w:t>
      </w:r>
      <w:r w:rsidRPr="008A0B02">
        <w:t>ный период времени и взаимосвязи между несколькими ее параметрами и по</w:t>
      </w:r>
      <w:r w:rsidRPr="008A0B02">
        <w:t>з</w:t>
      </w:r>
      <w:r w:rsidRPr="008A0B02">
        <w:t>волит получать информацию о результатах применения различных сценариев безопасности дорожного движения на основе выбранных стратегий и мер (ECE/TRANS/2018/6).</w:t>
      </w:r>
    </w:p>
    <w:p w:rsidR="0031298D" w:rsidRPr="00401A04" w:rsidRDefault="0031298D" w:rsidP="0057531D">
      <w:pPr>
        <w:pStyle w:val="H1GR"/>
        <w:pageBreakBefore/>
      </w:pPr>
      <w:r w:rsidRPr="00401A04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C784A62" wp14:editId="5DCA764E">
            <wp:simplePos x="0" y="0"/>
            <wp:positionH relativeFrom="column">
              <wp:posOffset>4378960</wp:posOffset>
            </wp:positionH>
            <wp:positionV relativeFrom="paragraph">
              <wp:posOffset>555625</wp:posOffset>
            </wp:positionV>
            <wp:extent cx="1148080" cy="15741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1D">
        <w:rPr>
          <w:lang w:val="en-US"/>
        </w:rPr>
        <w:tab/>
      </w:r>
      <w:r w:rsidRPr="00401A04">
        <w:t>B.</w:t>
      </w:r>
      <w:r w:rsidRPr="00401A04">
        <w:tab/>
        <w:t>Публикации: исследования</w:t>
      </w:r>
    </w:p>
    <w:p w:rsidR="0031298D" w:rsidRPr="0057531D" w:rsidRDefault="0031298D" w:rsidP="0057531D">
      <w:pPr>
        <w:pStyle w:val="H23GR"/>
        <w:rPr>
          <w:lang w:val="en-US"/>
        </w:rPr>
      </w:pPr>
      <w:r w:rsidRPr="00401A04">
        <w:tab/>
        <w:t>1.</w:t>
      </w:r>
      <w:r w:rsidRPr="00401A04">
        <w:tab/>
        <w:t>Статистика транспорта для Европы и Северной Америки</w:t>
      </w:r>
    </w:p>
    <w:p w:rsidR="0031298D" w:rsidRPr="00401A04" w:rsidRDefault="0031298D" w:rsidP="0057531D">
      <w:pPr>
        <w:pStyle w:val="SingleTxtGR"/>
      </w:pPr>
      <w:r w:rsidRPr="00401A04">
        <w:t>27.</w:t>
      </w:r>
      <w:r w:rsidRPr="00401A04">
        <w:tab/>
        <w:t>В этой публикации (том LVIII) приводятся статист</w:t>
      </w:r>
      <w:r w:rsidRPr="00401A04">
        <w:t>и</w:t>
      </w:r>
      <w:r w:rsidRPr="00401A04">
        <w:t>ческие данные и краткие исследования в области транспо</w:t>
      </w:r>
      <w:r w:rsidRPr="00401A04">
        <w:t>р</w:t>
      </w:r>
      <w:r w:rsidRPr="00401A04">
        <w:t>та, а также таблицы с данными, касающимися энергоп</w:t>
      </w:r>
      <w:r w:rsidRPr="00401A04">
        <w:t>о</w:t>
      </w:r>
      <w:r w:rsidRPr="00401A04">
        <w:t>требления в транспортном секторе. Данные охватывают К</w:t>
      </w:r>
      <w:r w:rsidRPr="00401A04">
        <w:t>а</w:t>
      </w:r>
      <w:r w:rsidRPr="00401A04">
        <w:t xml:space="preserve">наду, Соединенные Штаты Америки и Европу. </w:t>
      </w:r>
    </w:p>
    <w:p w:rsidR="0031298D" w:rsidRPr="00401A04" w:rsidRDefault="0031298D" w:rsidP="0057531D">
      <w:pPr>
        <w:pStyle w:val="SingleTxtGR"/>
      </w:pPr>
      <w:r w:rsidRPr="00401A04">
        <w:t xml:space="preserve">28. </w:t>
      </w:r>
      <w:r w:rsidRPr="00401A04">
        <w:tab/>
        <w:t>В Бюллетене европейской и североамериканской ст</w:t>
      </w:r>
      <w:r w:rsidRPr="00401A04">
        <w:t>а</w:t>
      </w:r>
      <w:r w:rsidRPr="00401A04">
        <w:t xml:space="preserve">тистики транспорта эти данные представлены в табличном формате для оказания поддержки в разработке политики. Этот бюллетень является результатом деятельности по разработке методологий и сбору данных по транспорту, </w:t>
      </w:r>
      <w:proofErr w:type="gramStart"/>
      <w:r w:rsidRPr="00401A04">
        <w:t>которая</w:t>
      </w:r>
      <w:proofErr w:type="gramEnd"/>
      <w:r w:rsidRPr="00401A04">
        <w:t xml:space="preserve"> осуществляется Рабочей группой по статистике транспорта (WP.6). Он также дополняет онлайновую базу данных по статистике транспорта, которая размещена н</w:t>
      </w:r>
      <w:r w:rsidR="0057531D">
        <w:t>а веб-сайте ЕЭК. В издании 2017</w:t>
      </w:r>
      <w:r w:rsidR="0057531D">
        <w:rPr>
          <w:lang w:val="en-US"/>
        </w:rPr>
        <w:t> </w:t>
      </w:r>
      <w:r w:rsidRPr="00401A04">
        <w:t xml:space="preserve">года приводится ряд таблиц по транспортной статистике для 56 </w:t>
      </w:r>
      <w:proofErr w:type="spellStart"/>
      <w:proofErr w:type="gramStart"/>
      <w:r w:rsidRPr="00401A04">
        <w:t>госу</w:t>
      </w:r>
      <w:r w:rsidR="0057531D" w:rsidRPr="0057531D">
        <w:t>-</w:t>
      </w:r>
      <w:r w:rsidRPr="00401A04">
        <w:t>дарств</w:t>
      </w:r>
      <w:proofErr w:type="spellEnd"/>
      <w:proofErr w:type="gramEnd"/>
      <w:r w:rsidRPr="00401A04">
        <w:t xml:space="preserve"> – членов ЕЭК. Данная публикация носит исключительно статистический характер. Как и предыдущие выпуски, бюллетень был подготовлен Отделом устойчивого транспорта ЕЭК при широкой поддержке со стороны национал</w:t>
      </w:r>
      <w:r w:rsidRPr="00401A04">
        <w:t>ь</w:t>
      </w:r>
      <w:r w:rsidRPr="00401A04">
        <w:t>ных статистических управлений. Он публикуется в соответствии с рекоменд</w:t>
      </w:r>
      <w:r w:rsidRPr="00401A04">
        <w:t>а</w:t>
      </w:r>
      <w:r w:rsidRPr="00401A04">
        <w:t>цией первой сессии Комитета по внутреннему транспорту, согласно которой Отделу следует регулярно публиковать самые последние имеющиеся данные по транспорту для максимально возможного числа стран р</w:t>
      </w:r>
      <w:r w:rsidRPr="00401A04">
        <w:t>е</w:t>
      </w:r>
      <w:r w:rsidRPr="00401A04">
        <w:t>гиона ЕЭК.</w:t>
      </w:r>
    </w:p>
    <w:p w:rsidR="0031298D" w:rsidRPr="00401A04" w:rsidRDefault="0031298D" w:rsidP="0057531D">
      <w:pPr>
        <w:pStyle w:val="H23GR"/>
      </w:pPr>
      <w:r w:rsidRPr="00401A04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6E452FB" wp14:editId="005023E1">
            <wp:simplePos x="0" y="0"/>
            <wp:positionH relativeFrom="column">
              <wp:posOffset>4456430</wp:posOffset>
            </wp:positionH>
            <wp:positionV relativeFrom="paragraph">
              <wp:posOffset>9525</wp:posOffset>
            </wp:positionV>
            <wp:extent cx="1019810" cy="1398905"/>
            <wp:effectExtent l="190500" t="190500" r="199390" b="18224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4" t="14526" r="32854"/>
                    <a:stretch/>
                  </pic:blipFill>
                  <pic:spPr bwMode="auto">
                    <a:xfrm>
                      <a:off x="0" y="0"/>
                      <a:ext cx="1019810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1D" w:rsidRPr="0057531D">
        <w:tab/>
      </w:r>
      <w:r w:rsidRPr="00401A04">
        <w:t>2.</w:t>
      </w:r>
      <w:r w:rsidRPr="00401A04">
        <w:tab/>
        <w:t>«Дорожная карта» по вопросам присоединения к ЕСТР и его применения</w:t>
      </w:r>
    </w:p>
    <w:p w:rsidR="0031298D" w:rsidRPr="00401A04" w:rsidRDefault="0031298D" w:rsidP="00F47706">
      <w:pPr>
        <w:pStyle w:val="SingleTxtGR"/>
      </w:pPr>
      <w:r w:rsidRPr="00401A04">
        <w:t xml:space="preserve">29. </w:t>
      </w:r>
      <w:r w:rsidRPr="00401A04">
        <w:tab/>
        <w:t>Это «дорожная карта» для присоединения к Евр</w:t>
      </w:r>
      <w:r w:rsidRPr="00401A04">
        <w:t>о</w:t>
      </w:r>
      <w:r w:rsidRPr="00401A04">
        <w:t>пейскому соглашению, касающемуся работы экипажей транспортных средств, производящих международные а</w:t>
      </w:r>
      <w:r w:rsidRPr="00401A04">
        <w:t>в</w:t>
      </w:r>
      <w:r w:rsidRPr="00401A04">
        <w:t xml:space="preserve">томобильные перевозки (ЕСТР), и его осуществления. </w:t>
      </w:r>
    </w:p>
    <w:p w:rsidR="0031298D" w:rsidRPr="00F47706" w:rsidRDefault="0031298D" w:rsidP="0031298D">
      <w:pPr>
        <w:pStyle w:val="SingleTxtG"/>
        <w:rPr>
          <w:lang w:val="en-US"/>
        </w:rPr>
      </w:pPr>
    </w:p>
    <w:p w:rsidR="0031298D" w:rsidRPr="007E1AAB" w:rsidRDefault="0031298D" w:rsidP="00F47706">
      <w:pPr>
        <w:pStyle w:val="H23GR"/>
      </w:pPr>
      <w:r w:rsidRPr="00D2630C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E59446" wp14:editId="4E760923">
            <wp:simplePos x="0" y="0"/>
            <wp:positionH relativeFrom="column">
              <wp:posOffset>4375785</wp:posOffset>
            </wp:positionH>
            <wp:positionV relativeFrom="paragraph">
              <wp:posOffset>68580</wp:posOffset>
            </wp:positionV>
            <wp:extent cx="1240155" cy="16649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1D">
        <w:rPr>
          <w:lang w:val="en-US"/>
        </w:rPr>
        <w:tab/>
      </w:r>
      <w:r>
        <w:t xml:space="preserve">3. </w:t>
      </w:r>
      <w:r>
        <w:tab/>
        <w:t>Категории международных водительских удостоверений</w:t>
      </w:r>
    </w:p>
    <w:p w:rsidR="0031298D" w:rsidRPr="007E1AAB" w:rsidRDefault="0031298D" w:rsidP="00F47706">
      <w:pPr>
        <w:pStyle w:val="SingleTxtGR"/>
      </w:pPr>
      <w:r>
        <w:t xml:space="preserve">30. </w:t>
      </w:r>
      <w:r>
        <w:tab/>
        <w:t>Брошюра о категориях международных водительских удостоверений содержит рекомендации по выверке расхо</w:t>
      </w:r>
      <w:r>
        <w:t>ж</w:t>
      </w:r>
      <w:r>
        <w:t>дений между категориями международных водительских удостоверений в Конвенции 1968 года о дорожном движ</w:t>
      </w:r>
      <w:r>
        <w:t>е</w:t>
      </w:r>
      <w:r>
        <w:t>нии и определением соответствующих им символов в Д</w:t>
      </w:r>
      <w:r>
        <w:t>и</w:t>
      </w:r>
      <w:r>
        <w:t xml:space="preserve">рективе Европейского союза о водительских удостоверениях (2006/126/ЕС от 20 декабря 2006 года). </w:t>
      </w:r>
    </w:p>
    <w:p w:rsidR="008A0B02" w:rsidRPr="0031298D" w:rsidRDefault="008A0B02" w:rsidP="0031298D">
      <w:pPr>
        <w:pStyle w:val="SingleTxtGR"/>
      </w:pPr>
    </w:p>
    <w:p w:rsidR="008A0B02" w:rsidRPr="0031298D" w:rsidRDefault="0031298D" w:rsidP="0031298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0B02" w:rsidRPr="0031298D" w:rsidSect="008A0B0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27" w:rsidRPr="00A312BC" w:rsidRDefault="004E3327" w:rsidP="00A312BC"/>
  </w:endnote>
  <w:endnote w:type="continuationSeparator" w:id="0">
    <w:p w:rsidR="004E3327" w:rsidRPr="00A312BC" w:rsidRDefault="004E33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2" w:rsidRPr="008A0B02" w:rsidRDefault="008A0B02">
    <w:pPr>
      <w:pStyle w:val="Footer"/>
    </w:pPr>
    <w:r w:rsidRPr="008A0B02">
      <w:rPr>
        <w:b/>
        <w:sz w:val="18"/>
      </w:rPr>
      <w:fldChar w:fldCharType="begin"/>
    </w:r>
    <w:r w:rsidRPr="008A0B02">
      <w:rPr>
        <w:b/>
        <w:sz w:val="18"/>
      </w:rPr>
      <w:instrText xml:space="preserve"> PAGE  \* MERGEFORMAT </w:instrText>
    </w:r>
    <w:r w:rsidRPr="008A0B02">
      <w:rPr>
        <w:b/>
        <w:sz w:val="18"/>
      </w:rPr>
      <w:fldChar w:fldCharType="separate"/>
    </w:r>
    <w:r w:rsidR="00C12104">
      <w:rPr>
        <w:b/>
        <w:noProof/>
        <w:sz w:val="18"/>
      </w:rPr>
      <w:t>8</w:t>
    </w:r>
    <w:r w:rsidRPr="008A0B02">
      <w:rPr>
        <w:b/>
        <w:sz w:val="18"/>
      </w:rPr>
      <w:fldChar w:fldCharType="end"/>
    </w:r>
    <w:r>
      <w:rPr>
        <w:b/>
        <w:sz w:val="18"/>
      </w:rPr>
      <w:tab/>
    </w:r>
    <w:r>
      <w:t>GE.17-22256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2" w:rsidRPr="008A0B02" w:rsidRDefault="008A0B02" w:rsidP="008A0B02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GE.17-22256</w:t>
    </w:r>
    <w:r>
      <w:tab/>
    </w:r>
    <w:r w:rsidRPr="008A0B02">
      <w:rPr>
        <w:b/>
        <w:sz w:val="18"/>
      </w:rPr>
      <w:fldChar w:fldCharType="begin"/>
    </w:r>
    <w:r w:rsidRPr="008A0B02">
      <w:rPr>
        <w:b/>
        <w:sz w:val="18"/>
      </w:rPr>
      <w:instrText xml:space="preserve"> PAGE  \* MERGEFORMAT </w:instrText>
    </w:r>
    <w:r w:rsidRPr="008A0B02">
      <w:rPr>
        <w:b/>
        <w:sz w:val="18"/>
      </w:rPr>
      <w:fldChar w:fldCharType="separate"/>
    </w:r>
    <w:r w:rsidR="00C12104">
      <w:rPr>
        <w:b/>
        <w:noProof/>
        <w:sz w:val="18"/>
      </w:rPr>
      <w:t>9</w:t>
    </w:r>
    <w:r w:rsidRPr="008A0B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A0B02" w:rsidRDefault="008A0B02" w:rsidP="008A0B0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B93163" wp14:editId="33A880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17-22256  (R)</w:t>
    </w:r>
    <w:r w:rsidR="0031298D">
      <w:rPr>
        <w:lang w:val="en-US"/>
      </w:rPr>
      <w:t xml:space="preserve">  221217  261217</w:t>
    </w:r>
    <w:r>
      <w:br/>
    </w:r>
    <w:r w:rsidRPr="008A0B02">
      <w:rPr>
        <w:rFonts w:ascii="C39T30Lfz" w:hAnsi="C39T30Lfz"/>
        <w:spacing w:val="0"/>
        <w:w w:val="100"/>
        <w:sz w:val="56"/>
      </w:rPr>
      <w:t></w:t>
    </w:r>
    <w:r w:rsidRPr="008A0B02">
      <w:rPr>
        <w:rFonts w:ascii="C39T30Lfz" w:hAnsi="C39T30Lfz"/>
        <w:spacing w:val="0"/>
        <w:w w:val="100"/>
        <w:sz w:val="56"/>
      </w:rPr>
      <w:t></w:t>
    </w:r>
    <w:r w:rsidRPr="008A0B02">
      <w:rPr>
        <w:rFonts w:ascii="C39T30Lfz" w:hAnsi="C39T30Lfz"/>
        <w:spacing w:val="0"/>
        <w:w w:val="100"/>
        <w:sz w:val="56"/>
      </w:rPr>
      <w:t></w:t>
    </w:r>
    <w:r w:rsidRPr="008A0B02">
      <w:rPr>
        <w:rFonts w:ascii="C39T30Lfz" w:hAnsi="C39T30Lfz"/>
        <w:spacing w:val="0"/>
        <w:w w:val="100"/>
        <w:sz w:val="56"/>
      </w:rPr>
      <w:t></w:t>
    </w:r>
    <w:r w:rsidRPr="008A0B02">
      <w:rPr>
        <w:rFonts w:ascii="C39T30Lfz" w:hAnsi="C39T30Lfz"/>
        <w:spacing w:val="0"/>
        <w:w w:val="100"/>
        <w:sz w:val="56"/>
      </w:rPr>
      <w:t></w:t>
    </w:r>
    <w:r w:rsidRPr="008A0B02">
      <w:rPr>
        <w:rFonts w:ascii="C39T30Lfz" w:hAnsi="C39T30Lfz"/>
        <w:spacing w:val="0"/>
        <w:w w:val="100"/>
        <w:sz w:val="56"/>
      </w:rPr>
      <w:t></w:t>
    </w:r>
    <w:r w:rsidRPr="008A0B02">
      <w:rPr>
        <w:rFonts w:ascii="C39T30Lfz" w:hAnsi="C39T30Lfz"/>
        <w:spacing w:val="0"/>
        <w:w w:val="100"/>
        <w:sz w:val="56"/>
      </w:rPr>
      <w:t></w:t>
    </w:r>
    <w:r w:rsidRPr="008A0B02">
      <w:rPr>
        <w:rFonts w:ascii="C39T30Lfz" w:hAnsi="C39T30Lfz"/>
        <w:spacing w:val="0"/>
        <w:w w:val="100"/>
        <w:sz w:val="56"/>
      </w:rPr>
      <w:t></w:t>
    </w:r>
    <w:r w:rsidRPr="008A0B0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27" w:rsidRPr="001075E9" w:rsidRDefault="004E33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3327" w:rsidRDefault="004E33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2" w:rsidRPr="008A0B02" w:rsidRDefault="00C121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D1734">
      <w:t>ECE/TRANS/2018/3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2" w:rsidRPr="008A0B02" w:rsidRDefault="00C12104" w:rsidP="008A0B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D1734">
      <w:t>ECE/TRANS/2018/3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27"/>
    <w:rsid w:val="00033EE1"/>
    <w:rsid w:val="00042B72"/>
    <w:rsid w:val="000558BD"/>
    <w:rsid w:val="0009190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98D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3327"/>
    <w:rsid w:val="004F24FD"/>
    <w:rsid w:val="0050108D"/>
    <w:rsid w:val="00501D46"/>
    <w:rsid w:val="00513081"/>
    <w:rsid w:val="00517901"/>
    <w:rsid w:val="00526683"/>
    <w:rsid w:val="005639C1"/>
    <w:rsid w:val="005709E0"/>
    <w:rsid w:val="00572E19"/>
    <w:rsid w:val="0057531D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032"/>
    <w:rsid w:val="00825F8D"/>
    <w:rsid w:val="00834B71"/>
    <w:rsid w:val="0086445C"/>
    <w:rsid w:val="00894693"/>
    <w:rsid w:val="008A08D7"/>
    <w:rsid w:val="008A0B02"/>
    <w:rsid w:val="008A37C8"/>
    <w:rsid w:val="008B6909"/>
    <w:rsid w:val="008D53B6"/>
    <w:rsid w:val="008F7609"/>
    <w:rsid w:val="00906890"/>
    <w:rsid w:val="00911BE4"/>
    <w:rsid w:val="0094389E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1734"/>
    <w:rsid w:val="00B10CC7"/>
    <w:rsid w:val="00B36DF7"/>
    <w:rsid w:val="00B45404"/>
    <w:rsid w:val="00B539E7"/>
    <w:rsid w:val="00B62458"/>
    <w:rsid w:val="00BC18B2"/>
    <w:rsid w:val="00BD33EE"/>
    <w:rsid w:val="00BE1CC7"/>
    <w:rsid w:val="00C106D6"/>
    <w:rsid w:val="00C119AE"/>
    <w:rsid w:val="00C1210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70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qFormat/>
    <w:rsid w:val="008A0B02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8A0B02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31298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31298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3129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31298D"/>
    <w:rPr>
      <w:lang w:val="en-GB" w:eastAsia="en-US"/>
    </w:rPr>
  </w:style>
  <w:style w:type="character" w:customStyle="1" w:styleId="H1GChar">
    <w:name w:val="_ H_1_G Char"/>
    <w:link w:val="H1G"/>
    <w:rsid w:val="0031298D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qFormat/>
    <w:rsid w:val="008A0B02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8A0B02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31298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31298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3129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31298D"/>
    <w:rPr>
      <w:lang w:val="en-GB" w:eastAsia="en-US"/>
    </w:rPr>
  </w:style>
  <w:style w:type="character" w:customStyle="1" w:styleId="H1GChar">
    <w:name w:val="_ H_1_G Char"/>
    <w:link w:val="H1G"/>
    <w:rsid w:val="0031298D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3770</Words>
  <Characters>21492</Characters>
  <Application>Microsoft Office Word</Application>
  <DocSecurity>0</DocSecurity>
  <Lines>179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ECE/TRANS/2018/3</vt:lpstr>
      <vt:lpstr>ECE/TRANS/2018/3</vt:lpstr>
      <vt:lpstr>A/</vt:lpstr>
    </vt:vector>
  </TitlesOfParts>
  <Company>DCM</Company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ECE/TRANS/2018/3</dc:title>
  <dc:creator>Marina Korotkova</dc:creator>
  <cp:lastModifiedBy>Jeyhun Shahverdili</cp:lastModifiedBy>
  <cp:revision>2</cp:revision>
  <cp:lastPrinted>2017-12-26T08:52:00Z</cp:lastPrinted>
  <dcterms:created xsi:type="dcterms:W3CDTF">2018-01-09T16:07:00Z</dcterms:created>
  <dcterms:modified xsi:type="dcterms:W3CDTF">2018-01-09T16:07:00Z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