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1E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1E53" w:rsidP="007E1E53">
            <w:pPr>
              <w:jc w:val="right"/>
            </w:pPr>
            <w:r w:rsidRPr="007E1E53">
              <w:rPr>
                <w:sz w:val="40"/>
              </w:rPr>
              <w:t>ECE</w:t>
            </w:r>
            <w:r>
              <w:t>/TRANS/2018/22</w:t>
            </w:r>
          </w:p>
        </w:tc>
      </w:tr>
      <w:tr w:rsidR="002D5AAC" w:rsidRPr="007A728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1E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1E53" w:rsidRDefault="007E1E53" w:rsidP="007E1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7E1E53" w:rsidRDefault="007E1E53" w:rsidP="007E1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1E53" w:rsidRPr="008D53B6" w:rsidRDefault="007E1E53" w:rsidP="007E1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40ABA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3483" w:rsidRPr="00740ABA" w:rsidRDefault="00573483" w:rsidP="00740ABA">
      <w:pPr>
        <w:spacing w:after="120"/>
        <w:rPr>
          <w:sz w:val="28"/>
          <w:szCs w:val="28"/>
        </w:rPr>
      </w:pPr>
      <w:r w:rsidRPr="00740ABA">
        <w:rPr>
          <w:sz w:val="28"/>
          <w:szCs w:val="28"/>
        </w:rPr>
        <w:t>Комитет по внутреннему транспорту</w:t>
      </w:r>
    </w:p>
    <w:p w:rsidR="00573483" w:rsidRPr="00573483" w:rsidRDefault="00573483" w:rsidP="00573483">
      <w:pPr>
        <w:rPr>
          <w:b/>
          <w:bCs/>
        </w:rPr>
      </w:pPr>
      <w:r w:rsidRPr="00573483">
        <w:rPr>
          <w:b/>
          <w:bCs/>
        </w:rPr>
        <w:t>Восьмидесятая сессия</w:t>
      </w:r>
    </w:p>
    <w:p w:rsidR="00740ABA" w:rsidRPr="007A728A" w:rsidRDefault="00573483" w:rsidP="00573483">
      <w:r w:rsidRPr="00573483">
        <w:t>Женева, 20–23 февраля 2018 года</w:t>
      </w:r>
    </w:p>
    <w:p w:rsidR="00740ABA" w:rsidRPr="007A728A" w:rsidRDefault="00573483" w:rsidP="00573483">
      <w:r w:rsidRPr="00573483">
        <w:t>Пункт 12 предварительной повестки дня</w:t>
      </w:r>
    </w:p>
    <w:p w:rsidR="00573483" w:rsidRPr="00573483" w:rsidRDefault="00573483" w:rsidP="00740ABA">
      <w:pPr>
        <w:rPr>
          <w:b/>
          <w:bCs/>
        </w:rPr>
      </w:pPr>
      <w:r w:rsidRPr="00573483">
        <w:rPr>
          <w:b/>
          <w:bCs/>
        </w:rPr>
        <w:t xml:space="preserve">Программа работы и двухгодичная оценка </w:t>
      </w:r>
      <w:r w:rsidR="00740ABA" w:rsidRPr="00740ABA">
        <w:rPr>
          <w:b/>
          <w:bCs/>
        </w:rPr>
        <w:br/>
      </w:r>
      <w:r w:rsidRPr="00573483">
        <w:rPr>
          <w:b/>
          <w:bCs/>
        </w:rPr>
        <w:t xml:space="preserve">на период 2018–2019 годов и Стратегические рамки </w:t>
      </w:r>
      <w:r w:rsidR="00740ABA" w:rsidRPr="00740ABA">
        <w:rPr>
          <w:b/>
          <w:bCs/>
        </w:rPr>
        <w:br/>
      </w:r>
      <w:r w:rsidRPr="00573483">
        <w:rPr>
          <w:b/>
          <w:bCs/>
        </w:rPr>
        <w:t>на 2020–2021 годы</w:t>
      </w:r>
    </w:p>
    <w:p w:rsidR="00573483" w:rsidRPr="00573483" w:rsidRDefault="00573483" w:rsidP="00573483">
      <w:pPr>
        <w:pStyle w:val="HChGR"/>
      </w:pPr>
      <w:r w:rsidRPr="00573483">
        <w:tab/>
      </w:r>
      <w:r w:rsidRPr="00573483">
        <w:tab/>
        <w:t>План двухгодичной оценки для подпрограммы «Транспорт» (2018−2019 годы)</w:t>
      </w:r>
    </w:p>
    <w:p w:rsidR="00573483" w:rsidRPr="00740ABA" w:rsidRDefault="00573483" w:rsidP="00573483">
      <w:pPr>
        <w:pStyle w:val="H1GR"/>
      </w:pPr>
      <w:r w:rsidRPr="00573483">
        <w:tab/>
      </w:r>
      <w:r w:rsidRPr="00573483">
        <w:tab/>
      </w:r>
      <w:r w:rsidRPr="00740ABA"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73483" w:rsidRPr="00573483" w:rsidTr="00D07584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73483" w:rsidRPr="00573483" w:rsidRDefault="00573483" w:rsidP="00D0758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73483">
              <w:rPr>
                <w:rFonts w:cs="Times New Roman"/>
              </w:rPr>
              <w:tab/>
            </w:r>
            <w:r w:rsidRPr="0057348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73483" w:rsidRPr="00573483" w:rsidTr="00D0758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3483" w:rsidRPr="00573483" w:rsidRDefault="00573483" w:rsidP="00D07584">
            <w:pPr>
              <w:pStyle w:val="SingleTxtGR"/>
              <w:rPr>
                <w:lang w:val="en-US"/>
              </w:rPr>
            </w:pPr>
            <w:r w:rsidRPr="00740ABA">
              <w:tab/>
            </w:r>
            <w:r w:rsidRPr="00573483">
              <w:t xml:space="preserve">Настоящая записка содержит логическую схему двухгодичной оценки показателей осуществления подпрограммы </w:t>
            </w:r>
            <w:r w:rsidRPr="00D07584">
              <w:rPr>
                <w:spacing w:val="2"/>
                <w:w w:val="101"/>
              </w:rPr>
              <w:t>2 «Транспорт» ЕЭК на 2018−2019 г</w:t>
            </w:r>
            <w:r w:rsidRPr="00D07584">
              <w:rPr>
                <w:spacing w:val="2"/>
                <w:w w:val="101"/>
              </w:rPr>
              <w:t>о</w:t>
            </w:r>
            <w:r w:rsidRPr="00D07584">
              <w:rPr>
                <w:spacing w:val="2"/>
                <w:w w:val="101"/>
              </w:rPr>
              <w:t>ды.</w:t>
            </w:r>
            <w:r w:rsidRPr="00573483">
              <w:t xml:space="preserve"> </w:t>
            </w:r>
            <w:proofErr w:type="spellStart"/>
            <w:r w:rsidRPr="00573483">
              <w:rPr>
                <w:lang w:val="en-GB"/>
              </w:rPr>
              <w:t>Она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представляется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Комитету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по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внутреннему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транспорту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на</w:t>
            </w:r>
            <w:proofErr w:type="spellEnd"/>
            <w:r w:rsidRPr="00573483">
              <w:rPr>
                <w:lang w:val="en-GB"/>
              </w:rPr>
              <w:t xml:space="preserve"> </w:t>
            </w:r>
            <w:proofErr w:type="spellStart"/>
            <w:r w:rsidRPr="00573483">
              <w:rPr>
                <w:lang w:val="en-GB"/>
              </w:rPr>
              <w:t>утверждение</w:t>
            </w:r>
            <w:proofErr w:type="spellEnd"/>
            <w:r w:rsidRPr="00573483">
              <w:rPr>
                <w:lang w:val="en-GB"/>
              </w:rPr>
              <w:t>.</w:t>
            </w:r>
          </w:p>
        </w:tc>
      </w:tr>
      <w:tr w:rsidR="00D07584" w:rsidRPr="00573483" w:rsidTr="00D0758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07584" w:rsidRPr="00D07584" w:rsidRDefault="00D07584" w:rsidP="00D07584">
            <w:pPr>
              <w:pStyle w:val="SingleTxtGR"/>
            </w:pPr>
            <w:r w:rsidRPr="007A728A">
              <w:tab/>
            </w:r>
            <w:r w:rsidRPr="00573483">
              <w:rPr>
                <w:bCs/>
              </w:rPr>
              <w:t>После каждого ожидаемого достижения (ОД) приводятся все соотве</w:t>
            </w:r>
            <w:r w:rsidRPr="00573483">
              <w:rPr>
                <w:bCs/>
              </w:rPr>
              <w:t>т</w:t>
            </w:r>
            <w:r w:rsidRPr="00573483">
              <w:rPr>
                <w:bCs/>
              </w:rPr>
              <w:t>ствующие показатели достижения (ПД).</w:t>
            </w:r>
          </w:p>
        </w:tc>
      </w:tr>
      <w:tr w:rsidR="00573483" w:rsidRPr="00573483" w:rsidTr="00D07584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73483" w:rsidRPr="00573483" w:rsidRDefault="00573483" w:rsidP="00D07584">
            <w:pPr>
              <w:rPr>
                <w:rFonts w:cs="Times New Roman"/>
              </w:rPr>
            </w:pPr>
          </w:p>
        </w:tc>
      </w:tr>
    </w:tbl>
    <w:p w:rsidR="00573483" w:rsidRPr="00D07584" w:rsidRDefault="00573483" w:rsidP="00573483">
      <w:pPr>
        <w:rPr>
          <w:lang w:eastAsia="ru-RU"/>
        </w:rPr>
      </w:pPr>
    </w:p>
    <w:p w:rsidR="00573483" w:rsidRPr="00D07584" w:rsidRDefault="00573483" w:rsidP="00573483">
      <w:pPr>
        <w:rPr>
          <w:lang w:eastAsia="ru-RU"/>
        </w:rPr>
      </w:pPr>
    </w:p>
    <w:p w:rsidR="00D07584" w:rsidRPr="00135052" w:rsidRDefault="00573483" w:rsidP="00740ABA">
      <w:pPr>
        <w:pStyle w:val="HChGR"/>
      </w:pPr>
      <w:r w:rsidRPr="00573483">
        <w:br w:type="page"/>
      </w:r>
      <w:r w:rsidR="00135052" w:rsidRPr="00135052">
        <w:lastRenderedPageBreak/>
        <w:tab/>
      </w:r>
      <w:r w:rsidR="00135052" w:rsidRPr="007A728A">
        <w:tab/>
      </w:r>
      <w:r w:rsidR="00740ABA" w:rsidRPr="00135052">
        <w:t>Подпрограмма 02</w:t>
      </w:r>
      <w:r w:rsidR="00740ABA">
        <w:rPr>
          <w:lang w:val="en-GB"/>
        </w:rPr>
        <w:t> </w:t>
      </w:r>
      <w:r w:rsidR="00740ABA" w:rsidRPr="00135052">
        <w:t>–</w:t>
      </w:r>
      <w:r w:rsidR="00D07584" w:rsidRPr="00135052">
        <w:t xml:space="preserve"> Транспорт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3119"/>
        <w:gridCol w:w="2267"/>
        <w:gridCol w:w="4251"/>
      </w:tblGrid>
      <w:tr w:rsidR="00D07584" w:rsidRPr="00740ABA" w:rsidTr="00740ABA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584" w:rsidRPr="00740ABA" w:rsidRDefault="00D07584" w:rsidP="00740ABA">
            <w:pPr>
              <w:spacing w:before="80" w:after="80" w:line="200" w:lineRule="exact"/>
              <w:rPr>
                <w:i/>
                <w:sz w:val="16"/>
              </w:rPr>
            </w:pPr>
            <w:r w:rsidRPr="00740ABA">
              <w:rPr>
                <w:i/>
                <w:sz w:val="16"/>
              </w:rPr>
              <w:br w:type="page"/>
            </w:r>
            <w:r w:rsidRPr="00740ABA">
              <w:rPr>
                <w:i/>
                <w:sz w:val="16"/>
              </w:rPr>
              <w:br w:type="page"/>
            </w:r>
            <w:r w:rsidRPr="00740ABA">
              <w:rPr>
                <w:i/>
                <w:sz w:val="16"/>
              </w:rPr>
              <w:br w:type="page"/>
            </w:r>
            <w:r w:rsidRPr="00740ABA">
              <w:rPr>
                <w:i/>
                <w:sz w:val="16"/>
              </w:rPr>
              <w:br w:type="page"/>
              <w:t xml:space="preserve">Ожидаемые достижения и показатели достижения для Стратегических рамок на 2018−2019 годы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7584" w:rsidRPr="00740ABA" w:rsidRDefault="00D07584" w:rsidP="00740ABA">
            <w:pPr>
              <w:spacing w:before="80" w:after="80" w:line="200" w:lineRule="exact"/>
              <w:rPr>
                <w:i/>
                <w:sz w:val="16"/>
              </w:rPr>
            </w:pPr>
            <w:r w:rsidRPr="00740ABA">
              <w:rPr>
                <w:i/>
                <w:sz w:val="16"/>
              </w:rPr>
              <w:t xml:space="preserve">Название направления </w:t>
            </w:r>
            <w:r w:rsidR="00740ABA" w:rsidRPr="00135052">
              <w:rPr>
                <w:i/>
                <w:sz w:val="16"/>
              </w:rPr>
              <w:br/>
            </w:r>
            <w:r w:rsidRPr="00740ABA">
              <w:rPr>
                <w:i/>
                <w:sz w:val="16"/>
              </w:rPr>
              <w:t xml:space="preserve">деятельности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7584" w:rsidRPr="00740ABA" w:rsidRDefault="00D07584" w:rsidP="00740ABA">
            <w:pPr>
              <w:spacing w:before="80" w:after="80" w:line="200" w:lineRule="exact"/>
              <w:rPr>
                <w:i/>
                <w:sz w:val="16"/>
              </w:rPr>
            </w:pPr>
            <w:r w:rsidRPr="00740ABA">
              <w:rPr>
                <w:i/>
                <w:sz w:val="16"/>
              </w:rPr>
              <w:t>Ожидаемые достижения и показатели достижения для двухгодичной оценки за 2018−2019 годы</w:t>
            </w:r>
          </w:p>
        </w:tc>
      </w:tr>
      <w:tr w:rsidR="00D07584" w:rsidRPr="00740ABA" w:rsidTr="00740ABA">
        <w:trPr>
          <w:trHeight w:val="2520"/>
        </w:trPr>
        <w:tc>
          <w:tcPr>
            <w:tcW w:w="3119" w:type="dxa"/>
            <w:tcBorders>
              <w:top w:val="single" w:sz="12" w:space="0" w:color="auto"/>
            </w:tcBorders>
          </w:tcPr>
          <w:p w:rsidR="00D07584" w:rsidRPr="00740ABA" w:rsidRDefault="00B03E23" w:rsidP="00B03E23">
            <w:pPr>
              <w:tabs>
                <w:tab w:val="left" w:pos="858"/>
              </w:tabs>
              <w:rPr>
                <w:b/>
                <w:bCs/>
              </w:rPr>
            </w:pPr>
            <w:r>
              <w:rPr>
                <w:b/>
                <w:bCs/>
              </w:rPr>
              <w:t>1. ОД а)</w:t>
            </w:r>
            <w:r>
              <w:rPr>
                <w:b/>
                <w:bCs/>
              </w:rPr>
              <w:tab/>
            </w:r>
            <w:r w:rsidR="00D07584" w:rsidRPr="00B03E23">
              <w:rPr>
                <w:b/>
                <w:bCs/>
              </w:rPr>
              <w:t>Укрепление</w:t>
            </w:r>
            <w:r w:rsidR="00D07584" w:rsidRPr="00740ABA">
              <w:rPr>
                <w:b/>
                <w:bCs/>
              </w:rPr>
              <w:t xml:space="preserve"> норм</w:t>
            </w:r>
            <w:r w:rsidR="00D07584" w:rsidRPr="00740ABA">
              <w:rPr>
                <w:b/>
                <w:bCs/>
              </w:rPr>
              <w:t>а</w:t>
            </w:r>
            <w:r w:rsidR="00D07584" w:rsidRPr="00740ABA">
              <w:rPr>
                <w:b/>
                <w:bCs/>
              </w:rPr>
              <w:t>тивно-правовой базы для ме</w:t>
            </w:r>
            <w:r w:rsidR="00D07584" w:rsidRPr="00740ABA">
              <w:rPr>
                <w:b/>
                <w:bCs/>
              </w:rPr>
              <w:t>ж</w:t>
            </w:r>
            <w:r w:rsidR="00D07584" w:rsidRPr="00740ABA">
              <w:rPr>
                <w:b/>
                <w:bCs/>
              </w:rPr>
              <w:t>дународных наземных перев</w:t>
            </w:r>
            <w:r w:rsidR="00D07584" w:rsidRPr="00740ABA">
              <w:rPr>
                <w:b/>
                <w:bCs/>
              </w:rPr>
              <w:t>о</w:t>
            </w:r>
            <w:r w:rsidR="00D07584" w:rsidRPr="00740ABA">
              <w:rPr>
                <w:b/>
                <w:bCs/>
              </w:rPr>
              <w:t>зок (автомобильным, железн</w:t>
            </w:r>
            <w:r w:rsidR="00D07584" w:rsidRPr="00740ABA">
              <w:rPr>
                <w:b/>
                <w:bCs/>
              </w:rPr>
              <w:t>о</w:t>
            </w:r>
            <w:r w:rsidR="00D07584" w:rsidRPr="00740ABA">
              <w:rPr>
                <w:b/>
                <w:bCs/>
              </w:rPr>
              <w:t>дорожным и внутренним во</w:t>
            </w:r>
            <w:r w:rsidR="00D07584" w:rsidRPr="00740ABA">
              <w:rPr>
                <w:b/>
                <w:bCs/>
              </w:rPr>
              <w:t>д</w:t>
            </w:r>
            <w:r w:rsidR="00D07584" w:rsidRPr="00740ABA">
              <w:rPr>
                <w:b/>
                <w:bCs/>
              </w:rPr>
              <w:t xml:space="preserve">ным транспортом и </w:t>
            </w:r>
            <w:proofErr w:type="spellStart"/>
            <w:r w:rsidR="00D07584" w:rsidRPr="00740ABA">
              <w:rPr>
                <w:b/>
                <w:bCs/>
              </w:rPr>
              <w:t>интерм</w:t>
            </w:r>
            <w:r w:rsidR="00D07584" w:rsidRPr="00740ABA">
              <w:rPr>
                <w:b/>
                <w:bCs/>
              </w:rPr>
              <w:t>о</w:t>
            </w:r>
            <w:r w:rsidR="00D07584" w:rsidRPr="00740ABA">
              <w:rPr>
                <w:b/>
                <w:bCs/>
              </w:rPr>
              <w:t>дальных</w:t>
            </w:r>
            <w:proofErr w:type="spellEnd"/>
            <w:r w:rsidR="00D07584" w:rsidRPr="00740ABA">
              <w:rPr>
                <w:b/>
                <w:bCs/>
              </w:rPr>
              <w:t xml:space="preserve"> перевозок), тран</w:t>
            </w:r>
            <w:r w:rsidR="00D07584" w:rsidRPr="00740ABA">
              <w:rPr>
                <w:b/>
                <w:bCs/>
              </w:rPr>
              <w:t>с</w:t>
            </w:r>
            <w:r w:rsidR="00D07584" w:rsidRPr="00740ABA">
              <w:rPr>
                <w:b/>
                <w:bCs/>
              </w:rPr>
              <w:t>портной инфраструктуры, о</w:t>
            </w:r>
            <w:r w:rsidR="00D07584" w:rsidRPr="00740ABA">
              <w:rPr>
                <w:b/>
                <w:bCs/>
              </w:rPr>
              <w:t>б</w:t>
            </w:r>
            <w:r w:rsidR="00D07584" w:rsidRPr="00740ABA">
              <w:rPr>
                <w:b/>
                <w:bCs/>
              </w:rPr>
              <w:t>легчения пересечения границ, перевозки опасных грузов, определения конструкции транспортных средств и ок</w:t>
            </w:r>
            <w:r w:rsidR="00D07584" w:rsidRPr="00740ABA">
              <w:rPr>
                <w:b/>
                <w:bCs/>
              </w:rPr>
              <w:t>а</w:t>
            </w:r>
            <w:r w:rsidR="00D07584" w:rsidRPr="00740ABA">
              <w:rPr>
                <w:b/>
                <w:bCs/>
              </w:rPr>
              <w:t>зания других транспортных услуг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D07584" w:rsidRPr="00740ABA" w:rsidRDefault="00D07584" w:rsidP="009C05E0">
            <w:pPr>
              <w:tabs>
                <w:tab w:val="left" w:pos="311"/>
              </w:tabs>
              <w:ind w:left="311" w:hanging="311"/>
            </w:pPr>
            <w:r w:rsidRPr="00740ABA">
              <w:t>1.</w:t>
            </w:r>
            <w:r w:rsidRPr="00740ABA">
              <w:tab/>
              <w:t xml:space="preserve">Общая </w:t>
            </w:r>
            <w:r w:rsidR="009C05E0">
              <w:rPr>
                <w:lang w:val="en-US"/>
              </w:rPr>
              <w:br/>
            </w:r>
            <w:r w:rsidRPr="00740ABA">
              <w:t>координация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single" w:sz="12" w:space="0" w:color="auto"/>
            </w:tcBorders>
          </w:tcPr>
          <w:p w:rsidR="00D07584" w:rsidRPr="00740ABA" w:rsidRDefault="00D07584" w:rsidP="00740ABA">
            <w:r w:rsidRPr="00740ABA">
              <w:t>ОД 1. Успешное проведение ежегодных с</w:t>
            </w:r>
            <w:r w:rsidRPr="00740ABA">
              <w:t>о</w:t>
            </w:r>
            <w:r w:rsidRPr="00740ABA">
              <w:t>вещаний Комитета по внутреннему тран</w:t>
            </w:r>
            <w:r w:rsidRPr="00740ABA">
              <w:t>с</w:t>
            </w:r>
            <w:r w:rsidRPr="00740ABA">
              <w:t>порту (КВТ) и его Бюро, а также совещаний Председателя и заместителя Председателя КВТ с Исполнительным комитетом</w:t>
            </w:r>
          </w:p>
          <w:p w:rsidR="00D07584" w:rsidRPr="00740ABA" w:rsidRDefault="00D07584" w:rsidP="00740ABA">
            <w:r w:rsidRPr="00740ABA">
              <w:t>ПД 1. Число государств-членов, участву</w:t>
            </w:r>
            <w:r w:rsidRPr="00740ABA">
              <w:t>ю</w:t>
            </w:r>
            <w:r w:rsidRPr="00740ABA">
              <w:t>щих в совещаниях КВТ</w:t>
            </w:r>
          </w:p>
          <w:p w:rsidR="00D07584" w:rsidRPr="00740ABA" w:rsidRDefault="00D07584" w:rsidP="00740ABA">
            <w:r w:rsidRPr="006B726D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70+45 МПО/НПО, всего 350</w:t>
            </w:r>
            <w:r w:rsidRPr="00740ABA">
              <w:br/>
              <w:t>Целевой показатель на 2018−2019 годы: 42+15 МПО/НПО, всего 170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6B726D">
            <w:pPr>
              <w:tabs>
                <w:tab w:val="left" w:pos="858"/>
              </w:tabs>
            </w:pPr>
            <w:r w:rsidRPr="00740ABA">
              <w:t>ОД а) i)</w:t>
            </w:r>
            <w:r w:rsidRPr="00740ABA">
              <w:tab/>
              <w:t>Увеличение числа де</w:t>
            </w:r>
            <w:r w:rsidRPr="00740ABA">
              <w:t>й</w:t>
            </w:r>
            <w:r w:rsidRPr="00740ABA">
              <w:t>ствующих правовых документов Организации Объединенных Наций по вопросам транспорта, находящихся в ведении ЕЭК</w:t>
            </w:r>
          </w:p>
          <w:p w:rsidR="00D07584" w:rsidRPr="00740ABA" w:rsidRDefault="00D07584" w:rsidP="00740ABA">
            <w:r w:rsidRPr="006B726D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2018−2019 годы: 50%</w:t>
            </w:r>
          </w:p>
        </w:tc>
        <w:tc>
          <w:tcPr>
            <w:tcW w:w="2267" w:type="dxa"/>
          </w:tcPr>
          <w:p w:rsidR="00D07584" w:rsidRPr="00740ABA" w:rsidRDefault="00D07584" w:rsidP="00CD1064">
            <w:pPr>
              <w:tabs>
                <w:tab w:val="left" w:pos="311"/>
              </w:tabs>
              <w:ind w:left="311" w:hanging="311"/>
            </w:pPr>
            <w:r w:rsidRPr="00740ABA">
              <w:t>2.</w:t>
            </w:r>
            <w:r w:rsidRPr="00740ABA">
              <w:tab/>
              <w:t>Тенденции и экон</w:t>
            </w:r>
            <w:r w:rsidRPr="00740ABA">
              <w:t>о</w:t>
            </w:r>
            <w:r w:rsidRPr="00740ABA">
              <w:t xml:space="preserve">мика транспорта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 w:val="restart"/>
          </w:tcPr>
          <w:p w:rsidR="00D07584" w:rsidRPr="00740ABA" w:rsidRDefault="00D07584" w:rsidP="00740ABA">
            <w:r w:rsidRPr="00740ABA">
              <w:t>ОД 2.1</w:t>
            </w:r>
            <w:proofErr w:type="gramStart"/>
            <w:r w:rsidRPr="00740ABA">
              <w:t xml:space="preserve"> Б</w:t>
            </w:r>
            <w:proofErr w:type="gramEnd"/>
            <w:r w:rsidRPr="00740ABA">
              <w:t>олее четкое понимание государств</w:t>
            </w:r>
            <w:r w:rsidRPr="00740ABA">
              <w:t>а</w:t>
            </w:r>
            <w:r w:rsidRPr="00740ABA">
              <w:t>ми-членами основных транспортных измен</w:t>
            </w:r>
            <w:r w:rsidRPr="00740ABA">
              <w:t>е</w:t>
            </w:r>
            <w:r w:rsidRPr="00740ABA">
              <w:t>ний в регионе ЕЭК, а также укрепление с</w:t>
            </w:r>
            <w:r w:rsidRPr="00740ABA">
              <w:t>о</w:t>
            </w:r>
            <w:r w:rsidRPr="00740ABA">
              <w:t>трудничества в деле развития транспортной инфраструктуры и транспортных коридоров</w:t>
            </w:r>
          </w:p>
          <w:p w:rsidR="00D07584" w:rsidRPr="00740ABA" w:rsidRDefault="00D07584" w:rsidP="00740ABA">
            <w:r w:rsidRPr="00740ABA">
              <w:t>ПД 2.1 а) Число стран, участвующих в сов</w:t>
            </w:r>
            <w:r w:rsidRPr="00740ABA">
              <w:t>е</w:t>
            </w:r>
            <w:r w:rsidRPr="00740ABA">
              <w:t>щаниях Рабочей группы и совещаниях Гру</w:t>
            </w:r>
            <w:r w:rsidRPr="00740ABA">
              <w:t>п</w:t>
            </w:r>
            <w:r w:rsidRPr="00740ABA">
              <w:t>пы экспертов</w:t>
            </w:r>
          </w:p>
          <w:p w:rsidR="00D07584" w:rsidRPr="00740ABA" w:rsidRDefault="00D07584" w:rsidP="00740ABA">
            <w:r w:rsidRPr="006B726D">
              <w:rPr>
                <w:i/>
                <w:iCs/>
              </w:rPr>
              <w:t>Показатели результативности:</w:t>
            </w:r>
            <w:r w:rsidRPr="00740ABA">
              <w:br/>
              <w:t xml:space="preserve">Базовый показатель на 2016−2017 годы: </w:t>
            </w:r>
            <w:r w:rsidR="00135052" w:rsidRPr="00135052">
              <w:br/>
            </w:r>
            <w:r w:rsidRPr="00740ABA">
              <w:t>43 в 2016 году</w:t>
            </w:r>
            <w:r w:rsidRPr="00740ABA">
              <w:br/>
              <w:t xml:space="preserve">Целевой показатель на 2018–2019 годы: 50 </w:t>
            </w:r>
          </w:p>
          <w:p w:rsidR="00D07584" w:rsidRPr="00740ABA" w:rsidRDefault="00D07584" w:rsidP="00740ABA">
            <w:r w:rsidRPr="00740ABA">
              <w:t>ПД 2.1 b) Уровень удовлетворенности учас</w:t>
            </w:r>
            <w:r w:rsidRPr="00740ABA">
              <w:t>т</w:t>
            </w:r>
            <w:r w:rsidRPr="00740ABA">
              <w:t>ников в отношении полезности информации, совещаний и мероприятий согласно отчетам об обследованиях, проводимых после сессий, или отзывов, переданных в секретариат</w:t>
            </w:r>
          </w:p>
          <w:p w:rsidR="00D07584" w:rsidRPr="00740ABA" w:rsidRDefault="00D07584" w:rsidP="00135052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75%</w:t>
            </w:r>
            <w:r w:rsidR="00135052">
              <w:rPr>
                <w:lang w:val="en-US"/>
              </w:rPr>
              <w:t> </w:t>
            </w:r>
            <w:r w:rsidRPr="00740ABA">
              <w:t>положительных отзывов</w:t>
            </w:r>
            <w:r w:rsidRPr="00740ABA">
              <w:br/>
              <w:t>Целевой показатель на 2018–2019 годы: 75%</w:t>
            </w:r>
            <w:r w:rsidR="00135052">
              <w:rPr>
                <w:lang w:val="en-US"/>
              </w:rPr>
              <w:t> </w:t>
            </w:r>
            <w:r w:rsidRPr="00740ABA">
              <w:t xml:space="preserve">положительных отзывов </w:t>
            </w:r>
          </w:p>
        </w:tc>
      </w:tr>
      <w:tr w:rsidR="00D07584" w:rsidRPr="00740ABA" w:rsidTr="004863E8">
        <w:tc>
          <w:tcPr>
            <w:tcW w:w="3119" w:type="dxa"/>
            <w:tcBorders>
              <w:bottom w:val="nil"/>
            </w:tcBorders>
          </w:tcPr>
          <w:p w:rsidR="00D07584" w:rsidRPr="00740ABA" w:rsidRDefault="00B03E23" w:rsidP="00B03E23">
            <w:pPr>
              <w:tabs>
                <w:tab w:val="left" w:pos="924"/>
              </w:tabs>
            </w:pPr>
            <w:proofErr w:type="gramStart"/>
            <w:r>
              <w:t xml:space="preserve">ПД а) </w:t>
            </w:r>
            <w:proofErr w:type="spellStart"/>
            <w:r>
              <w:t>ii</w:t>
            </w:r>
            <w:proofErr w:type="spellEnd"/>
            <w:r>
              <w:t>)</w:t>
            </w:r>
            <w:r>
              <w:tab/>
            </w:r>
            <w:r w:rsidR="00D07584" w:rsidRPr="00740ABA">
              <w:t>Число принятых новых правил в области транспортных средств и поправок к ним</w:t>
            </w:r>
            <w:proofErr w:type="gramEnd"/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100 поправок и новых правил</w:t>
            </w:r>
            <w:r w:rsidRPr="00740ABA">
              <w:br/>
              <w:t>Целевой показатель на 2018−2019 годы: 100 поправок и новых правил</w:t>
            </w:r>
          </w:p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/>
          </w:tcPr>
          <w:p w:rsidR="00D07584" w:rsidRPr="00740ABA" w:rsidRDefault="00D07584" w:rsidP="00740ABA"/>
        </w:tc>
      </w:tr>
      <w:tr w:rsidR="00D07584" w:rsidRPr="00740ABA" w:rsidTr="004863E8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B03E23" w:rsidP="00B03E23">
            <w:pPr>
              <w:tabs>
                <w:tab w:val="left" w:pos="1008"/>
              </w:tabs>
            </w:pPr>
            <w:proofErr w:type="gramStart"/>
            <w:r>
              <w:t xml:space="preserve">ПД а) </w:t>
            </w:r>
            <w:proofErr w:type="spellStart"/>
            <w:r>
              <w:t>iii</w:t>
            </w:r>
            <w:proofErr w:type="spellEnd"/>
            <w:r>
              <w:t>)</w:t>
            </w:r>
            <w:r>
              <w:tab/>
            </w:r>
            <w:r w:rsidR="00D07584" w:rsidRPr="00740ABA">
              <w:t>Число междунаро</w:t>
            </w:r>
            <w:r w:rsidR="00D07584" w:rsidRPr="00740ABA">
              <w:t>д</w:t>
            </w:r>
            <w:r w:rsidR="00D07584" w:rsidRPr="00740ABA">
              <w:t>ных нормативно-правовых док</w:t>
            </w:r>
            <w:r w:rsidR="00D07584" w:rsidRPr="00740ABA">
              <w:t>у</w:t>
            </w:r>
            <w:r w:rsidR="00D07584" w:rsidRPr="00740ABA">
              <w:t>ментов, приведенных в соотве</w:t>
            </w:r>
            <w:r w:rsidR="00D07584" w:rsidRPr="00740ABA">
              <w:t>т</w:t>
            </w:r>
            <w:r w:rsidR="00D07584" w:rsidRPr="00740ABA">
              <w:t>ствие с последним изданием Рекомендаций Организации Объединенных Наций по пер</w:t>
            </w:r>
            <w:r w:rsidR="00D07584" w:rsidRPr="00740ABA">
              <w:t>е</w:t>
            </w:r>
            <w:r w:rsidR="00D07584" w:rsidRPr="00740ABA">
              <w:t>возке опасных грузов</w:t>
            </w:r>
            <w:proofErr w:type="gramEnd"/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6 правовых документов</w:t>
            </w:r>
            <w:r w:rsidRPr="00740ABA">
              <w:br/>
              <w:t>Целевой показатель на 2018−2019 годы: 6 правовых документов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/>
          </w:tcPr>
          <w:p w:rsidR="00D07584" w:rsidRPr="00740ABA" w:rsidRDefault="00D07584" w:rsidP="00740ABA"/>
        </w:tc>
      </w:tr>
      <w:tr w:rsidR="00D07584" w:rsidRPr="00740ABA" w:rsidTr="004863E8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4863E8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CD1064">
            <w:pPr>
              <w:pageBreakBefore/>
              <w:tabs>
                <w:tab w:val="left" w:pos="311"/>
              </w:tabs>
              <w:ind w:left="311" w:hanging="311"/>
            </w:pPr>
            <w:r w:rsidRPr="00740ABA">
              <w:t>3.</w:t>
            </w:r>
            <w:r w:rsidRPr="00740ABA">
              <w:tab/>
              <w:t xml:space="preserve">Согласование </w:t>
            </w:r>
            <w:r w:rsidR="00CD1064" w:rsidRPr="00CD1064">
              <w:br/>
            </w:r>
            <w:r w:rsidRPr="00740ABA">
              <w:t>правил в области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4863E8">
            <w:pPr>
              <w:pageBreakBefore/>
            </w:pPr>
            <w:r w:rsidRPr="00740ABA">
              <w:t>ОД 3. Разработка новых правил и поправок к существующим правилам в области тран</w:t>
            </w:r>
            <w:r w:rsidRPr="00740ABA">
              <w:t>с</w:t>
            </w:r>
            <w:r w:rsidRPr="00740ABA">
              <w:t>портных сре</w:t>
            </w:r>
            <w:proofErr w:type="gramStart"/>
            <w:r w:rsidRPr="00740ABA">
              <w:t>дств в ц</w:t>
            </w:r>
            <w:proofErr w:type="gramEnd"/>
            <w:r w:rsidRPr="00740ABA">
              <w:t>елях повышения их бе</w:t>
            </w:r>
            <w:r w:rsidRPr="00740ABA">
              <w:t>з</w:t>
            </w:r>
            <w:r w:rsidRPr="00740ABA">
              <w:t xml:space="preserve">опасности и </w:t>
            </w:r>
            <w:proofErr w:type="spellStart"/>
            <w:r w:rsidRPr="00740ABA">
              <w:t>экологичности</w:t>
            </w:r>
            <w:proofErr w:type="spellEnd"/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3. а) Принятие новых правил в области транспортных средств (правила ООН и ГТП ООН) и предписаний ООН, а также принятие поправок к ним</w:t>
            </w:r>
          </w:p>
          <w:p w:rsidR="00D07584" w:rsidRPr="00740ABA" w:rsidRDefault="00D07584" w:rsidP="00CD1064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205</w:t>
            </w:r>
            <w:r w:rsidR="00CD1064">
              <w:rPr>
                <w:lang w:val="en-US"/>
              </w:rPr>
              <w:t> </w:t>
            </w:r>
            <w:r w:rsidRPr="00740ABA">
              <w:t>поправок и новых правил, принятых до июня 2017 года, и ожидаемые показатели к сессии в ноябре 2017 года</w:t>
            </w:r>
          </w:p>
          <w:p w:rsidR="00D07584" w:rsidRPr="00740ABA" w:rsidRDefault="00D07584" w:rsidP="00CD1064">
            <w:r w:rsidRPr="00740ABA">
              <w:t>Целевой показатель на 2018−2019 годы: 100</w:t>
            </w:r>
            <w:r w:rsidR="00CD1064">
              <w:rPr>
                <w:lang w:val="en-US"/>
              </w:rPr>
              <w:t> </w:t>
            </w:r>
            <w:r w:rsidRPr="00740ABA">
              <w:t>поправок и новых правил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3. b) Публикация по WP.29 и брошюра по автономным транспортным средствам</w:t>
            </w:r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</w:t>
            </w:r>
            <w:r w:rsidRPr="00740ABA">
              <w:br/>
              <w:t>Публикация по WP.29 («Дорожная карта» по присоединению к соглашениям ООН в обл</w:t>
            </w:r>
            <w:r w:rsidRPr="00740ABA">
              <w:t>а</w:t>
            </w:r>
            <w:r w:rsidRPr="00740ABA">
              <w:t>сти транспортных средств, которая должна быть готова в начале 2018 года)</w:t>
            </w:r>
          </w:p>
          <w:p w:rsidR="00D07584" w:rsidRPr="00740ABA" w:rsidRDefault="00D07584" w:rsidP="00740ABA">
            <w:r w:rsidRPr="00740ABA">
              <w:t>Целевой показатель на 2018−2019 годы: Пу</w:t>
            </w:r>
            <w:r w:rsidRPr="00740ABA">
              <w:t>б</w:t>
            </w:r>
            <w:r w:rsidRPr="00740ABA">
              <w:t>ликация по WP.29 и публикация по вопросу о наиболее важных правилах в области тран</w:t>
            </w:r>
            <w:r w:rsidRPr="00740ABA">
              <w:t>с</w:t>
            </w:r>
            <w:r w:rsidRPr="00740ABA">
              <w:t>портных сре</w:t>
            </w:r>
            <w:proofErr w:type="gramStart"/>
            <w:r w:rsidRPr="00740ABA">
              <w:t>дств дл</w:t>
            </w:r>
            <w:proofErr w:type="gramEnd"/>
            <w:r w:rsidRPr="00740ABA">
              <w:t>я изменения ситуации с бе</w:t>
            </w:r>
            <w:r w:rsidR="004863E8">
              <w:t>зопасностью дорожного движения </w:t>
            </w:r>
            <w:r w:rsidR="004863E8" w:rsidRPr="004863E8">
              <w:t>–</w:t>
            </w:r>
            <w:r w:rsidRPr="00740ABA">
              <w:t xml:space="preserve"> Ан</w:t>
            </w:r>
            <w:r w:rsidRPr="00740ABA">
              <w:t>а</w:t>
            </w:r>
            <w:r w:rsidRPr="00740ABA">
              <w:t>лиз затрат и результатов для стран с низким и средним уровнями дохода</w:t>
            </w:r>
          </w:p>
        </w:tc>
      </w:tr>
      <w:tr w:rsidR="00D07584" w:rsidRPr="00740ABA" w:rsidTr="004863E8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CD1064">
            <w:pPr>
              <w:tabs>
                <w:tab w:val="left" w:pos="311"/>
              </w:tabs>
              <w:ind w:left="311" w:hanging="311"/>
            </w:pPr>
            <w:r w:rsidRPr="00740ABA">
              <w:t>4.</w:t>
            </w:r>
            <w:r w:rsidRPr="00740ABA">
              <w:tab/>
              <w:t>Железнодорожный транспорт (проект Трансъевропейской железнодорожной магистрали (ТЕЖ))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4.а. Более глубокое понимание железн</w:t>
            </w:r>
            <w:r w:rsidRPr="00740ABA">
              <w:t>о</w:t>
            </w:r>
            <w:r w:rsidRPr="00740ABA">
              <w:t>дорожных транспортных операций, включая вопросы инфраструктуры, пересечения гр</w:t>
            </w:r>
            <w:r w:rsidRPr="00740ABA">
              <w:t>а</w:t>
            </w:r>
            <w:r w:rsidRPr="00740ABA">
              <w:t>ниц, эксплуатационной совместимости, м</w:t>
            </w:r>
            <w:r w:rsidRPr="00740ABA">
              <w:t>о</w:t>
            </w:r>
            <w:r w:rsidRPr="00740ABA">
              <w:t>ниторинга и обновления соответствующих правовых документов, а также расширение со</w:t>
            </w:r>
            <w:r w:rsidR="004863E8">
              <w:t>трудничества стран </w:t>
            </w:r>
            <w:r w:rsidR="004863E8" w:rsidRPr="004863E8">
              <w:t>–</w:t>
            </w:r>
            <w:r w:rsidRPr="00740ABA">
              <w:t xml:space="preserve"> членов ЕЭК при р</w:t>
            </w:r>
            <w:r w:rsidRPr="00740ABA">
              <w:t>е</w:t>
            </w:r>
            <w:r w:rsidRPr="00740ABA">
              <w:t>шении этих вопросов</w:t>
            </w:r>
          </w:p>
        </w:tc>
      </w:tr>
      <w:tr w:rsidR="00D07584" w:rsidRPr="00740ABA" w:rsidTr="004863E8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4.a. а) Число стран, МПО и НПО, учас</w:t>
            </w:r>
            <w:r w:rsidRPr="00740ABA">
              <w:t>т</w:t>
            </w:r>
            <w:r w:rsidRPr="00740ABA">
              <w:t>вующих в двух ежегодных сессиях Рабочей группы по железнодорожному транспорту и проекта ТЕЖ, и степень удовлетворенности, определяемая по итогам обследований</w:t>
            </w:r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72</w:t>
            </w:r>
            <w:r w:rsidRPr="00740ABA">
              <w:br/>
              <w:t>Целевой показатель на 2018−2019 годы: 40</w:t>
            </w:r>
          </w:p>
        </w:tc>
      </w:tr>
      <w:tr w:rsidR="00D07584" w:rsidRPr="00740ABA" w:rsidTr="004863E8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4863E8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4863E8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4863E8">
            <w:pPr>
              <w:pageBreakBefore/>
            </w:pPr>
            <w:r w:rsidRPr="00740ABA">
              <w:t>ПД 4.a. b) Количество поправок к Соглаш</w:t>
            </w:r>
            <w:r w:rsidRPr="00740ABA">
              <w:t>е</w:t>
            </w:r>
            <w:r w:rsidRPr="00740ABA">
              <w:t>нию СМЖЛ, а также обновленных и изм</w:t>
            </w:r>
            <w:r w:rsidRPr="00740ABA">
              <w:t>е</w:t>
            </w:r>
            <w:r w:rsidRPr="00740ABA">
              <w:t>ненных линий в приложении I к нему, кот</w:t>
            </w:r>
            <w:r w:rsidRPr="00740ABA">
              <w:t>о</w:t>
            </w:r>
            <w:r w:rsidRPr="00740ABA">
              <w:t>рые были приняты, обновлены или изменены Рабочей группой</w:t>
            </w:r>
          </w:p>
          <w:p w:rsidR="00D07584" w:rsidRPr="00740ABA" w:rsidRDefault="00D07584" w:rsidP="004863E8">
            <w:pPr>
              <w:pageBreakBefore/>
            </w:pPr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</w:t>
            </w:r>
            <w:r w:rsidRPr="00740ABA">
              <w:br/>
              <w:t>Целевой показатель на 2018−2019 годы: 1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4.a. с) Количество организованных тем</w:t>
            </w:r>
            <w:r w:rsidRPr="00740ABA">
              <w:t>а</w:t>
            </w:r>
            <w:r w:rsidRPr="00740ABA">
              <w:t>тических рабочих совещаний/семинаров/</w:t>
            </w:r>
            <w:r w:rsidR="00CD1064" w:rsidRPr="00CD1064">
              <w:br/>
            </w:r>
            <w:r w:rsidRPr="00740ABA">
              <w:t>обсуждений и число участников</w:t>
            </w:r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2</w:t>
            </w:r>
            <w:r w:rsidRPr="00740ABA">
              <w:br/>
              <w:t>Целевой показатель на 2018−2019 годы: 2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CD1064">
            <w:pPr>
              <w:tabs>
                <w:tab w:val="left" w:pos="311"/>
              </w:tabs>
              <w:ind w:left="311" w:hanging="311"/>
            </w:pPr>
            <w:r w:rsidRPr="00740ABA">
              <w:t>5.</w:t>
            </w:r>
            <w:r w:rsidRPr="00740ABA">
              <w:tab/>
              <w:t xml:space="preserve">Внутренний </w:t>
            </w:r>
            <w:r w:rsidR="00431015">
              <w:rPr>
                <w:lang w:val="en-US"/>
              </w:rPr>
              <w:br/>
            </w:r>
            <w:r w:rsidRPr="00740ABA">
              <w:t>водный транспорт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5. Усовершенствование и обновление нормативных рамок применительно к инфр</w:t>
            </w:r>
            <w:r w:rsidRPr="00740ABA">
              <w:t>а</w:t>
            </w:r>
            <w:r w:rsidRPr="00740ABA">
              <w:t>структуре внутреннего водного транспорта и судам внутреннего плавания в регионе ЕЭК</w:t>
            </w:r>
          </w:p>
        </w:tc>
      </w:tr>
      <w:tr w:rsidR="00D07584" w:rsidRPr="00740ABA" w:rsidTr="006064CB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23249A">
            <w:pPr>
              <w:tabs>
                <w:tab w:val="left" w:pos="881"/>
              </w:tabs>
            </w:pPr>
            <w:r w:rsidRPr="00740ABA">
              <w:t>ПД 5. a)</w:t>
            </w:r>
            <w:r w:rsidR="0023249A">
              <w:t xml:space="preserve"> </w:t>
            </w:r>
            <w:r w:rsidRPr="00740ABA">
              <w:t>Стимулирование работы по подг</w:t>
            </w:r>
            <w:r w:rsidRPr="00740ABA">
              <w:t>о</w:t>
            </w:r>
            <w:r w:rsidRPr="00740ABA">
              <w:t>товке трет</w:t>
            </w:r>
            <w:r w:rsidR="004863E8">
              <w:t>ьего издания Синей книги ЕЭК и </w:t>
            </w:r>
            <w:r w:rsidR="004863E8" w:rsidRPr="004863E8">
              <w:t>–</w:t>
            </w:r>
            <w:r w:rsidR="004863E8">
              <w:t xml:space="preserve"> на этой основе </w:t>
            </w:r>
            <w:r w:rsidR="004863E8" w:rsidRPr="004863E8">
              <w:t>–</w:t>
            </w:r>
            <w:r w:rsidRPr="00740ABA">
              <w:t xml:space="preserve"> обновление Соглашения СМВП и других соответствующих докуме</w:t>
            </w:r>
            <w:r w:rsidRPr="00740ABA">
              <w:t>н</w:t>
            </w:r>
            <w:r w:rsidRPr="00740ABA">
              <w:t>тов ЕЭК</w:t>
            </w:r>
          </w:p>
          <w:p w:rsidR="00D07584" w:rsidRPr="00740ABA" w:rsidRDefault="00D07584" w:rsidP="00740ABA">
            <w:r w:rsidRPr="004863E8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</w:t>
            </w:r>
            <w:r w:rsidRPr="00740ABA">
              <w:br/>
              <w:t>принятие поправок ко второму пересмотре</w:t>
            </w:r>
            <w:r w:rsidRPr="00740ABA">
              <w:t>н</w:t>
            </w:r>
            <w:r w:rsidRPr="00740ABA">
              <w:t xml:space="preserve">ному изданию Синей </w:t>
            </w:r>
            <w:proofErr w:type="gramStart"/>
            <w:r w:rsidRPr="00740ABA">
              <w:t>книги</w:t>
            </w:r>
            <w:proofErr w:type="gramEnd"/>
            <w:r w:rsidRPr="00740ABA">
              <w:t xml:space="preserve"> и подготовка третьего пересмотренного издания Синей книги</w:t>
            </w:r>
          </w:p>
          <w:p w:rsidR="00D07584" w:rsidRPr="00D37CA7" w:rsidRDefault="00D07584" w:rsidP="00D37CA7">
            <w:pPr>
              <w:tabs>
                <w:tab w:val="left" w:pos="440"/>
              </w:tabs>
            </w:pPr>
            <w:r w:rsidRPr="00740ABA">
              <w:t>a)</w:t>
            </w:r>
            <w:r w:rsidRPr="00740ABA">
              <w:tab/>
              <w:t>Третье пересмотренное издание Синей книги было принято в ноябре 2016 года и опубликовано в июле 2017 года</w:t>
            </w:r>
            <w:r w:rsidR="00D37CA7" w:rsidRPr="00D37CA7">
              <w:t>.</w:t>
            </w:r>
          </w:p>
          <w:p w:rsidR="00D07584" w:rsidRPr="00D37CA7" w:rsidRDefault="00D07584" w:rsidP="00D37CA7">
            <w:pPr>
              <w:tabs>
                <w:tab w:val="left" w:pos="440"/>
              </w:tabs>
            </w:pPr>
            <w:r w:rsidRPr="00740ABA">
              <w:t>b)</w:t>
            </w:r>
            <w:r w:rsidRPr="00740ABA">
              <w:tab/>
              <w:t>Онлайновая база данных в рамках С</w:t>
            </w:r>
            <w:r w:rsidRPr="00740ABA">
              <w:t>и</w:t>
            </w:r>
            <w:r w:rsidRPr="00740ABA">
              <w:t xml:space="preserve">ней книги была </w:t>
            </w:r>
            <w:proofErr w:type="gramStart"/>
            <w:r w:rsidRPr="00740ABA">
              <w:t>обновлена одновременно с опубликованием Синей</w:t>
            </w:r>
            <w:proofErr w:type="gramEnd"/>
            <w:r w:rsidRPr="00740ABA">
              <w:t xml:space="preserve"> книги</w:t>
            </w:r>
            <w:r w:rsidR="00D37CA7" w:rsidRPr="00D37CA7">
              <w:t>.</w:t>
            </w:r>
          </w:p>
          <w:p w:rsidR="00D07584" w:rsidRPr="00740ABA" w:rsidRDefault="00D07584" w:rsidP="00740ABA">
            <w:r w:rsidRPr="00740ABA">
              <w:t>Целевой показатель на 2018−2019 годы:</w:t>
            </w:r>
            <w:r w:rsidRPr="00740ABA">
              <w:br/>
              <w:t>принятие поправок к СМВП, подготовка п</w:t>
            </w:r>
            <w:r w:rsidRPr="00740ABA">
              <w:t>о</w:t>
            </w:r>
            <w:r w:rsidRPr="00740ABA">
              <w:t>правки № 1 к Синей книге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CD1064">
            <w:pPr>
              <w:tabs>
                <w:tab w:val="left" w:pos="881"/>
              </w:tabs>
            </w:pPr>
            <w:r w:rsidRPr="00740ABA">
              <w:t xml:space="preserve">ПД 5. b) </w:t>
            </w:r>
            <w:r w:rsidRPr="00740ABA">
              <w:tab/>
              <w:t>Подготовка третьего издания Белой книги по эффективному и устойчивому вну</w:t>
            </w:r>
            <w:r w:rsidRPr="00740ABA">
              <w:t>т</w:t>
            </w:r>
            <w:r w:rsidRPr="00740ABA">
              <w:t>реннему водному транспорту в Европе (2020</w:t>
            </w:r>
            <w:r w:rsidR="00CD1064">
              <w:rPr>
                <w:lang w:val="en-US"/>
              </w:rPr>
              <w:t> </w:t>
            </w:r>
            <w:r w:rsidRPr="00740ABA">
              <w:t>год)</w:t>
            </w:r>
          </w:p>
          <w:p w:rsidR="00D07584" w:rsidRPr="007A728A" w:rsidRDefault="00D07584" w:rsidP="00740ABA">
            <w:r w:rsidRPr="006064CB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</w:t>
            </w:r>
            <w:r w:rsidRPr="00740ABA">
              <w:br/>
              <w:t>подготовка документа о состоянии Белой книги</w:t>
            </w:r>
          </w:p>
          <w:p w:rsidR="006064CB" w:rsidRPr="007A728A" w:rsidRDefault="006064CB" w:rsidP="00740ABA"/>
          <w:p w:rsidR="00CD1064" w:rsidRPr="007A728A" w:rsidRDefault="00CD1064" w:rsidP="00740ABA"/>
          <w:p w:rsidR="00D07584" w:rsidRPr="00740ABA" w:rsidRDefault="00D07584" w:rsidP="00C37C09">
            <w:pPr>
              <w:tabs>
                <w:tab w:val="left" w:pos="440"/>
              </w:tabs>
              <w:spacing w:before="0" w:after="100"/>
            </w:pPr>
            <w:r w:rsidRPr="00740ABA">
              <w:lastRenderedPageBreak/>
              <w:t>a)</w:t>
            </w:r>
            <w:r w:rsidRPr="00740ABA">
              <w:tab/>
              <w:t>Документ о состоянии Белой книги (ECE/TRANS</w:t>
            </w:r>
            <w:r w:rsidR="006064CB">
              <w:t>/</w:t>
            </w:r>
            <w:r w:rsidRPr="00740ABA">
              <w:t>SC.3/2015/1) был представлен КВТ в феврале 2016 года</w:t>
            </w:r>
            <w:r w:rsidR="00D37CA7" w:rsidRPr="00D37CA7">
              <w:t>.</w:t>
            </w:r>
            <w:r w:rsidRPr="00740ABA">
              <w:t xml:space="preserve"> </w:t>
            </w:r>
          </w:p>
          <w:p w:rsidR="00D07584" w:rsidRPr="00D37CA7" w:rsidRDefault="00D07584" w:rsidP="006064CB">
            <w:pPr>
              <w:tabs>
                <w:tab w:val="left" w:pos="440"/>
              </w:tabs>
              <w:spacing w:after="100"/>
            </w:pPr>
            <w:r w:rsidRPr="00740ABA">
              <w:t>b)</w:t>
            </w:r>
            <w:r w:rsidRPr="00740ABA">
              <w:tab/>
              <w:t>Исходя из этого в 2016 году SC.3 прин</w:t>
            </w:r>
            <w:r w:rsidRPr="00740ABA">
              <w:t>я</w:t>
            </w:r>
            <w:r w:rsidRPr="00740ABA">
              <w:t>ла новую стратегию на 2016−2021 годы</w:t>
            </w:r>
            <w:r w:rsidR="00D37CA7" w:rsidRPr="00D37CA7">
              <w:t>.</w:t>
            </w:r>
          </w:p>
          <w:p w:rsidR="00D07584" w:rsidRPr="00D37CA7" w:rsidRDefault="00D07584" w:rsidP="00C37C09">
            <w:pPr>
              <w:tabs>
                <w:tab w:val="left" w:pos="440"/>
              </w:tabs>
              <w:spacing w:after="100" w:line="220" w:lineRule="atLeast"/>
            </w:pPr>
            <w:r w:rsidRPr="00740ABA">
              <w:t>c)</w:t>
            </w:r>
            <w:r w:rsidRPr="00740ABA">
              <w:tab/>
              <w:t>В соответствии с рекомендациями, с</w:t>
            </w:r>
            <w:r w:rsidRPr="00740ABA">
              <w:t>о</w:t>
            </w:r>
            <w:r w:rsidRPr="00740ABA">
              <w:t>держащимися в Белой книге, в феврале 2017</w:t>
            </w:r>
            <w:r w:rsidR="006064CB">
              <w:rPr>
                <w:lang w:val="en-US"/>
              </w:rPr>
              <w:t> </w:t>
            </w:r>
            <w:r w:rsidRPr="00740ABA">
              <w:t>года была проведена Конференция в</w:t>
            </w:r>
            <w:r w:rsidRPr="00740ABA">
              <w:t>ы</w:t>
            </w:r>
            <w:r w:rsidRPr="00740ABA">
              <w:t>сокого уровня по внутреннему водному транспорту</w:t>
            </w:r>
            <w:r w:rsidR="00D37CA7" w:rsidRPr="00D37CA7">
              <w:t>.</w:t>
            </w:r>
          </w:p>
          <w:p w:rsidR="00D07584" w:rsidRPr="00D37CA7" w:rsidRDefault="00D07584" w:rsidP="00C37C09">
            <w:pPr>
              <w:tabs>
                <w:tab w:val="left" w:pos="440"/>
              </w:tabs>
              <w:spacing w:after="100" w:line="220" w:lineRule="atLeast"/>
            </w:pPr>
            <w:r w:rsidRPr="00740ABA">
              <w:t>d)</w:t>
            </w:r>
            <w:r w:rsidRPr="00740ABA">
              <w:tab/>
              <w:t>В 2017 году SC.3 начала подготовку к Глобальной конференции</w:t>
            </w:r>
            <w:r w:rsidR="00D37CA7" w:rsidRPr="00D37CA7">
              <w:t>.</w:t>
            </w:r>
          </w:p>
          <w:p w:rsidR="00D07584" w:rsidRPr="00740ABA" w:rsidRDefault="00D07584" w:rsidP="00C37C09">
            <w:pPr>
              <w:spacing w:after="100" w:line="220" w:lineRule="atLeast"/>
            </w:pPr>
            <w:r w:rsidRPr="00740ABA">
              <w:t>Целевой показатель на 2018−2019 годы:</w:t>
            </w:r>
            <w:r w:rsidRPr="00740ABA">
              <w:br/>
              <w:t>начало пересмотра Белой книги и подготовка ее следующего издания</w:t>
            </w:r>
          </w:p>
          <w:p w:rsidR="00D07584" w:rsidRPr="00740ABA" w:rsidRDefault="00D07584" w:rsidP="00AA6BC7">
            <w:pPr>
              <w:tabs>
                <w:tab w:val="left" w:pos="881"/>
              </w:tabs>
            </w:pPr>
            <w:r w:rsidRPr="00740ABA">
              <w:t xml:space="preserve">ПД 5. </w:t>
            </w:r>
            <w:r w:rsidR="0023249A">
              <w:t xml:space="preserve">c) </w:t>
            </w:r>
            <w:r w:rsidRPr="00740ABA">
              <w:t>Подготовка и принятие следующего пересмотренного варианта резолюции</w:t>
            </w:r>
            <w:r w:rsidR="006064CB">
              <w:rPr>
                <w:lang w:val="en-US"/>
              </w:rPr>
              <w:t> </w:t>
            </w:r>
            <w:r w:rsidRPr="00740ABA">
              <w:t>№</w:t>
            </w:r>
            <w:r w:rsidR="00AA6BC7">
              <w:rPr>
                <w:lang w:val="en-US"/>
              </w:rPr>
              <w:t> </w:t>
            </w:r>
            <w:r w:rsidRPr="00740ABA">
              <w:t>61 «Рекомендации, касающиеся согласованных на европейском уровне технических предп</w:t>
            </w:r>
            <w:r w:rsidRPr="00740ABA">
              <w:t>и</w:t>
            </w:r>
            <w:r w:rsidRPr="00740ABA">
              <w:t xml:space="preserve">саний, применимых к судам внутреннего плавания» </w:t>
            </w:r>
          </w:p>
          <w:p w:rsidR="00D07584" w:rsidRPr="00740ABA" w:rsidRDefault="00D07584" w:rsidP="00C37C09">
            <w:pPr>
              <w:spacing w:after="100" w:line="220" w:lineRule="atLeast"/>
            </w:pPr>
            <w:r w:rsidRPr="006064CB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</w:t>
            </w:r>
            <w:r w:rsidRPr="00740ABA">
              <w:br/>
              <w:t>подгото</w:t>
            </w:r>
            <w:r w:rsidR="006064CB">
              <w:t>вка сводного варианта резол</w:t>
            </w:r>
            <w:r w:rsidR="006064CB">
              <w:t>ю</w:t>
            </w:r>
            <w:r w:rsidR="006064CB">
              <w:t>ции</w:t>
            </w:r>
            <w:r w:rsidR="006064CB">
              <w:rPr>
                <w:lang w:val="en-US"/>
              </w:rPr>
              <w:t> </w:t>
            </w:r>
            <w:r w:rsidRPr="00740ABA">
              <w:t>№ 61 и подготовительная работа по в</w:t>
            </w:r>
            <w:r w:rsidRPr="00740ABA">
              <w:t>ы</w:t>
            </w:r>
            <w:r w:rsidRPr="00740ABA">
              <w:t xml:space="preserve">пуску ее второго пересмотренного варианта </w:t>
            </w:r>
          </w:p>
          <w:p w:rsidR="00D07584" w:rsidRPr="00FB4FAE" w:rsidRDefault="00D07584" w:rsidP="006064CB">
            <w:pPr>
              <w:tabs>
                <w:tab w:val="left" w:pos="440"/>
              </w:tabs>
              <w:spacing w:after="100"/>
            </w:pPr>
            <w:r w:rsidRPr="00740ABA">
              <w:t>a)</w:t>
            </w:r>
            <w:r w:rsidRPr="00740ABA">
              <w:tab/>
              <w:t>Поправка № 3 была распространена в 2016 году</w:t>
            </w:r>
            <w:r w:rsidR="00FB4FAE" w:rsidRPr="00FB4FAE">
              <w:t>.</w:t>
            </w:r>
          </w:p>
          <w:p w:rsidR="00D07584" w:rsidRPr="00FB4FAE" w:rsidRDefault="00D07584" w:rsidP="00C37C09">
            <w:pPr>
              <w:tabs>
                <w:tab w:val="left" w:pos="440"/>
              </w:tabs>
              <w:spacing w:after="100" w:line="220" w:lineRule="atLeast"/>
            </w:pPr>
            <w:r w:rsidRPr="00740ABA">
              <w:t>b)</w:t>
            </w:r>
            <w:r w:rsidRPr="00740ABA">
              <w:tab/>
              <w:t>Поправка № 4 была принята SC.3 в н</w:t>
            </w:r>
            <w:r w:rsidRPr="00740ABA">
              <w:t>о</w:t>
            </w:r>
            <w:r w:rsidRPr="00740ABA">
              <w:t>ябре 2017 года и распространена в 2017 году</w:t>
            </w:r>
            <w:r w:rsidR="00FB4FAE" w:rsidRPr="00FB4FAE">
              <w:t>.</w:t>
            </w:r>
          </w:p>
          <w:p w:rsidR="00D07584" w:rsidRPr="00FB4FAE" w:rsidRDefault="00D07584" w:rsidP="00C37C09">
            <w:pPr>
              <w:tabs>
                <w:tab w:val="left" w:pos="440"/>
              </w:tabs>
              <w:spacing w:after="100" w:line="220" w:lineRule="atLeast"/>
            </w:pPr>
            <w:r w:rsidRPr="00740ABA">
              <w:t>c)</w:t>
            </w:r>
            <w:r w:rsidRPr="00740ABA">
              <w:tab/>
              <w:t>Новые предложения по поправкам были представлены SC.3 и SC.3/WP.3 для включ</w:t>
            </w:r>
            <w:r w:rsidRPr="00740ABA">
              <w:t>е</w:t>
            </w:r>
            <w:r w:rsidRPr="00740ABA">
              <w:t>ния в сводный вариант в 2017 году</w:t>
            </w:r>
            <w:r w:rsidR="00FB4FAE" w:rsidRPr="00FB4FAE">
              <w:t>.</w:t>
            </w:r>
          </w:p>
          <w:p w:rsidR="00D07584" w:rsidRPr="00FB4FAE" w:rsidRDefault="00D07584" w:rsidP="00C37C09">
            <w:pPr>
              <w:tabs>
                <w:tab w:val="left" w:pos="440"/>
              </w:tabs>
              <w:spacing w:after="100" w:line="220" w:lineRule="atLeast"/>
            </w:pPr>
            <w:r w:rsidRPr="00740ABA">
              <w:t>d)</w:t>
            </w:r>
            <w:r w:rsidRPr="00740ABA">
              <w:tab/>
              <w:t>В 2017 году SC.3 приступила к подг</w:t>
            </w:r>
            <w:r w:rsidRPr="00740ABA">
              <w:t>о</w:t>
            </w:r>
            <w:r w:rsidRPr="00740ABA">
              <w:t>товке сводного варианта резолюции № 61 с надлежащим учетом последних изменений</w:t>
            </w:r>
            <w:r w:rsidR="00FB4FAE" w:rsidRPr="00FB4FAE">
              <w:t>.</w:t>
            </w:r>
          </w:p>
          <w:p w:rsidR="00D07584" w:rsidRPr="00740ABA" w:rsidRDefault="00D07584" w:rsidP="00C37C09">
            <w:pPr>
              <w:spacing w:after="100" w:line="220" w:lineRule="atLeast"/>
            </w:pPr>
            <w:r w:rsidRPr="00740ABA">
              <w:t>Целевой показатель на 2018−2019 годы:</w:t>
            </w:r>
            <w:r w:rsidRPr="00740ABA">
              <w:br/>
              <w:t>завершение подготовки сводного текста р</w:t>
            </w:r>
            <w:r w:rsidRPr="00740ABA">
              <w:t>е</w:t>
            </w:r>
            <w:r w:rsidRPr="00740ABA">
              <w:t xml:space="preserve">золюции № 61 для окончательного принятия 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AA6BC7">
            <w:pPr>
              <w:tabs>
                <w:tab w:val="left" w:pos="311"/>
              </w:tabs>
              <w:ind w:left="311" w:hanging="311"/>
            </w:pPr>
            <w:r w:rsidRPr="00740ABA">
              <w:t>6.</w:t>
            </w:r>
            <w:r w:rsidRPr="00740ABA">
              <w:tab/>
            </w:r>
            <w:proofErr w:type="spellStart"/>
            <w:r w:rsidRPr="00740ABA">
              <w:t>Интермодальные</w:t>
            </w:r>
            <w:proofErr w:type="spellEnd"/>
            <w:r w:rsidRPr="00740ABA">
              <w:t xml:space="preserve"> перевозки и лог</w:t>
            </w:r>
            <w:r w:rsidRPr="00740ABA">
              <w:t>и</w:t>
            </w:r>
            <w:r w:rsidRPr="00740ABA">
              <w:t>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C37C09">
            <w:pPr>
              <w:spacing w:line="220" w:lineRule="atLeast"/>
            </w:pPr>
            <w:r w:rsidRPr="00740ABA">
              <w:t xml:space="preserve">ОД 6. Укрепление системы устойчивых </w:t>
            </w:r>
            <w:proofErr w:type="spellStart"/>
            <w:r w:rsidRPr="00740ABA">
              <w:t>и</w:t>
            </w:r>
            <w:r w:rsidRPr="00740ABA">
              <w:t>н</w:t>
            </w:r>
            <w:r w:rsidRPr="00740ABA">
              <w:t>термодальных</w:t>
            </w:r>
            <w:proofErr w:type="spellEnd"/>
            <w:r w:rsidRPr="00740ABA">
              <w:t xml:space="preserve"> транспортно-логистических операций и стратегий в регионе, а также р</w:t>
            </w:r>
            <w:r w:rsidR="00AA6BC7">
              <w:t>асширение сотрудничества стран </w:t>
            </w:r>
            <w:r w:rsidR="00AA6BC7" w:rsidRPr="00AA6BC7">
              <w:t>–</w:t>
            </w:r>
            <w:r w:rsidRPr="00740ABA">
              <w:t xml:space="preserve"> членов ЕЭК при решении этих вопросов посре</w:t>
            </w:r>
            <w:r w:rsidRPr="00740ABA">
              <w:t>д</w:t>
            </w:r>
            <w:r w:rsidRPr="00740ABA">
              <w:t>ством обмена опытом и примерами раци</w:t>
            </w:r>
            <w:r w:rsidRPr="00740ABA">
              <w:t>о</w:t>
            </w:r>
            <w:r w:rsidRPr="00740ABA">
              <w:t>нальной практики. Речь идет о вопросах и</w:t>
            </w:r>
            <w:r w:rsidRPr="00740ABA">
              <w:t>н</w:t>
            </w:r>
            <w:r w:rsidRPr="00740ABA">
              <w:t xml:space="preserve">фраструктуры и пересечения границ, а также о </w:t>
            </w:r>
            <w:proofErr w:type="gramStart"/>
            <w:r w:rsidRPr="00740ABA">
              <w:t>контроле за</w:t>
            </w:r>
            <w:proofErr w:type="gramEnd"/>
            <w:r w:rsidRPr="00740ABA">
              <w:t xml:space="preserve"> применением и обновлении соответствующих правовых документов (С</w:t>
            </w:r>
            <w:r w:rsidRPr="00740ABA">
              <w:t>о</w:t>
            </w:r>
            <w:r w:rsidRPr="00740ABA">
              <w:t>глашения СЛКП и Протокола о перевозках по внутренним водным путям к этому Соглаш</w:t>
            </w:r>
            <w:r w:rsidRPr="00740ABA">
              <w:t>е</w:t>
            </w:r>
            <w:r w:rsidRPr="00740ABA">
              <w:t>нию)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 xml:space="preserve">ПД 6. а) Число стран, межправительственных организаций (МПО) и неправительственных организаций (НПО), участвующих в двух ежегодных совещаниях Рабочей группы по </w:t>
            </w:r>
            <w:proofErr w:type="spellStart"/>
            <w:r w:rsidRPr="00740ABA">
              <w:t>интермодальным</w:t>
            </w:r>
            <w:proofErr w:type="spellEnd"/>
            <w:r w:rsidRPr="00740ABA">
              <w:t xml:space="preserve"> перевозкам и логистике (WP.24)</w:t>
            </w:r>
          </w:p>
          <w:p w:rsidR="00D07584" w:rsidRPr="00740ABA" w:rsidRDefault="00D07584" w:rsidP="00AA6BC7"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2017</w:t>
            </w:r>
            <w:r w:rsidR="00AA6BC7">
              <w:rPr>
                <w:lang w:val="en-US"/>
              </w:rPr>
              <w:t> </w:t>
            </w:r>
            <w:r w:rsidRPr="00740ABA">
              <w:t>год: TBA</w:t>
            </w:r>
            <w:r w:rsidRPr="00740ABA">
              <w:br/>
              <w:t xml:space="preserve">Целевой показатель на 2018–2019 годы: 35 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6. b) Число поправок, а также обновле</w:t>
            </w:r>
            <w:r w:rsidRPr="00740ABA">
              <w:t>н</w:t>
            </w:r>
            <w:r w:rsidRPr="00740ABA">
              <w:t>ных и измененных линий в Соглашении СЛКП и в Протоколе к нему</w:t>
            </w:r>
          </w:p>
          <w:p w:rsidR="00D07584" w:rsidRPr="00740ABA" w:rsidRDefault="00D07584" w:rsidP="0023249A"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</w:t>
            </w:r>
            <w:r w:rsidR="0023249A">
              <w:t> </w:t>
            </w:r>
            <w:r w:rsidRPr="00740ABA">
              <w:t>поправка в 2016 году</w:t>
            </w:r>
            <w:r w:rsidRPr="00740ABA">
              <w:br/>
              <w:t xml:space="preserve">Целевой </w:t>
            </w:r>
            <w:r w:rsidR="0023249A">
              <w:t>показатель на 2018−2019 годы: 2 </w:t>
            </w:r>
            <w:r w:rsidRPr="00740ABA">
              <w:t>поправки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6. c) Уровень удовлетворенности учас</w:t>
            </w:r>
            <w:r w:rsidRPr="00740ABA">
              <w:t>т</w:t>
            </w:r>
            <w:r w:rsidRPr="00740ABA">
              <w:t>ников в отношении полезности информации, совещаний и мероприятий согласно отчетам об обследованиях, проводимых после сессий, или отзывов, переданных в секретариат</w:t>
            </w:r>
          </w:p>
          <w:p w:rsidR="00D07584" w:rsidRPr="00740ABA" w:rsidRDefault="00D07584" w:rsidP="00AA6BC7"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t xml:space="preserve"> </w:t>
            </w:r>
            <w:r w:rsidRPr="00740ABA">
              <w:br/>
              <w:t>Целевой показатель на 2018−2019 годы: 75%</w:t>
            </w:r>
            <w:r w:rsidR="00AA6BC7">
              <w:rPr>
                <w:lang w:val="en-US"/>
              </w:rPr>
              <w:t> </w:t>
            </w:r>
            <w:r w:rsidRPr="00740ABA">
              <w:t>положительных отзывов</w:t>
            </w:r>
          </w:p>
        </w:tc>
      </w:tr>
      <w:tr w:rsidR="00D07584" w:rsidRPr="00740ABA" w:rsidTr="00C37C09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23249A">
            <w:pPr>
              <w:ind w:left="507" w:hanging="518"/>
            </w:pPr>
            <w:r w:rsidRPr="00740ABA">
              <w:t>7.a.</w:t>
            </w:r>
            <w:r w:rsidRPr="00740ABA">
              <w:tab/>
              <w:t xml:space="preserve">Таможенные </w:t>
            </w:r>
            <w:r w:rsidR="0023249A">
              <w:br/>
            </w:r>
            <w:r w:rsidRPr="00740ABA">
              <w:t>вопросы, связа</w:t>
            </w:r>
            <w:r w:rsidRPr="00740ABA">
              <w:t>н</w:t>
            </w:r>
            <w:r w:rsidRPr="00740ABA">
              <w:t>ные с транспо</w:t>
            </w:r>
            <w:r w:rsidRPr="00740ABA">
              <w:t>р</w:t>
            </w:r>
            <w:r w:rsidRPr="00740ABA">
              <w:t>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7.а. Присоединение новых стран к ме</w:t>
            </w:r>
            <w:r w:rsidRPr="00740ABA">
              <w:t>ж</w:t>
            </w:r>
            <w:r w:rsidRPr="00740ABA">
              <w:t>дународным правовым инструментам в обл</w:t>
            </w:r>
            <w:r w:rsidRPr="00740ABA">
              <w:t>а</w:t>
            </w:r>
            <w:r w:rsidRPr="00740ABA">
              <w:t>сти облегчения пересечения границ и более эффективное их осуществление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7.a. a) Совокупное количество делегаций стран (Договаривающихся сторон) и учас</w:t>
            </w:r>
            <w:r w:rsidRPr="00740ABA">
              <w:t>т</w:t>
            </w:r>
            <w:r w:rsidRPr="00740ABA">
              <w:t>ников на сессиях Рабочей группы по там</w:t>
            </w:r>
            <w:r w:rsidRPr="00740ABA">
              <w:t>о</w:t>
            </w:r>
            <w:r w:rsidRPr="00740ABA">
              <w:t xml:space="preserve">женным вопросам, связанным с транспортом (WP.30), и ее административных комитетов (AC.2 и AC.3), а также на совещаниях групп экспертов </w:t>
            </w:r>
          </w:p>
          <w:p w:rsidR="00D07584" w:rsidRPr="00740ABA" w:rsidRDefault="00D07584" w:rsidP="00AA6BC7"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400</w:t>
            </w:r>
            <w:r w:rsidR="00AA6BC7">
              <w:rPr>
                <w:lang w:val="en-US"/>
              </w:rPr>
              <w:t> </w:t>
            </w:r>
            <w:r w:rsidRPr="00740ABA">
              <w:t>делегаций, 1 000 участников</w:t>
            </w:r>
            <w:r w:rsidRPr="00740ABA">
              <w:br/>
              <w:t xml:space="preserve">Фактический показатель за 2016–2017 годы: 450 делегаций, 993 участника </w:t>
            </w:r>
            <w:r w:rsidRPr="00740ABA">
              <w:br/>
              <w:t>Целевой показатель на 2018−2019 годы: 475</w:t>
            </w:r>
            <w:r w:rsidR="00AA6BC7">
              <w:rPr>
                <w:lang w:val="en-US"/>
              </w:rPr>
              <w:t> </w:t>
            </w:r>
            <w:r w:rsidRPr="00740ABA">
              <w:t>делегаций, 1 150 участников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C37C09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C37C09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E25F34">
            <w:pPr>
              <w:spacing w:after="100"/>
            </w:pPr>
            <w:r w:rsidRPr="00740ABA">
              <w:t>ПД 7.a. b) Количество принятых и/или ра</w:t>
            </w:r>
            <w:r w:rsidRPr="00740ABA">
              <w:t>с</w:t>
            </w:r>
            <w:r w:rsidRPr="00740ABA">
              <w:t xml:space="preserve">смотренных новых поправок и количество новых Договаривающихся сторон </w:t>
            </w:r>
          </w:p>
          <w:p w:rsidR="00D07584" w:rsidRPr="00740ABA" w:rsidRDefault="00D07584" w:rsidP="00E25F34">
            <w:pPr>
              <w:spacing w:after="100"/>
            </w:pPr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br/>
              <w:t xml:space="preserve">Базовый </w:t>
            </w:r>
            <w:r w:rsidR="00AA6BC7">
              <w:t>показатель на 2016−2017 годы: 3</w:t>
            </w:r>
            <w:r w:rsidR="00AA6BC7">
              <w:rPr>
                <w:lang w:val="en-US"/>
              </w:rPr>
              <w:t> </w:t>
            </w:r>
            <w:r w:rsidRPr="00740ABA">
              <w:t>принятые и/или рассмотренные поправки, 2</w:t>
            </w:r>
            <w:r w:rsidR="00AA6BC7">
              <w:rPr>
                <w:lang w:val="en-US"/>
              </w:rPr>
              <w:t> </w:t>
            </w:r>
            <w:r w:rsidRPr="00740ABA">
              <w:t>новые Договаривающиеся стороны</w:t>
            </w:r>
          </w:p>
          <w:p w:rsidR="00D07584" w:rsidRPr="00740ABA" w:rsidRDefault="00D07584" w:rsidP="00E25F34">
            <w:pPr>
              <w:spacing w:after="100"/>
            </w:pPr>
            <w:r w:rsidRPr="00740ABA">
              <w:t xml:space="preserve">Фактический показатель за 2016–2017 годы: 21 поправка, 4 новые Договаривающиеся стороны </w:t>
            </w:r>
          </w:p>
          <w:p w:rsidR="00D07584" w:rsidRPr="00740ABA" w:rsidRDefault="00D07584" w:rsidP="00E25F34">
            <w:pPr>
              <w:spacing w:after="100"/>
            </w:pPr>
            <w:r w:rsidRPr="00740ABA">
              <w:t>Целевой показатель на 2018−2019 годы: 3</w:t>
            </w:r>
            <w:r w:rsidR="00430FBA">
              <w:rPr>
                <w:lang w:val="en-US"/>
              </w:rPr>
              <w:t> </w:t>
            </w:r>
            <w:r w:rsidRPr="00740ABA">
              <w:t>поправки, 2 новые Договаривающиеся ст</w:t>
            </w:r>
            <w:r w:rsidRPr="00740ABA">
              <w:t>о</w:t>
            </w:r>
            <w:r w:rsidRPr="00740ABA">
              <w:t>роны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23249A">
            <w:pPr>
              <w:tabs>
                <w:tab w:val="left" w:pos="311"/>
              </w:tabs>
              <w:ind w:left="311" w:hanging="311"/>
            </w:pPr>
            <w:r w:rsidRPr="00740ABA">
              <w:t>8.</w:t>
            </w:r>
            <w:r w:rsidRPr="00740ABA">
              <w:tab/>
              <w:t>Общеевропейская программа по транспорту, окр</w:t>
            </w:r>
            <w:r w:rsidRPr="00740ABA">
              <w:t>у</w:t>
            </w:r>
            <w:r w:rsidRPr="00740ABA">
              <w:t>жающей среде и охране здоровья (ОПТОСОЗ)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E25F34">
            <w:pPr>
              <w:spacing w:after="100"/>
            </w:pPr>
            <w:r w:rsidRPr="00740ABA">
              <w:t>ОД 8. Обмен опытом, добросовестной пра</w:t>
            </w:r>
            <w:r w:rsidRPr="00740ABA">
              <w:t>к</w:t>
            </w:r>
            <w:r w:rsidRPr="00740ABA">
              <w:t>тикой и наращивание потенциала в целях интеграции политики в области транспорта, окружающей среды и охраны здоровья с уд</w:t>
            </w:r>
            <w:r w:rsidRPr="00740ABA">
              <w:t>е</w:t>
            </w:r>
            <w:r w:rsidRPr="00740ABA">
              <w:t>лением особого внимания странам Восто</w:t>
            </w:r>
            <w:r w:rsidRPr="00740ABA">
              <w:t>ч</w:t>
            </w:r>
            <w:r w:rsidRPr="00740ABA">
              <w:t>ной Европы, Кавказа и Центральной Азии (ВЕКЦА) и Юго-Восточной Европы (ЮВЕ)</w:t>
            </w:r>
          </w:p>
        </w:tc>
      </w:tr>
      <w:tr w:rsidR="00D07584" w:rsidRPr="00740ABA" w:rsidTr="00C37C09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E25F34">
            <w:pPr>
              <w:spacing w:after="100"/>
            </w:pPr>
            <w:r w:rsidRPr="00740ABA">
              <w:t>ПД 8. Более активное вовлечение госу</w:t>
            </w:r>
            <w:r w:rsidR="002140D7">
              <w:t>дарств</w:t>
            </w:r>
            <w:r w:rsidR="002140D7" w:rsidRPr="001A7006">
              <w:t>-</w:t>
            </w:r>
            <w:r w:rsidRPr="00740ABA">
              <w:t xml:space="preserve">членов и информационно-координационных центров ОПТОСОЗ в деятельность в рамках политики в области транспорта, окружающей среды и охраны здоровья </w:t>
            </w:r>
          </w:p>
          <w:p w:rsidR="00D07584" w:rsidRPr="00740ABA" w:rsidRDefault="00D07584" w:rsidP="00E25F34">
            <w:pPr>
              <w:spacing w:after="100"/>
            </w:pPr>
            <w:r w:rsidRPr="00C37C09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60 стран и 43 межправительственные и неправител</w:t>
            </w:r>
            <w:r w:rsidRPr="00740ABA">
              <w:t>ь</w:t>
            </w:r>
            <w:r w:rsidRPr="00740ABA">
              <w:t>ственные организации; 5 рабочих совещаний по наращиванию потенциала и 2 сессии Р</w:t>
            </w:r>
            <w:r w:rsidRPr="00740ABA">
              <w:t>у</w:t>
            </w:r>
            <w:r w:rsidRPr="00740ABA">
              <w:t>ководящего комитета</w:t>
            </w:r>
          </w:p>
          <w:p w:rsidR="00D07584" w:rsidRPr="00740ABA" w:rsidRDefault="00D07584" w:rsidP="00E25F34">
            <w:pPr>
              <w:spacing w:after="100"/>
            </w:pPr>
            <w:r w:rsidRPr="00740ABA">
              <w:t>Целевой показатель на 2018–2019 годы: 60</w:t>
            </w:r>
            <w:r w:rsidR="00430FBA">
              <w:rPr>
                <w:lang w:val="en-US"/>
              </w:rPr>
              <w:t> </w:t>
            </w:r>
            <w:r w:rsidRPr="00740ABA">
              <w:t>стран и 20 межправительственных и н</w:t>
            </w:r>
            <w:r w:rsidRPr="00740ABA">
              <w:t>е</w:t>
            </w:r>
            <w:r w:rsidRPr="00740ABA">
              <w:t>правительственных организаций; 3 рабочих совещания по наращиванию потенциала и 2</w:t>
            </w:r>
            <w:r w:rsidR="00430FBA">
              <w:rPr>
                <w:lang w:val="en-US"/>
              </w:rPr>
              <w:t> </w:t>
            </w:r>
            <w:r w:rsidRPr="00740ABA">
              <w:t>сессии Руководящего комитета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23249A">
            <w:pPr>
              <w:tabs>
                <w:tab w:val="left" w:pos="437"/>
              </w:tabs>
              <w:ind w:left="437" w:hanging="437"/>
            </w:pPr>
            <w:r w:rsidRPr="00740ABA">
              <w:t>9.a.</w:t>
            </w:r>
            <w:r w:rsidRPr="00740ABA">
              <w:tab/>
              <w:t xml:space="preserve">Перевозка </w:t>
            </w:r>
            <w:r w:rsidR="0023249A">
              <w:br/>
            </w:r>
            <w:r w:rsidRPr="00740ABA">
              <w:t>опасных грузов (ЕЭК)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E25F34">
            <w:pPr>
              <w:spacing w:after="100" w:line="220" w:lineRule="atLeast"/>
            </w:pPr>
            <w:proofErr w:type="gramStart"/>
            <w:r w:rsidRPr="00740ABA">
              <w:t>ОД 9.а. Принятие поправок к ДОПОГ и </w:t>
            </w:r>
            <w:r w:rsidR="00942CF3" w:rsidRPr="00942CF3">
              <w:t>–</w:t>
            </w:r>
            <w:r w:rsidRPr="00740ABA">
              <w:t xml:space="preserve"> посредством работы, проводимой совместно с Межправительственной организацией по международным железнодорожным перево</w:t>
            </w:r>
            <w:r w:rsidRPr="00740ABA">
              <w:t>з</w:t>
            </w:r>
            <w:r w:rsidRPr="00740ABA">
              <w:t>кам (ОТИФ) и Центральной комиссией суд</w:t>
            </w:r>
            <w:r w:rsidRPr="00740ABA">
              <w:t>о</w:t>
            </w:r>
            <w:r w:rsidRPr="00740ABA">
              <w:t>ходства по Рейну (ЦКСР),</w:t>
            </w:r>
            <w:r w:rsidR="00942CF3" w:rsidRPr="00942CF3">
              <w:t xml:space="preserve"> –</w:t>
            </w:r>
            <w:r w:rsidRPr="00740ABA">
              <w:t xml:space="preserve"> поправок соо</w:t>
            </w:r>
            <w:r w:rsidRPr="00740ABA">
              <w:t>т</w:t>
            </w:r>
            <w:r w:rsidRPr="00740ABA">
              <w:t>ветственно к МПОГ и ВОПОГ, направленных на поддержание необходимого уровня бе</w:t>
            </w:r>
            <w:r w:rsidRPr="00740ABA">
              <w:t>з</w:t>
            </w:r>
            <w:r w:rsidRPr="00740ABA">
              <w:t>опасности, защиты и охраны окружающей среды в рамках единообразной, согласова</w:t>
            </w:r>
            <w:r w:rsidRPr="00740ABA">
              <w:t>н</w:t>
            </w:r>
            <w:r w:rsidRPr="00740ABA">
              <w:t>ной и последовательной системы правил перевозки опасных грузов, основанной на Рекомендациях Организации Объединенных</w:t>
            </w:r>
            <w:proofErr w:type="gramEnd"/>
            <w:r w:rsidRPr="00740ABA">
              <w:t xml:space="preserve"> Наций по перевозке опасных грузов, и их эффективное применение на основе межд</w:t>
            </w:r>
            <w:r w:rsidRPr="00740ABA">
              <w:t>у</w:t>
            </w:r>
            <w:r w:rsidRPr="00740ABA">
              <w:t>народного и национального законодательства</w:t>
            </w:r>
          </w:p>
        </w:tc>
      </w:tr>
      <w:tr w:rsidR="00D07584" w:rsidRPr="00740ABA" w:rsidTr="00C37C09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942CF3">
            <w:proofErr w:type="gramStart"/>
            <w:r w:rsidRPr="00740ABA">
              <w:t>ПД 9.a. а) Поправки к ДОПОГ, МПОГ и ВОПОГ, принятые в 2017 и 2018 годах, кот</w:t>
            </w:r>
            <w:r w:rsidRPr="00740ABA">
              <w:t>о</w:t>
            </w:r>
            <w:r w:rsidRPr="00740ABA">
              <w:t xml:space="preserve">рые вступили в силу для международных перевозок 1 января 2019 года и введены в действие для внутренних перевозок с 1 </w:t>
            </w:r>
            <w:r w:rsidR="00942CF3">
              <w:t>июля 2019 года во всех странах </w:t>
            </w:r>
            <w:r w:rsidR="00942CF3" w:rsidRPr="00942CF3">
              <w:t>–</w:t>
            </w:r>
            <w:r w:rsidRPr="00740ABA">
              <w:t xml:space="preserve"> членах Европе</w:t>
            </w:r>
            <w:r w:rsidRPr="00740ABA">
              <w:t>й</w:t>
            </w:r>
            <w:r w:rsidRPr="00740ABA">
              <w:t>ского союза и Европейского экономического пространства (ЕЭП), с учетом, в частности, Рекомендаций Организации Объединенных Наций по перевозке</w:t>
            </w:r>
            <w:proofErr w:type="gramEnd"/>
            <w:r w:rsidRPr="00740ABA">
              <w:t xml:space="preserve"> опасных гру</w:t>
            </w:r>
            <w:r w:rsidR="00942CF3">
              <w:t>зов –</w:t>
            </w:r>
            <w:r w:rsidRPr="00740ABA">
              <w:t xml:space="preserve"> Тип</w:t>
            </w:r>
            <w:r w:rsidRPr="00740ABA">
              <w:t>о</w:t>
            </w:r>
            <w:r w:rsidRPr="00740ABA">
              <w:t>вые правила 2017 года (</w:t>
            </w:r>
            <w:r w:rsidR="00942CF3">
              <w:t>двадцатое</w:t>
            </w:r>
            <w:r w:rsidRPr="00740ABA">
              <w:t xml:space="preserve"> пересмо</w:t>
            </w:r>
            <w:r w:rsidRPr="00740ABA">
              <w:t>т</w:t>
            </w:r>
            <w:r w:rsidRPr="00740ABA">
              <w:t>ренное издание)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 xml:space="preserve">Базовый показатель на 2016−2017 годы: </w:t>
            </w:r>
            <w:r w:rsidRPr="00740ABA">
              <w:br/>
              <w:t>1 набор поправок к каждому правовому д</w:t>
            </w:r>
            <w:r w:rsidRPr="00740ABA">
              <w:t>о</w:t>
            </w:r>
            <w:r w:rsidRPr="00740ABA">
              <w:t>кументу</w:t>
            </w:r>
            <w:r w:rsidRPr="00740ABA">
              <w:br/>
              <w:t xml:space="preserve">Целевой показатель на 2018−2019 годы: </w:t>
            </w:r>
            <w:r w:rsidRPr="00740ABA">
              <w:br/>
              <w:t>1 набор поправок к каждому правовому д</w:t>
            </w:r>
            <w:r w:rsidRPr="00740ABA">
              <w:t>о</w:t>
            </w:r>
            <w:r w:rsidRPr="00740ABA">
              <w:t>кументу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942CF3">
            <w:r w:rsidRPr="00740ABA">
              <w:t>ПД 9.a. b) Опубликование до конца 2018 года сводных пересмотренных изданий ДОПОГ и</w:t>
            </w:r>
            <w:r w:rsidR="00942CF3">
              <w:t> </w:t>
            </w:r>
            <w:r w:rsidRPr="00740ABA">
              <w:t>ВОПОГ 2019 года</w:t>
            </w:r>
          </w:p>
          <w:p w:rsidR="00D07584" w:rsidRPr="00740ABA" w:rsidRDefault="00D07584" w:rsidP="00942CF3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</w:t>
            </w:r>
            <w:r w:rsidR="00942CF3">
              <w:t> </w:t>
            </w:r>
            <w:r w:rsidRPr="00740ABA">
              <w:t>ДОПОГ, 1 ВОПОГ</w:t>
            </w:r>
            <w:r w:rsidRPr="00740ABA">
              <w:br/>
              <w:t xml:space="preserve">Целевой </w:t>
            </w:r>
            <w:r w:rsidR="00942CF3">
              <w:t>показатель на 2018−2019 годы: 1 </w:t>
            </w:r>
            <w:r w:rsidRPr="00740ABA">
              <w:t>ДОПОГ, 1 ВОПОГ</w:t>
            </w:r>
          </w:p>
        </w:tc>
      </w:tr>
      <w:tr w:rsidR="00D07584" w:rsidRPr="00740ABA" w:rsidTr="00577EE1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942CF3">
            <w:pPr>
              <w:ind w:left="567" w:hanging="567"/>
            </w:pPr>
            <w:r w:rsidRPr="00740ABA">
              <w:t>10.a.</w:t>
            </w:r>
            <w:r w:rsidRPr="00740ABA">
              <w:tab/>
              <w:t xml:space="preserve">Перевозка </w:t>
            </w:r>
            <w:r w:rsidR="00942CF3">
              <w:br/>
            </w:r>
            <w:r w:rsidRPr="00740ABA">
              <w:t>опасных грузов (ЭКОСОС)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942CF3">
            <w:r w:rsidRPr="00740ABA">
              <w:t>ОД 10.а. Принятие поправок к Рекомендац</w:t>
            </w:r>
            <w:r w:rsidRPr="00740ABA">
              <w:t>и</w:t>
            </w:r>
            <w:r w:rsidRPr="00740ABA">
              <w:t>ям Организации Объединенных Нац</w:t>
            </w:r>
            <w:r w:rsidR="00942CF3">
              <w:t>ий по перевозке опасных грузов –</w:t>
            </w:r>
            <w:r w:rsidRPr="00740ABA">
              <w:t xml:space="preserve"> Типовые прав</w:t>
            </w:r>
            <w:r w:rsidRPr="00740ABA">
              <w:t>и</w:t>
            </w:r>
            <w:r w:rsidR="00942CF3">
              <w:t>ла –</w:t>
            </w:r>
            <w:r w:rsidRPr="00740ABA">
              <w:t xml:space="preserve"> и к Руководству по испытаниям и крит</w:t>
            </w:r>
            <w:r w:rsidRPr="00740ABA">
              <w:t>е</w:t>
            </w:r>
            <w:r w:rsidRPr="00740ABA">
              <w:t>риям и выпуск новых рекомендаций в 2018</w:t>
            </w:r>
            <w:r w:rsidR="00942CF3">
              <w:t> </w:t>
            </w:r>
            <w:r w:rsidRPr="00740ABA">
              <w:t>году; опубликование в 2019 году новых сводных вариантов Типовых правил и Рук</w:t>
            </w:r>
            <w:r w:rsidRPr="00740ABA">
              <w:t>о</w:t>
            </w:r>
            <w:r w:rsidRPr="00740ABA">
              <w:t>водства по испытаниям и критериям, вкл</w:t>
            </w:r>
            <w:r w:rsidRPr="00740ABA">
              <w:t>ю</w:t>
            </w:r>
            <w:r w:rsidRPr="00740ABA">
              <w:t>чающих поправки и новые рекомендации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1A7006">
            <w:r w:rsidRPr="00740ABA">
              <w:t xml:space="preserve">ПД 10.a. а) Поправки к </w:t>
            </w:r>
            <w:r w:rsidR="001A7006">
              <w:t>двадцатому</w:t>
            </w:r>
            <w:r w:rsidRPr="00740ABA">
              <w:t xml:space="preserve"> пер</w:t>
            </w:r>
            <w:r w:rsidRPr="00740ABA">
              <w:t>е</w:t>
            </w:r>
            <w:r w:rsidRPr="00740ABA">
              <w:t xml:space="preserve">смотренному изданию Типовых правил и к </w:t>
            </w:r>
            <w:r w:rsidR="00942CF3">
              <w:t>шестому</w:t>
            </w:r>
            <w:r w:rsidRPr="00740ABA">
              <w:t xml:space="preserve"> пересмотренному изданию Рук</w:t>
            </w:r>
            <w:r w:rsidRPr="00740ABA">
              <w:t>о</w:t>
            </w:r>
            <w:r w:rsidRPr="00740ABA">
              <w:t>водства по испытаниям и критериям, прин</w:t>
            </w:r>
            <w:r w:rsidRPr="00740ABA">
              <w:t>я</w:t>
            </w:r>
            <w:r w:rsidRPr="00740ABA">
              <w:t>тые в 2018</w:t>
            </w:r>
            <w:r w:rsidR="00942CF3">
              <w:t> </w:t>
            </w:r>
            <w:r w:rsidRPr="00740ABA">
              <w:t>году</w:t>
            </w:r>
          </w:p>
          <w:p w:rsidR="00D07584" w:rsidRPr="00740ABA" w:rsidRDefault="00D07584" w:rsidP="00942CF3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2</w:t>
            </w:r>
            <w:r w:rsidR="00942CF3">
              <w:t> </w:t>
            </w:r>
            <w:r w:rsidRPr="00740ABA">
              <w:t xml:space="preserve">набора поправок </w:t>
            </w:r>
            <w:r w:rsidRPr="00740ABA">
              <w:br/>
              <w:t>Целевой показатель на 2018–2019 годы: 2</w:t>
            </w:r>
            <w:r w:rsidR="00942CF3">
              <w:t> </w:t>
            </w:r>
            <w:r w:rsidRPr="00740ABA">
              <w:t>набора поправок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577EE1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577EE1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942CF3">
            <w:pPr>
              <w:pageBreakBefore/>
            </w:pPr>
            <w:r w:rsidRPr="00740ABA">
              <w:t xml:space="preserve">ПД 10.a. b) Опубликование </w:t>
            </w:r>
            <w:r w:rsidR="00942CF3">
              <w:t>двадцать первого</w:t>
            </w:r>
            <w:r w:rsidRPr="00740ABA">
              <w:t xml:space="preserve"> пересмотренного издания Типовых правил и </w:t>
            </w:r>
            <w:r w:rsidR="00942CF3">
              <w:t>седьмого</w:t>
            </w:r>
            <w:r w:rsidRPr="00740ABA">
              <w:t xml:space="preserve"> пересмотренного издания Руково</w:t>
            </w:r>
            <w:r w:rsidRPr="00740ABA">
              <w:t>д</w:t>
            </w:r>
            <w:r w:rsidRPr="00740ABA">
              <w:t xml:space="preserve">ства (или поправки к </w:t>
            </w:r>
            <w:r w:rsidR="00942CF3">
              <w:t>шестому</w:t>
            </w:r>
            <w:r w:rsidRPr="00740ABA">
              <w:t xml:space="preserve"> пересмотре</w:t>
            </w:r>
            <w:r w:rsidRPr="00740ABA">
              <w:t>н</w:t>
            </w:r>
            <w:r w:rsidRPr="00740ABA">
              <w:t>ному изданию) до конца 2019 года</w:t>
            </w:r>
          </w:p>
          <w:p w:rsidR="00D07584" w:rsidRPr="00740ABA" w:rsidRDefault="00D07584" w:rsidP="00B15E12">
            <w:pPr>
              <w:pageBreakBefore/>
            </w:pPr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</w:t>
            </w:r>
            <w:r w:rsidR="00942CF3">
              <w:t> </w:t>
            </w:r>
            <w:r w:rsidRPr="00740ABA">
              <w:t xml:space="preserve">Типовые правила, 1 поправка к </w:t>
            </w:r>
            <w:r w:rsidR="00B15E12">
              <w:t>шестому</w:t>
            </w:r>
            <w:r w:rsidRPr="00740ABA">
              <w:t xml:space="preserve"> пересмотренному изданию Руководства</w:t>
            </w:r>
            <w:r w:rsidRPr="00740ABA">
              <w:br/>
              <w:t xml:space="preserve">Целевой </w:t>
            </w:r>
            <w:r w:rsidR="00942CF3">
              <w:t>показатель на 2018−2019 годы: 1 </w:t>
            </w:r>
            <w:r w:rsidRPr="00740ABA">
              <w:t>Типовые правила, 1 Руководство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942CF3">
            <w:pPr>
              <w:ind w:left="567" w:hanging="567"/>
            </w:pPr>
            <w:r w:rsidRPr="00740ABA">
              <w:t>11.a.</w:t>
            </w:r>
            <w:r w:rsidRPr="00740ABA">
              <w:tab/>
              <w:t xml:space="preserve">Согласованная </w:t>
            </w:r>
            <w:r w:rsidR="00942CF3">
              <w:br/>
            </w:r>
            <w:r w:rsidRPr="00740ABA">
              <w:t xml:space="preserve">на глобальном уровне система классификации опасности </w:t>
            </w:r>
            <w:r w:rsidR="001A7006">
              <w:br/>
            </w:r>
            <w:r w:rsidRPr="00740ABA">
              <w:t xml:space="preserve">и маркировки химической </w:t>
            </w:r>
            <w:r w:rsidR="001A7006">
              <w:br/>
            </w:r>
            <w:r w:rsidRPr="00740ABA">
              <w:t xml:space="preserve">продукции </w:t>
            </w:r>
            <w:r w:rsidR="001A7006">
              <w:br/>
            </w:r>
            <w:r w:rsidRPr="00740ABA">
              <w:t>(СГС)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B15E12">
            <w:proofErr w:type="gramStart"/>
            <w:r w:rsidRPr="00740ABA">
              <w:t>ОД 11.а. Принятие поправок к Согласованной на глобальном уровне системе в целях дал</w:t>
            </w:r>
            <w:r w:rsidRPr="00740ABA">
              <w:t>ь</w:t>
            </w:r>
            <w:r w:rsidRPr="00740ABA">
              <w:t>нейшего уточнения или гармонизации сущ</w:t>
            </w:r>
            <w:r w:rsidRPr="00740ABA">
              <w:t>е</w:t>
            </w:r>
            <w:r w:rsidRPr="00740ABA">
              <w:t>ствующих критериев классификации и ма</w:t>
            </w:r>
            <w:r w:rsidRPr="00740ABA">
              <w:t>р</w:t>
            </w:r>
            <w:r w:rsidRPr="00740ABA">
              <w:t xml:space="preserve">кировки </w:t>
            </w:r>
            <w:r w:rsidR="00942CF3">
              <w:t>или введения новых критериев, с </w:t>
            </w:r>
            <w:r w:rsidRPr="00740ABA">
              <w:t>тем чтобы сохранить либо усилить един</w:t>
            </w:r>
            <w:r w:rsidRPr="00740ABA">
              <w:t>о</w:t>
            </w:r>
            <w:r w:rsidRPr="00740ABA">
              <w:t>образным, согласованным и последовател</w:t>
            </w:r>
            <w:r w:rsidRPr="00740ABA">
              <w:t>ь</w:t>
            </w:r>
            <w:r w:rsidRPr="00740ABA">
              <w:t>ным образом степень защиты окружающей среды и работников химических предпри</w:t>
            </w:r>
            <w:r w:rsidRPr="00740ABA">
              <w:t>я</w:t>
            </w:r>
            <w:r w:rsidRPr="00740ABA">
              <w:t>тий, а также лиц, занимающихся обработкой, перевозкой или использованием опасной химической продукции;</w:t>
            </w:r>
            <w:proofErr w:type="gramEnd"/>
            <w:r w:rsidRPr="00740ABA">
              <w:t xml:space="preserve"> содействие эффе</w:t>
            </w:r>
            <w:r w:rsidRPr="00740ABA">
              <w:t>к</w:t>
            </w:r>
            <w:r w:rsidRPr="00740ABA">
              <w:t xml:space="preserve">тивному применению этого документа путем принятия международных и национальных правовых документов и опубликование </w:t>
            </w:r>
            <w:r w:rsidR="00B15E12">
              <w:t>вос</w:t>
            </w:r>
            <w:r w:rsidR="00B15E12">
              <w:t>ь</w:t>
            </w:r>
            <w:r w:rsidR="00B15E12">
              <w:t>мого</w:t>
            </w:r>
            <w:r w:rsidRPr="00740ABA">
              <w:t xml:space="preserve"> пере</w:t>
            </w:r>
            <w:r w:rsidR="00B15E12">
              <w:t>смотренного издания СГС в 2019 </w:t>
            </w:r>
            <w:r w:rsidRPr="00740ABA">
              <w:t>году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11.а. a) Один набор поправок к СГС для принятия в 2018 году</w:t>
            </w:r>
          </w:p>
          <w:p w:rsidR="00D07584" w:rsidRPr="00740ABA" w:rsidRDefault="00D07584" w:rsidP="00B15E12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</w:t>
            </w:r>
            <w:r w:rsidR="00B15E12">
              <w:t> </w:t>
            </w:r>
            <w:r w:rsidRPr="00740ABA">
              <w:t>набор поправок</w:t>
            </w:r>
            <w:r w:rsidRPr="00740ABA">
              <w:br/>
              <w:t xml:space="preserve">Целевой </w:t>
            </w:r>
            <w:r w:rsidR="00B15E12">
              <w:t>показатель на 2018−2019 годы: 1 </w:t>
            </w:r>
            <w:r w:rsidRPr="00740ABA">
              <w:t>набор поправок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B15E12">
            <w:r w:rsidRPr="00740ABA">
              <w:t xml:space="preserve">ПД 11.а. b) Опубликование </w:t>
            </w:r>
            <w:r w:rsidR="00B15E12">
              <w:t>восьмого</w:t>
            </w:r>
            <w:r w:rsidRPr="00740ABA">
              <w:t xml:space="preserve"> пер</w:t>
            </w:r>
            <w:r w:rsidRPr="00740ABA">
              <w:t>е</w:t>
            </w:r>
            <w:r w:rsidRPr="00740ABA">
              <w:t>смотренного издания СГС до конца 2019 года</w:t>
            </w:r>
          </w:p>
          <w:p w:rsidR="00D07584" w:rsidRPr="00740ABA" w:rsidRDefault="00D07584" w:rsidP="00B15E12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 xml:space="preserve">Базовый </w:t>
            </w:r>
            <w:r w:rsidR="00B15E12">
              <w:t>показатель на 2016−2017 годы: 1 </w:t>
            </w:r>
            <w:r w:rsidRPr="00740ABA">
              <w:t>СГС</w:t>
            </w:r>
            <w:r w:rsidRPr="00740ABA">
              <w:br/>
              <w:t>Целевой показатель на 2018−2019 годы: 1</w:t>
            </w:r>
            <w:r w:rsidR="00B15E12">
              <w:t> </w:t>
            </w:r>
            <w:r w:rsidRPr="00740ABA">
              <w:t>СГС</w:t>
            </w:r>
          </w:p>
        </w:tc>
      </w:tr>
      <w:tr w:rsidR="00D07584" w:rsidRPr="00740ABA" w:rsidTr="00577EE1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AF08BE">
            <w:pPr>
              <w:ind w:left="567" w:hanging="567"/>
            </w:pPr>
            <w:r w:rsidRPr="00740ABA">
              <w:t>12.a.</w:t>
            </w:r>
            <w:r w:rsidRPr="00740ABA">
              <w:tab/>
              <w:t>Перевозка скор</w:t>
            </w:r>
            <w:r w:rsidRPr="00740ABA">
              <w:t>о</w:t>
            </w:r>
            <w:r w:rsidRPr="00740ABA">
              <w:t>портящихся п</w:t>
            </w:r>
            <w:r w:rsidRPr="00740ABA">
              <w:t>и</w:t>
            </w:r>
            <w:r w:rsidRPr="00740ABA">
              <w:t>щевых продуктов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12.а. Более жесткие, обновленные ме</w:t>
            </w:r>
            <w:r w:rsidRPr="00740ABA">
              <w:t>ж</w:t>
            </w:r>
            <w:r w:rsidRPr="00740ABA">
              <w:t>дународные требования к перевозке скор</w:t>
            </w:r>
            <w:r w:rsidRPr="00740ABA">
              <w:t>о</w:t>
            </w:r>
            <w:r w:rsidRPr="00740ABA">
              <w:t>портящихся пищевых продуктов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12.a. а) Общая процентная доля предл</w:t>
            </w:r>
            <w:r w:rsidRPr="00740ABA">
              <w:t>о</w:t>
            </w:r>
            <w:r w:rsidRPr="00740ABA">
              <w:t xml:space="preserve">жений о </w:t>
            </w:r>
            <w:proofErr w:type="spellStart"/>
            <w:r w:rsidRPr="00740ABA">
              <w:t>нередакционных</w:t>
            </w:r>
            <w:proofErr w:type="spellEnd"/>
            <w:r w:rsidRPr="00740ABA">
              <w:t xml:space="preserve"> поправках, прин</w:t>
            </w:r>
            <w:r w:rsidRPr="00740ABA">
              <w:t>я</w:t>
            </w:r>
            <w:r w:rsidRPr="00740ABA">
              <w:t>тых WP.11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="005B1FE0">
              <w:br/>
              <w:t>Базовый показатель на 2016–</w:t>
            </w:r>
            <w:r w:rsidRPr="00740ABA">
              <w:t>2017</w:t>
            </w:r>
            <w:r w:rsidR="005B1FE0">
              <w:t xml:space="preserve"> годы</w:t>
            </w:r>
            <w:r w:rsidRPr="00740ABA">
              <w:t>: 60%</w:t>
            </w:r>
            <w:r w:rsidRPr="00740ABA">
              <w:br/>
            </w:r>
            <w:r w:rsidRPr="00740ABA">
              <w:lastRenderedPageBreak/>
              <w:t>Целевой показатель на 2018–2019 годы: 60%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12.a. b) Число стран, отвечающих на в</w:t>
            </w:r>
            <w:r w:rsidRPr="00740ABA">
              <w:t>о</w:t>
            </w:r>
            <w:r w:rsidRPr="00740ABA">
              <w:t xml:space="preserve">просник по осуществлению СПС 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22</w:t>
            </w:r>
            <w:r w:rsidRPr="00740ABA">
              <w:br/>
              <w:t>Целевой показатель на 2018−2019 годы: 24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9032AF">
            <w:pPr>
              <w:tabs>
                <w:tab w:val="left" w:pos="367"/>
              </w:tabs>
              <w:ind w:left="367" w:hanging="367"/>
            </w:pPr>
            <w:r w:rsidRPr="00740ABA">
              <w:t>13.</w:t>
            </w:r>
            <w:r w:rsidRPr="00740ABA">
              <w:tab/>
              <w:t xml:space="preserve">Статистика </w:t>
            </w:r>
            <w:r w:rsidR="009032AF">
              <w:br/>
            </w:r>
            <w:r w:rsidRPr="00740ABA">
              <w:t>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13. Большая доступность и более шир</w:t>
            </w:r>
            <w:r w:rsidRPr="00740ABA">
              <w:t>о</w:t>
            </w:r>
            <w:r w:rsidRPr="00740ABA">
              <w:t>кая сфера охвата статистических данных о транспорте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13. a) Число надежных статистических продуктов, имеющихся в Интернете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о</w:t>
            </w:r>
            <w:r w:rsidRPr="00740ABA">
              <w:t>н</w:t>
            </w:r>
            <w:r w:rsidRPr="00740ABA">
              <w:t>лайновая полная статистическая база данных</w:t>
            </w:r>
            <w:r w:rsidRPr="00740ABA">
              <w:br/>
              <w:t>Целевой показатель на 2018−2019 годы: по</w:t>
            </w:r>
            <w:r w:rsidRPr="00740ABA">
              <w:t>д</w:t>
            </w:r>
            <w:r w:rsidRPr="00740ABA">
              <w:t>держание онлайновой статистической базы данных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13. b) Использование данных, определ</w:t>
            </w:r>
            <w:r w:rsidRPr="00740ABA">
              <w:t>я</w:t>
            </w:r>
            <w:r w:rsidRPr="00740ABA">
              <w:t>емое по количеству загрузок с веб-сайта</w:t>
            </w:r>
          </w:p>
          <w:p w:rsidR="00D07584" w:rsidRPr="00740ABA" w:rsidRDefault="00D07584" w:rsidP="005B1FE0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83 520 загрузок</w:t>
            </w:r>
            <w:r w:rsidRPr="00577EE1">
              <w:rPr>
                <w:sz w:val="18"/>
                <w:szCs w:val="18"/>
                <w:vertAlign w:val="superscript"/>
              </w:rPr>
              <w:footnoteReference w:id="1"/>
            </w:r>
            <w:r w:rsidRPr="00740ABA">
              <w:br/>
              <w:t>Целевой показатель на 2018−2019 годы: 92 000 загрузки</w:t>
            </w:r>
          </w:p>
        </w:tc>
      </w:tr>
      <w:tr w:rsidR="00D07584" w:rsidRPr="00740ABA" w:rsidTr="00577EE1">
        <w:tc>
          <w:tcPr>
            <w:tcW w:w="3119" w:type="dxa"/>
            <w:tcBorders>
              <w:bottom w:val="nil"/>
            </w:tcBorders>
          </w:tcPr>
          <w:p w:rsidR="00D07584" w:rsidRPr="005B1FE0" w:rsidRDefault="005B1FE0" w:rsidP="005B1FE0">
            <w:pPr>
              <w:rPr>
                <w:b/>
                <w:bCs/>
              </w:rPr>
            </w:pPr>
            <w:r>
              <w:rPr>
                <w:b/>
                <w:bCs/>
              </w:rPr>
              <w:t>2. ПД b)</w:t>
            </w:r>
            <w:r w:rsidR="00D07584" w:rsidRPr="005B1FE0">
              <w:rPr>
                <w:b/>
                <w:bCs/>
              </w:rPr>
              <w:t xml:space="preserve"> Расширение геогр</w:t>
            </w:r>
            <w:r w:rsidR="00D07584" w:rsidRPr="005B1FE0">
              <w:rPr>
                <w:b/>
                <w:bCs/>
              </w:rPr>
              <w:t>а</w:t>
            </w:r>
            <w:r w:rsidR="00D07584" w:rsidRPr="005B1FE0">
              <w:rPr>
                <w:b/>
                <w:bCs/>
              </w:rPr>
              <w:t>фического охвата и более э</w:t>
            </w:r>
            <w:r w:rsidR="00D07584" w:rsidRPr="005B1FE0">
              <w:rPr>
                <w:b/>
                <w:bCs/>
              </w:rPr>
              <w:t>ф</w:t>
            </w:r>
            <w:r w:rsidR="00D07584" w:rsidRPr="005B1FE0">
              <w:rPr>
                <w:b/>
                <w:bCs/>
              </w:rPr>
              <w:t xml:space="preserve">фективный </w:t>
            </w:r>
            <w:proofErr w:type="gramStart"/>
            <w:r w:rsidR="00D07584" w:rsidRPr="005B1FE0">
              <w:rPr>
                <w:b/>
                <w:bCs/>
              </w:rPr>
              <w:t>контроль за</w:t>
            </w:r>
            <w:proofErr w:type="gramEnd"/>
            <w:r w:rsidR="00D07584" w:rsidRPr="005B1FE0">
              <w:rPr>
                <w:b/>
                <w:bCs/>
              </w:rPr>
              <w:t xml:space="preserve"> в</w:t>
            </w:r>
            <w:r w:rsidR="00D07584" w:rsidRPr="005B1FE0">
              <w:rPr>
                <w:b/>
                <w:bCs/>
              </w:rPr>
              <w:t>ы</w:t>
            </w:r>
            <w:r w:rsidR="00D07584" w:rsidRPr="005B1FE0">
              <w:rPr>
                <w:b/>
                <w:bCs/>
              </w:rPr>
              <w:t>полнением положений прав</w:t>
            </w:r>
            <w:r w:rsidR="00D07584" w:rsidRPr="005B1FE0">
              <w:rPr>
                <w:b/>
                <w:bCs/>
              </w:rPr>
              <w:t>о</w:t>
            </w:r>
            <w:r w:rsidR="00D07584" w:rsidRPr="005B1FE0">
              <w:rPr>
                <w:b/>
                <w:bCs/>
              </w:rPr>
              <w:t>вых документов и рекоменд</w:t>
            </w:r>
            <w:r w:rsidR="00D07584" w:rsidRPr="005B1FE0">
              <w:rPr>
                <w:b/>
                <w:bCs/>
              </w:rPr>
              <w:t>а</w:t>
            </w:r>
            <w:r w:rsidR="00D07584" w:rsidRPr="005B1FE0">
              <w:rPr>
                <w:b/>
                <w:bCs/>
              </w:rPr>
              <w:t>ций Организации Объедине</w:t>
            </w:r>
            <w:r w:rsidR="00D07584" w:rsidRPr="005B1FE0">
              <w:rPr>
                <w:b/>
                <w:bCs/>
              </w:rPr>
              <w:t>н</w:t>
            </w:r>
            <w:r w:rsidR="00D07584" w:rsidRPr="005B1FE0">
              <w:rPr>
                <w:b/>
                <w:bCs/>
              </w:rPr>
              <w:t>ных Наций по вопросам транспорта, находящихся в</w:t>
            </w:r>
            <w:r>
              <w:rPr>
                <w:b/>
                <w:bCs/>
              </w:rPr>
              <w:t> </w:t>
            </w:r>
            <w:r w:rsidR="00D07584" w:rsidRPr="005B1FE0">
              <w:rPr>
                <w:b/>
                <w:bCs/>
              </w:rPr>
              <w:t>ведении ЕЭК</w:t>
            </w:r>
          </w:p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9032AF">
            <w:pPr>
              <w:tabs>
                <w:tab w:val="left" w:pos="493"/>
              </w:tabs>
              <w:ind w:left="493" w:hanging="493"/>
            </w:pPr>
            <w:r w:rsidRPr="00740ABA">
              <w:t>7.b.</w:t>
            </w:r>
            <w:r w:rsidRPr="00740ABA">
              <w:tab/>
              <w:t xml:space="preserve">Таможенные </w:t>
            </w:r>
            <w:r w:rsidR="00B15E12">
              <w:br/>
            </w:r>
            <w:r w:rsidRPr="00740ABA">
              <w:t>вопросы, связа</w:t>
            </w:r>
            <w:r w:rsidRPr="00740ABA">
              <w:t>н</w:t>
            </w:r>
            <w:r w:rsidRPr="00740ABA">
              <w:t>ные с транспо</w:t>
            </w:r>
            <w:r w:rsidRPr="00740ABA">
              <w:t>р</w:t>
            </w:r>
            <w:r w:rsidRPr="00740ABA">
              <w:t>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 w:val="restart"/>
          </w:tcPr>
          <w:p w:rsidR="00D07584" w:rsidRPr="00740ABA" w:rsidRDefault="00D07584" w:rsidP="00740ABA">
            <w:r w:rsidRPr="00740ABA">
              <w:t>ПД 7.b. c) Количество обследований по ос</w:t>
            </w:r>
            <w:r w:rsidRPr="00740ABA">
              <w:t>у</w:t>
            </w:r>
            <w:r w:rsidRPr="00740ABA">
              <w:t>ществлению правовых документов, каса</w:t>
            </w:r>
            <w:r w:rsidRPr="00740ABA">
              <w:t>ю</w:t>
            </w:r>
            <w:r w:rsidRPr="00740ABA">
              <w:t xml:space="preserve">щихся пересечения границ 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 xml:space="preserve">Базовый показатель на 2016−2017 годы: 2 </w:t>
            </w:r>
            <w:r w:rsidRPr="00740ABA">
              <w:br/>
              <w:t xml:space="preserve">Фактический показатель за 2016–2017 годы: 6 </w:t>
            </w:r>
            <w:r w:rsidRPr="00740ABA">
              <w:br/>
              <w:t>Целевой показатель на 2018−2019 годы: 4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>
            <w:r w:rsidRPr="00740ABA">
              <w:t>ПД b) i) Увеличение числа гос</w:t>
            </w:r>
            <w:r w:rsidRPr="00740ABA">
              <w:t>у</w:t>
            </w:r>
            <w:r w:rsidRPr="00740ABA">
              <w:t>дарств, в том числе из других регионов, которые являются Договаривающимися сторонами правовых документов и рек</w:t>
            </w:r>
            <w:r w:rsidRPr="00740ABA">
              <w:t>о</w:t>
            </w:r>
            <w:r w:rsidRPr="00740ABA">
              <w:t>мендаций Организации Объед</w:t>
            </w:r>
            <w:r w:rsidRPr="00740ABA">
              <w:t>и</w:t>
            </w:r>
            <w:r w:rsidRPr="00740ABA">
              <w:t>ненных Наций по транспорту, находящихся в ведении ЕЭК</w:t>
            </w:r>
          </w:p>
          <w:p w:rsidR="00D07584" w:rsidRPr="00740ABA" w:rsidRDefault="00D07584" w:rsidP="00740ABA">
            <w:r w:rsidRPr="009032AF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1 721 участник от государств</w:t>
            </w:r>
            <w:r w:rsidRPr="00740ABA">
              <w:br/>
              <w:t>Целевой показатель на 2018−2019 годы: 1 735 участн</w:t>
            </w:r>
            <w:r w:rsidRPr="00740ABA">
              <w:t>и</w:t>
            </w:r>
            <w:r w:rsidRPr="00740ABA">
              <w:t>ков от государств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/>
            <w:tcBorders>
              <w:top w:val="nil"/>
            </w:tcBorders>
          </w:tcPr>
          <w:p w:rsidR="00D07584" w:rsidRPr="00740ABA" w:rsidRDefault="00D07584" w:rsidP="00740ABA"/>
        </w:tc>
      </w:tr>
      <w:tr w:rsidR="00D07584" w:rsidRPr="00740ABA" w:rsidTr="00577EE1">
        <w:trPr>
          <w:trHeight w:val="1840"/>
        </w:trPr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740ABA">
            <w:proofErr w:type="gramStart"/>
            <w:r w:rsidRPr="00740ABA">
              <w:lastRenderedPageBreak/>
              <w:t xml:space="preserve">ПД b) </w:t>
            </w:r>
            <w:proofErr w:type="spellStart"/>
            <w:r w:rsidRPr="00740ABA">
              <w:t>ii</w:t>
            </w:r>
            <w:proofErr w:type="spellEnd"/>
            <w:r w:rsidRPr="00740ABA">
              <w:t>) Увеличение числа м</w:t>
            </w:r>
            <w:r w:rsidRPr="00740ABA">
              <w:t>е</w:t>
            </w:r>
            <w:r w:rsidRPr="00740ABA">
              <w:t>ханизмов, утвержденных Дог</w:t>
            </w:r>
            <w:r w:rsidRPr="00740ABA">
              <w:t>о</w:t>
            </w:r>
            <w:r w:rsidRPr="00740ABA">
              <w:t>варивающимися сторонами, для контроля за выполнением пол</w:t>
            </w:r>
            <w:r w:rsidRPr="00740ABA">
              <w:t>о</w:t>
            </w:r>
            <w:r w:rsidRPr="00740ABA">
              <w:t>жений нормативно-правовых документов и рекомендаций О</w:t>
            </w:r>
            <w:r w:rsidRPr="00740ABA">
              <w:t>р</w:t>
            </w:r>
            <w:r w:rsidRPr="00740ABA">
              <w:t>ганизации Объединенных Наций по вопросам транспорта, отн</w:t>
            </w:r>
            <w:r w:rsidRPr="00740ABA">
              <w:t>о</w:t>
            </w:r>
            <w:r w:rsidRPr="00740ABA">
              <w:t>сящихся к ведению ЕЭК</w:t>
            </w:r>
            <w:proofErr w:type="gramEnd"/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t xml:space="preserve"> </w:t>
            </w:r>
            <w:r w:rsidRPr="00740ABA">
              <w:br/>
              <w:t>Базовый показатель на 2017 год: 8 механизмов</w:t>
            </w:r>
            <w:r w:rsidRPr="00740ABA">
              <w:br/>
              <w:t>Целевой показатель на 2018−2019 годы: 9 механизмов</w:t>
            </w: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/>
            <w:tcBorders>
              <w:top w:val="nil"/>
            </w:tcBorders>
          </w:tcPr>
          <w:p w:rsidR="00D07584" w:rsidRPr="00740ABA" w:rsidRDefault="00D07584" w:rsidP="00740ABA"/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B15E12" w:rsidP="009032AF">
            <w:pPr>
              <w:tabs>
                <w:tab w:val="left" w:pos="425"/>
              </w:tabs>
              <w:ind w:left="425" w:hanging="425"/>
            </w:pPr>
            <w:r>
              <w:t>9.b</w:t>
            </w:r>
            <w:r w:rsidR="001839C2">
              <w:t>.</w:t>
            </w:r>
            <w:r w:rsidR="00D07584" w:rsidRPr="00740ABA">
              <w:tab/>
              <w:t xml:space="preserve">Перевозка </w:t>
            </w:r>
            <w:r w:rsidR="00AF08BE">
              <w:br/>
            </w:r>
            <w:r w:rsidR="00D07584" w:rsidRPr="00740ABA">
              <w:t>опасных грузов (ЕЭК)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9.b. Последующая деятельность в конте</w:t>
            </w:r>
            <w:r w:rsidRPr="00740ABA">
              <w:t>к</w:t>
            </w:r>
            <w:r w:rsidRPr="00740ABA">
              <w:t>сте реализации «дорожной карты» по вопр</w:t>
            </w:r>
            <w:r w:rsidRPr="00740ABA">
              <w:t>о</w:t>
            </w:r>
            <w:r w:rsidRPr="00740ABA">
              <w:t>сам присоединения к ДОПОГ и его примен</w:t>
            </w:r>
            <w:r w:rsidRPr="00740ABA">
              <w:t>е</w:t>
            </w:r>
            <w:r w:rsidRPr="00740ABA">
              <w:t>ния (ECE/TRANS/238) для новых и сущ</w:t>
            </w:r>
            <w:r w:rsidRPr="00740ABA">
              <w:t>е</w:t>
            </w:r>
            <w:r w:rsidRPr="00740ABA">
              <w:t>ствующи</w:t>
            </w:r>
            <w:r w:rsidR="001C6747">
              <w:t>х Договаривающихся сторон ДОПОГ</w:t>
            </w:r>
          </w:p>
          <w:p w:rsidR="00D07584" w:rsidRPr="00740ABA" w:rsidRDefault="00D07584" w:rsidP="00740ABA">
            <w:r w:rsidRPr="00740ABA">
              <w:t>ПД 9.b. Завершение и размещение на веб-сайте ЕЭК информации, касающейся стран, являющихся Договаривающимися сторонами ДОПОГ, и информации, подлежащей обяз</w:t>
            </w:r>
            <w:r w:rsidRPr="00740ABA">
              <w:t>а</w:t>
            </w:r>
            <w:r w:rsidRPr="00740ABA">
              <w:t>тельному представлению (информация, к</w:t>
            </w:r>
            <w:r w:rsidRPr="00740ABA">
              <w:t>а</w:t>
            </w:r>
            <w:r w:rsidRPr="00740ABA">
              <w:t>сающаяся свидетельств о подготовке водит</w:t>
            </w:r>
            <w:r w:rsidRPr="00740ABA">
              <w:t>е</w:t>
            </w:r>
            <w:r w:rsidRPr="00740ABA">
              <w:t>ля, и информация, указанная в приложении I к «дорожной карте»)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наличие информации по 75% Договарива</w:t>
            </w:r>
            <w:r w:rsidRPr="00740ABA">
              <w:t>ю</w:t>
            </w:r>
            <w:r w:rsidRPr="00740ABA">
              <w:t>щихся сторон ДОПОГ</w:t>
            </w:r>
            <w:r w:rsidRPr="00740ABA">
              <w:br/>
              <w:t>Целевой показатель: наличие информации по 75% Договаривающихся сторон ДОПОГ</w:t>
            </w:r>
          </w:p>
        </w:tc>
      </w:tr>
      <w:tr w:rsidR="00D07584" w:rsidRPr="00740ABA" w:rsidTr="00577EE1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B15E12" w:rsidP="00AF08BE">
            <w:pPr>
              <w:ind w:left="567" w:hanging="567"/>
            </w:pPr>
            <w:r>
              <w:t>10.b</w:t>
            </w:r>
            <w:r w:rsidR="001839C2">
              <w:t>.</w:t>
            </w:r>
            <w:r w:rsidR="00D07584" w:rsidRPr="00740ABA">
              <w:tab/>
              <w:t xml:space="preserve">Перевозка </w:t>
            </w:r>
            <w:r w:rsidR="00AF08BE">
              <w:br/>
            </w:r>
            <w:r w:rsidR="00D07584" w:rsidRPr="00740ABA">
              <w:t>опасных грузов (ЭКОСОС)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B15E12" w:rsidP="00740ABA">
            <w:r>
              <w:t>ОД 10.b</w:t>
            </w:r>
            <w:r w:rsidR="001839C2">
              <w:t>.</w:t>
            </w:r>
            <w:r w:rsidR="00D07584" w:rsidRPr="00740ABA">
              <w:t xml:space="preserve"> Эффективное осуществление рек</w:t>
            </w:r>
            <w:r w:rsidR="00D07584" w:rsidRPr="00740ABA">
              <w:t>о</w:t>
            </w:r>
            <w:r w:rsidR="00D07584" w:rsidRPr="00740ABA">
              <w:t>мендаций на основе национальных и межд</w:t>
            </w:r>
            <w:r w:rsidR="00D07584" w:rsidRPr="00740ABA">
              <w:t>у</w:t>
            </w:r>
            <w:r w:rsidR="00D07584" w:rsidRPr="00740ABA">
              <w:t>народных правовых документов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695E58">
            <w:r w:rsidRPr="00740ABA">
              <w:t>ПД 10.</w:t>
            </w:r>
            <w:r w:rsidR="00B15E12">
              <w:t>b</w:t>
            </w:r>
            <w:r w:rsidR="001839C2">
              <w:t>.</w:t>
            </w:r>
            <w:r w:rsidRPr="00740ABA">
              <w:t xml:space="preserve"> a) Число поправок, внесенных в международные правовые документы с уч</w:t>
            </w:r>
            <w:r w:rsidRPr="00740ABA">
              <w:t>е</w:t>
            </w:r>
            <w:r w:rsidRPr="00740ABA">
              <w:t>том Рекомендаций Организации Объедине</w:t>
            </w:r>
            <w:r w:rsidRPr="00740ABA">
              <w:t>н</w:t>
            </w:r>
            <w:r w:rsidRPr="00740ABA">
              <w:t>ных Наций по перевозке оп</w:t>
            </w:r>
            <w:r w:rsidR="00B15E12">
              <w:t>асных грузов – Типовые правила –</w:t>
            </w:r>
            <w:r w:rsidRPr="00740ABA">
              <w:t xml:space="preserve"> 2017 года (</w:t>
            </w:r>
            <w:r w:rsidR="00695E58">
              <w:t>двадцатое</w:t>
            </w:r>
            <w:r w:rsidRPr="00740ABA">
              <w:t xml:space="preserve"> пересмотренное издание)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6</w:t>
            </w:r>
            <w:r w:rsidRPr="00740ABA">
              <w:br/>
              <w:t>Целевой показатель на 2018–2019 годы: 6</w:t>
            </w:r>
          </w:p>
        </w:tc>
      </w:tr>
      <w:tr w:rsidR="00D07584" w:rsidRPr="00740ABA" w:rsidTr="00577EE1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577EE1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577EE1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577EE1">
            <w:pPr>
              <w:pageBreakBefore/>
            </w:pPr>
            <w:r w:rsidRPr="00740ABA">
              <w:t>ПД 10.b. b) Число правительств, которые приняли требования последнего пересмо</w:t>
            </w:r>
            <w:r w:rsidRPr="00740ABA">
              <w:t>т</w:t>
            </w:r>
            <w:r w:rsidRPr="00740ABA">
              <w:t>ренного издания Рекомендаций Организации Объединенных Нац</w:t>
            </w:r>
            <w:r w:rsidR="00695E58">
              <w:t>ий по перевозке опасных грузов – Типовые правила –</w:t>
            </w:r>
            <w:r w:rsidRPr="00740ABA">
              <w:t xml:space="preserve"> для регулиров</w:t>
            </w:r>
            <w:r w:rsidRPr="00740ABA">
              <w:t>а</w:t>
            </w:r>
            <w:r w:rsidRPr="00740ABA">
              <w:t>ния национальных перевозок внутренним транспортом</w:t>
            </w:r>
          </w:p>
          <w:p w:rsidR="00D07584" w:rsidRPr="00740ABA" w:rsidRDefault="00D07584" w:rsidP="00577EE1">
            <w:pPr>
              <w:pageBreakBefore/>
            </w:pPr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38</w:t>
            </w:r>
            <w:r w:rsidRPr="00740ABA">
              <w:br/>
              <w:t>Целевой показатель на 2018–2019 годы: 38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1839C2">
            <w:pPr>
              <w:ind w:left="567" w:hanging="567"/>
            </w:pPr>
            <w:r w:rsidRPr="00740ABA">
              <w:t>11.b.</w:t>
            </w:r>
            <w:r w:rsidRPr="00740ABA">
              <w:tab/>
              <w:t xml:space="preserve">Согласованная </w:t>
            </w:r>
            <w:r w:rsidR="001839C2">
              <w:br/>
            </w:r>
            <w:r w:rsidRPr="00740ABA">
              <w:t>на глобальном уровне система классификации опасности и ма</w:t>
            </w:r>
            <w:r w:rsidRPr="00740ABA">
              <w:t>р</w:t>
            </w:r>
            <w:r w:rsidRPr="00740ABA">
              <w:t>кировки химич</w:t>
            </w:r>
            <w:r w:rsidRPr="00740ABA">
              <w:t>е</w:t>
            </w:r>
            <w:r w:rsidRPr="00740ABA">
              <w:t>ской продукции (СГС)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11.b. Эффективное осуществление СГС на основе национальных и международных правовых документов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11.b. a) Число международных правовых документов, кодексов, руководств или ста</w:t>
            </w:r>
            <w:r w:rsidRPr="00740ABA">
              <w:t>н</w:t>
            </w:r>
            <w:r w:rsidRPr="00740ABA">
              <w:t>дартов, которые были приняты или изменены с учетом положений СГС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16</w:t>
            </w:r>
            <w:r w:rsidRPr="00740ABA">
              <w:br/>
              <w:t>Целевой показатель на 2018–2019 годы: 16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11.b. b) Число правительств, которые учли положения СГС и поправок к ней в св</w:t>
            </w:r>
            <w:r w:rsidRPr="00740ABA">
              <w:t>о</w:t>
            </w:r>
            <w:r w:rsidRPr="00740ABA">
              <w:t>их национальных системах нормативного регулирования, применимых к классифик</w:t>
            </w:r>
            <w:r w:rsidRPr="00740ABA">
              <w:t>а</w:t>
            </w:r>
            <w:r w:rsidRPr="00740ABA">
              <w:t>ции и маркировке химической продукции в других секторах, помимо транспорта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60</w:t>
            </w:r>
            <w:r w:rsidRPr="00740ABA">
              <w:br/>
              <w:t>Целевой показатель на 2018–2019 годы: 61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1839C2">
            <w:pPr>
              <w:ind w:left="567" w:hanging="567"/>
            </w:pPr>
            <w:r w:rsidRPr="00740ABA">
              <w:t>12.b.</w:t>
            </w:r>
            <w:r w:rsidRPr="00740ABA">
              <w:tab/>
              <w:t>Перевозка скор</w:t>
            </w:r>
            <w:r w:rsidRPr="00740ABA">
              <w:t>о</w:t>
            </w:r>
            <w:r w:rsidRPr="00740ABA">
              <w:t>портящихся п</w:t>
            </w:r>
            <w:r w:rsidRPr="00740ABA">
              <w:t>и</w:t>
            </w:r>
            <w:r w:rsidRPr="00740ABA">
              <w:t>щевых продуктов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12.b. Более жесткие, обновленные ме</w:t>
            </w:r>
            <w:r w:rsidRPr="00740ABA">
              <w:t>ж</w:t>
            </w:r>
            <w:r w:rsidRPr="00740ABA">
              <w:t>дународные требования к перевозке скор</w:t>
            </w:r>
            <w:r w:rsidRPr="00740ABA">
              <w:t>о</w:t>
            </w:r>
            <w:r w:rsidRPr="00740ABA">
              <w:t>портящихся пищевых продуктов</w:t>
            </w:r>
          </w:p>
        </w:tc>
      </w:tr>
      <w:tr w:rsidR="00D07584" w:rsidRPr="00740ABA" w:rsidTr="00695E58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12.b. Общее число Договаривающихся сторон Соглашения СПС</w:t>
            </w:r>
          </w:p>
          <w:p w:rsidR="00D07584" w:rsidRPr="00740ABA" w:rsidRDefault="00D07584" w:rsidP="00740ABA">
            <w:r w:rsidRPr="00577EE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50</w:t>
            </w:r>
            <w:r w:rsidRPr="00740ABA">
              <w:br/>
              <w:t>Целевой показатель на 2018–2019 годы: 52</w:t>
            </w:r>
          </w:p>
        </w:tc>
      </w:tr>
      <w:tr w:rsidR="00D07584" w:rsidRPr="00740ABA" w:rsidTr="00695E58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1839C2">
            <w:pPr>
              <w:ind w:left="567" w:hanging="567"/>
            </w:pPr>
            <w:r w:rsidRPr="00740ABA">
              <w:t>14.a.</w:t>
            </w:r>
            <w:r w:rsidRPr="00740ABA">
              <w:tab/>
              <w:t>Автомобильный транспорт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740ABA">
            <w:r w:rsidRPr="00740ABA">
              <w:t>ОД 14.а. Более эффективное осуществление Европейского соглашения, касающегося р</w:t>
            </w:r>
            <w:r w:rsidRPr="00740ABA">
              <w:t>а</w:t>
            </w:r>
            <w:r w:rsidRPr="00740ABA">
              <w:t>боты экипажей транспортных средств, пр</w:t>
            </w:r>
            <w:r w:rsidRPr="00740ABA">
              <w:t>о</w:t>
            </w:r>
            <w:r w:rsidRPr="00740ABA">
              <w:t>изводящих международные автомобильные перевозки (ЕСТР)</w:t>
            </w:r>
          </w:p>
          <w:p w:rsidR="00D07584" w:rsidRPr="007A728A" w:rsidRDefault="00D07584" w:rsidP="00740ABA">
            <w:r w:rsidRPr="00740ABA">
              <w:t>ПД 14.a. a) Число выявленных проблемных зон и предложений по их устранению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lastRenderedPageBreak/>
              <w:t>Показатели результативности:</w:t>
            </w:r>
            <w:r w:rsidRPr="00740ABA">
              <w:br/>
              <w:t>Базовый показатель на 2016−2017 годы: 3</w:t>
            </w:r>
          </w:p>
          <w:p w:rsidR="00D07584" w:rsidRPr="001C6747" w:rsidRDefault="00D07584" w:rsidP="00740ABA">
            <w:pPr>
              <w:rPr>
                <w:i/>
                <w:iCs/>
              </w:rPr>
            </w:pPr>
            <w:r w:rsidRPr="001C6747">
              <w:rPr>
                <w:i/>
                <w:iCs/>
              </w:rPr>
              <w:t>Были выявлены следующие проблемные обл</w:t>
            </w:r>
            <w:r w:rsidRPr="001C6747">
              <w:rPr>
                <w:i/>
                <w:iCs/>
              </w:rPr>
              <w:t>а</w:t>
            </w:r>
            <w:r w:rsidRPr="001C6747">
              <w:rPr>
                <w:i/>
                <w:iCs/>
              </w:rPr>
              <w:t>сти:</w:t>
            </w:r>
          </w:p>
          <w:p w:rsidR="00D07584" w:rsidRPr="00740ABA" w:rsidRDefault="00D07584" w:rsidP="00740ABA">
            <w:r w:rsidRPr="00740ABA">
              <w:t>1. Вопрос о правовом документе, имеющем преимущественную силу, с учетом наличия параллельных/совпадающих правовых с</w:t>
            </w:r>
            <w:r w:rsidRPr="00740ABA">
              <w:t>и</w:t>
            </w:r>
            <w:r w:rsidRPr="00740ABA">
              <w:t>стем в рамках Европейского союза.</w:t>
            </w:r>
          </w:p>
          <w:p w:rsidR="00D07584" w:rsidRPr="00740ABA" w:rsidRDefault="00D07584" w:rsidP="001839C2">
            <w:r w:rsidRPr="00740ABA">
              <w:t>2. Вопрос о законодательстве, применимом к комбинированным маршрутам, проходящим через территории стран, не являющихся Д</w:t>
            </w:r>
            <w:r w:rsidRPr="00740ABA">
              <w:t>о</w:t>
            </w:r>
            <w:r w:rsidRPr="00740ABA">
              <w:t>говаривающимися сторонами, и Европейск</w:t>
            </w:r>
            <w:r w:rsidRPr="00740ABA">
              <w:t>о</w:t>
            </w:r>
            <w:r w:rsidRPr="00740ABA">
              <w:t>го союза и Договаривающихся сторон, не являющихся членами Европейского союза, с</w:t>
            </w:r>
            <w:r w:rsidR="001839C2">
              <w:t> </w:t>
            </w:r>
            <w:r w:rsidRPr="00740ABA">
              <w:t>учетом оговорок, сделанных государств</w:t>
            </w:r>
            <w:r w:rsidRPr="00740ABA">
              <w:t>а</w:t>
            </w:r>
            <w:r w:rsidR="00695E58">
              <w:t>ми –</w:t>
            </w:r>
            <w:r w:rsidRPr="00740ABA">
              <w:t xml:space="preserve"> членами Европейского союза при рат</w:t>
            </w:r>
            <w:r w:rsidRPr="00740ABA">
              <w:t>и</w:t>
            </w:r>
            <w:r w:rsidRPr="00740ABA">
              <w:t>фикации Соглашения, учитывая, что Евр</w:t>
            </w:r>
            <w:r w:rsidRPr="00740ABA">
              <w:t>о</w:t>
            </w:r>
            <w:r w:rsidRPr="00740ABA">
              <w:t>пейский союз не является Договаривающейся стороной ЕСТР.</w:t>
            </w:r>
          </w:p>
          <w:p w:rsidR="00D07584" w:rsidRPr="00740ABA" w:rsidRDefault="00D07584" w:rsidP="00740ABA">
            <w:r w:rsidRPr="00740ABA">
              <w:t>3. Вопрос, касающийся статьи 22-бис и це</w:t>
            </w:r>
            <w:r w:rsidRPr="00740ABA">
              <w:t>н</w:t>
            </w:r>
            <w:r w:rsidRPr="00740ABA">
              <w:t>тра, принимающего решения по поправкам к техническим характеристикам, содержащи</w:t>
            </w:r>
            <w:r w:rsidRPr="00740ABA">
              <w:t>м</w:t>
            </w:r>
            <w:r w:rsidRPr="00740ABA">
              <w:t xml:space="preserve">ся в приложении 1В. </w:t>
            </w:r>
          </w:p>
          <w:p w:rsidR="00D07584" w:rsidRPr="003D7C3C" w:rsidRDefault="00D07584" w:rsidP="00740ABA">
            <w:pPr>
              <w:rPr>
                <w:i/>
                <w:iCs/>
              </w:rPr>
            </w:pPr>
            <w:r w:rsidRPr="003D7C3C">
              <w:rPr>
                <w:i/>
                <w:iCs/>
              </w:rPr>
              <w:t>Предложения по решению этих проблем и результаты, достигнутые в 2016–2017 г</w:t>
            </w:r>
            <w:r w:rsidRPr="003D7C3C">
              <w:rPr>
                <w:i/>
                <w:iCs/>
              </w:rPr>
              <w:t>о</w:t>
            </w:r>
            <w:r w:rsidRPr="003D7C3C">
              <w:rPr>
                <w:i/>
                <w:iCs/>
              </w:rPr>
              <w:t>дах:</w:t>
            </w:r>
          </w:p>
          <w:p w:rsidR="00D07584" w:rsidRPr="00740ABA" w:rsidRDefault="00D07584" w:rsidP="00740ABA">
            <w:r w:rsidRPr="00740ABA">
              <w:t>Вопрос о правовом документе, имеющем преимущественную силу, по-прежнему нах</w:t>
            </w:r>
            <w:r w:rsidRPr="00740ABA">
              <w:t>о</w:t>
            </w:r>
            <w:r w:rsidRPr="00740ABA">
              <w:t>дится на обсуждении, но работа продвигае</w:t>
            </w:r>
            <w:r w:rsidRPr="00740ABA">
              <w:t>т</w:t>
            </w:r>
            <w:r w:rsidRPr="00740ABA">
              <w:t>ся. Секретариат служит платформой для о</w:t>
            </w:r>
            <w:r w:rsidRPr="00740ABA">
              <w:t>р</w:t>
            </w:r>
            <w:r w:rsidRPr="00740ABA">
              <w:t>ганизации регулярных совещаний Договар</w:t>
            </w:r>
            <w:r w:rsidRPr="00740ABA">
              <w:t>и</w:t>
            </w:r>
            <w:r w:rsidRPr="00740ABA">
              <w:t>вающихся сторон ЕСТР, а также дает необх</w:t>
            </w:r>
            <w:r w:rsidRPr="00740ABA">
              <w:t>о</w:t>
            </w:r>
            <w:r w:rsidRPr="00740ABA">
              <w:t>димые правовые и иные рекомендации в ц</w:t>
            </w:r>
            <w:r w:rsidRPr="00740ABA">
              <w:t>е</w:t>
            </w:r>
            <w:r w:rsidRPr="00740ABA">
              <w:t>лях содействия обсуждению.</w:t>
            </w:r>
          </w:p>
          <w:p w:rsidR="00D07584" w:rsidRPr="00740ABA" w:rsidRDefault="00D07584" w:rsidP="00740ABA">
            <w:r w:rsidRPr="00740ABA">
              <w:t>Вопрос о законодательстве, применимом к комбинированным маршрутам, рассматр</w:t>
            </w:r>
            <w:r w:rsidRPr="00740ABA">
              <w:t>и</w:t>
            </w:r>
            <w:r w:rsidRPr="00740ABA">
              <w:t>вался, и Группа экспертов решила прекратить обсуждение, не достигнув договоренности, учитывая недостаточное число ответов на вопросник Международного союза автом</w:t>
            </w:r>
            <w:r w:rsidRPr="00740ABA">
              <w:t>о</w:t>
            </w:r>
            <w:r w:rsidRPr="00740ABA">
              <w:t>бильного транспорта.</w:t>
            </w:r>
          </w:p>
          <w:p w:rsidR="00D07584" w:rsidRPr="00740ABA" w:rsidRDefault="00D07584" w:rsidP="00740ABA">
            <w:r w:rsidRPr="00740ABA">
              <w:t>Вопрос о внесении поправок в статью 22-бис обстоятельно обсуждался на совещаниях Группы экспертов по ЕСТР. На момент вых</w:t>
            </w:r>
            <w:r w:rsidRPr="00740ABA">
              <w:t>о</w:t>
            </w:r>
            <w:r w:rsidRPr="00740ABA">
              <w:t>да настоящего документа Группе по-прежнему не удалось согласовать формул</w:t>
            </w:r>
            <w:r w:rsidRPr="00740ABA">
              <w:t>и</w:t>
            </w:r>
            <w:r w:rsidRPr="00740ABA">
              <w:t>ровку пересмотренного текста статьи 22-бис.</w:t>
            </w:r>
          </w:p>
          <w:p w:rsidR="00D07584" w:rsidRPr="00740ABA" w:rsidRDefault="00D07584" w:rsidP="00695E58">
            <w:r w:rsidRPr="00740ABA">
              <w:t xml:space="preserve">Целевой </w:t>
            </w:r>
            <w:r w:rsidR="00695E58">
              <w:t>показатель на 2018−2019 годы: 3 </w:t>
            </w:r>
            <w:r w:rsidRPr="00740ABA">
              <w:t>(урегулирование нерешенных проблемных областей 1 и 3, упомянутых выше, и новой проблемной области, указанной ниже)</w:t>
            </w:r>
          </w:p>
        </w:tc>
      </w:tr>
      <w:tr w:rsidR="00695E58" w:rsidRPr="00740ABA" w:rsidTr="00695E58">
        <w:tc>
          <w:tcPr>
            <w:tcW w:w="3119" w:type="dxa"/>
            <w:tcBorders>
              <w:top w:val="nil"/>
              <w:bottom w:val="nil"/>
            </w:tcBorders>
          </w:tcPr>
          <w:p w:rsidR="00695E58" w:rsidRPr="00740ABA" w:rsidRDefault="00695E58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695E58" w:rsidRPr="00740ABA" w:rsidRDefault="00695E58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695E58" w:rsidRPr="00740ABA" w:rsidRDefault="00695E58" w:rsidP="00740ABA">
            <w:r w:rsidRPr="00740ABA">
              <w:t>Вопрос о том, совместимы ли регламенты Европейск</w:t>
            </w:r>
            <w:r w:rsidR="00AF08BE">
              <w:t>ого союза 165/2014 и 2016/799 с </w:t>
            </w:r>
            <w:r w:rsidRPr="00740ABA">
              <w:t>Соглашением ЕСТР, поднятый Российской Федерацией</w:t>
            </w:r>
          </w:p>
        </w:tc>
      </w:tr>
      <w:tr w:rsidR="00D07584" w:rsidRPr="00740ABA" w:rsidTr="00695E58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740ABA">
            <w:r w:rsidRPr="00740ABA">
              <w:t>ПД 14.a. b) Число семинаров и рабочих с</w:t>
            </w:r>
            <w:r w:rsidRPr="00740ABA">
              <w:t>о</w:t>
            </w:r>
            <w:r w:rsidRPr="00740ABA">
              <w:t>вещаний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Фактический показатель за 2016–2017 годы: 5 (одиннадцатая–пятнадцатая сессии Группы экспертов по ЕСТР)</w:t>
            </w:r>
          </w:p>
          <w:p w:rsidR="00D07584" w:rsidRPr="00740ABA" w:rsidRDefault="00D07584" w:rsidP="00740ABA">
            <w:r w:rsidRPr="00740ABA">
              <w:t>Целевой показатель на 2018−2019 годы: 3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14.a. c) Число участников каждого сем</w:t>
            </w:r>
            <w:r w:rsidRPr="00740ABA">
              <w:t>и</w:t>
            </w:r>
            <w:r w:rsidRPr="00740ABA">
              <w:t xml:space="preserve">нара или рабочего совещания 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111</w:t>
            </w:r>
            <w:r w:rsidRPr="00740ABA">
              <w:br/>
              <w:t>Целевой показатель на 2018−2019 годы: 65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14.b. Более активное осуществление Ко</w:t>
            </w:r>
            <w:r w:rsidRPr="00740ABA">
              <w:t>н</w:t>
            </w:r>
            <w:r w:rsidRPr="00740ABA">
              <w:t>венции о договоре международной дорожной перевозки грузов (КДПГ) от 19 мая 1956 года и Дополнительного протокола к КДПГ, кас</w:t>
            </w:r>
            <w:r w:rsidRPr="00740ABA">
              <w:t>а</w:t>
            </w:r>
            <w:r w:rsidRPr="00740ABA">
              <w:t>ющегося электронной накладной, от 27 мая 2008 года (e-CMR)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14.b. a) Число новых Договаривающихся сторон КДПГ и e-CMR</w:t>
            </w:r>
          </w:p>
          <w:p w:rsidR="00D07584" w:rsidRPr="00740ABA" w:rsidRDefault="00D07584" w:rsidP="00740ABA">
            <w:r w:rsidRPr="00740ABA">
              <w:t>Целевой показатель на 2018−2019 годы: 2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14.b. b) Число организованных семин</w:t>
            </w:r>
            <w:r w:rsidRPr="00740ABA">
              <w:t>а</w:t>
            </w:r>
            <w:r w:rsidRPr="00740ABA">
              <w:t>ров, рабочих совещаний и мероприятий</w:t>
            </w:r>
          </w:p>
          <w:p w:rsidR="00D07584" w:rsidRPr="00740ABA" w:rsidRDefault="00D07584" w:rsidP="00740ABA">
            <w:r w:rsidRPr="00740ABA">
              <w:t>Целевой показатель на 2018−2019 годы: 2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14.b. c) Общее число участников каждого семинара, рабочего совещания и меропри</w:t>
            </w:r>
            <w:r w:rsidRPr="00740ABA">
              <w:t>я</w:t>
            </w:r>
            <w:r w:rsidRPr="00740ABA">
              <w:t>тия, в том числе представителей Договар</w:t>
            </w:r>
            <w:r w:rsidRPr="00740ABA">
              <w:t>и</w:t>
            </w:r>
            <w:r w:rsidRPr="00740ABA">
              <w:t>вающихся сторон</w:t>
            </w:r>
          </w:p>
          <w:p w:rsidR="00D07584" w:rsidRPr="00740ABA" w:rsidRDefault="00D07584" w:rsidP="00740ABA">
            <w:r w:rsidRPr="00740ABA">
              <w:t>Целевой показатель на 2018−2019 годы: 20</w:t>
            </w: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/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14.b. d) Отзывы со стороны участников семинаров, рабочих совещаний и меропри</w:t>
            </w:r>
            <w:r w:rsidRPr="00740ABA">
              <w:t>я</w:t>
            </w:r>
            <w:r w:rsidRPr="00740ABA">
              <w:t>тий</w:t>
            </w:r>
          </w:p>
          <w:p w:rsidR="00D07584" w:rsidRPr="00740ABA" w:rsidRDefault="00D07584" w:rsidP="00740ABA">
            <w:r w:rsidRPr="00740ABA">
              <w:t>Целевой показатель на 2018−2019 годы: п</w:t>
            </w:r>
            <w:r w:rsidRPr="00740ABA">
              <w:t>о</w:t>
            </w:r>
            <w:r w:rsidRPr="00740ABA">
              <w:t>лучение положительных отзывов</w:t>
            </w:r>
          </w:p>
        </w:tc>
      </w:tr>
      <w:tr w:rsidR="00D07584" w:rsidRPr="00740ABA" w:rsidTr="004457F1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295D97">
            <w:pPr>
              <w:tabs>
                <w:tab w:val="left" w:pos="389"/>
              </w:tabs>
              <w:ind w:left="389" w:hanging="389"/>
            </w:pPr>
            <w:r w:rsidRPr="00740ABA">
              <w:t>15.</w:t>
            </w:r>
            <w:r w:rsidRPr="00740ABA">
              <w:tab/>
              <w:t xml:space="preserve">Безопасность </w:t>
            </w:r>
            <w:r w:rsidR="00295D97">
              <w:br/>
            </w:r>
            <w:r w:rsidRPr="00740ABA">
              <w:t xml:space="preserve">дорожного </w:t>
            </w:r>
            <w:r w:rsidR="003D7C3C">
              <w:br/>
            </w:r>
            <w:r w:rsidRPr="00740ABA">
              <w:t>движения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15. Более активное осуществление Ко</w:t>
            </w:r>
            <w:r w:rsidRPr="00740ABA">
              <w:t>н</w:t>
            </w:r>
            <w:r w:rsidRPr="00740ABA">
              <w:t>венций о дорожном движении и дорожных знаках и сигналах 1968 года, дополняющих их Европейских соглашений 1971 года и сводных резолюций о дорожном движении и о дорожных знаках и сигналах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  <w:r w:rsidRPr="00740ABA">
              <w:t>ПД 15. а) Число новых Договаривающихся сторон Конвенций и Европейских соглаш</w:t>
            </w:r>
            <w:r w:rsidRPr="00740ABA">
              <w:t>е</w:t>
            </w:r>
            <w:r w:rsidRPr="00740ABA">
              <w:t>ний</w:t>
            </w:r>
          </w:p>
          <w:p w:rsidR="00D07584" w:rsidRPr="00740ABA" w:rsidRDefault="00D07584" w:rsidP="00201187">
            <w:pPr>
              <w:pageBreakBefore/>
            </w:pPr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2016−2017 годы: 2</w:t>
            </w:r>
            <w:r w:rsidRPr="00740ABA">
              <w:br/>
              <w:t>Фактический показатель за 2016–2017 годы: 6 (см. ниже)</w:t>
            </w:r>
          </w:p>
          <w:p w:rsidR="00D07584" w:rsidRPr="00740ABA" w:rsidRDefault="00D07584" w:rsidP="00201187">
            <w:pPr>
              <w:pageBreakBefore/>
            </w:pPr>
            <w:r w:rsidRPr="00740ABA">
              <w:t>Конвенция о дорожном движении 1968 года: 2 (Саудовская Аравия, 12 мая 2016 года, Ирак, 1 февраля 2017 года)</w:t>
            </w:r>
          </w:p>
          <w:p w:rsidR="00D07584" w:rsidRPr="00740ABA" w:rsidRDefault="00D07584" w:rsidP="00201187">
            <w:pPr>
              <w:pageBreakBefore/>
            </w:pPr>
            <w:r w:rsidRPr="00740ABA">
              <w:t>Конвенция о дорожных знаках и сигналах 1968 года: 2 (Республика Молдова, 8 октября 2015 года, Кипр, 16 августа 2016 года)</w:t>
            </w:r>
          </w:p>
          <w:p w:rsidR="00D07584" w:rsidRPr="00740ABA" w:rsidRDefault="00D07584" w:rsidP="00201187">
            <w:pPr>
              <w:pageBreakBefore/>
            </w:pPr>
            <w:r w:rsidRPr="00740ABA">
              <w:t>Европейское соглашение 1971 года, допо</w:t>
            </w:r>
            <w:r w:rsidRPr="00740ABA">
              <w:t>л</w:t>
            </w:r>
            <w:r w:rsidRPr="00740ABA">
              <w:t>няющее Конвенцию о дорожных знаках и сигналах: 2 (Республик</w:t>
            </w:r>
            <w:r w:rsidR="007C36F1">
              <w:t>а Молдова, 27 октября 2015 года,</w:t>
            </w:r>
            <w:r w:rsidRPr="00740ABA">
              <w:t xml:space="preserve"> Кипр, 16 августа 2016 года)</w:t>
            </w:r>
          </w:p>
          <w:p w:rsidR="00D07584" w:rsidRPr="00740ABA" w:rsidRDefault="00D07584" w:rsidP="00201187">
            <w:pPr>
              <w:pageBreakBefore/>
            </w:pPr>
            <w:r w:rsidRPr="00740ABA">
              <w:t>Целевой показатель на 2018–2019 годы: 2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740ABA">
            <w:r w:rsidRPr="00740ABA">
              <w:t>ПД 15. b) Число организованных семинаров, рабочих совещаний, конференций, кампаний и мероприятий по безопасности дорожного движения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2016−2017 годы: 2</w:t>
            </w:r>
            <w:r w:rsidRPr="00740ABA">
              <w:br/>
              <w:t>Фактический показатель за 2016–2017 годы: 3 (см. ниже)</w:t>
            </w:r>
          </w:p>
          <w:p w:rsidR="00D07584" w:rsidRPr="00740ABA" w:rsidRDefault="00D07584" w:rsidP="00740ABA">
            <w:r w:rsidRPr="00740ABA">
              <w:t>1. Рабочее совещание по безопасности д</w:t>
            </w:r>
            <w:r w:rsidRPr="00740ABA">
              <w:t>о</w:t>
            </w:r>
            <w:r w:rsidRPr="00740ABA">
              <w:t>рожного движения для англоязычных стран Африки, которое было проведено в партне</w:t>
            </w:r>
            <w:r w:rsidRPr="00740ABA">
              <w:t>р</w:t>
            </w:r>
            <w:r w:rsidRPr="00740ABA">
              <w:t xml:space="preserve">стве </w:t>
            </w:r>
            <w:proofErr w:type="gramStart"/>
            <w:r w:rsidRPr="00740ABA">
              <w:t>с</w:t>
            </w:r>
            <w:proofErr w:type="gramEnd"/>
            <w:r w:rsidRPr="00740ABA">
              <w:t xml:space="preserve"> ЭКА и </w:t>
            </w:r>
            <w:proofErr w:type="gramStart"/>
            <w:r w:rsidRPr="00740ABA">
              <w:t>при</w:t>
            </w:r>
            <w:proofErr w:type="gramEnd"/>
            <w:r w:rsidRPr="00740ABA">
              <w:t xml:space="preserve"> поддержке Специального посланника Генерального секретаря по обе</w:t>
            </w:r>
            <w:r w:rsidRPr="00740ABA">
              <w:t>с</w:t>
            </w:r>
            <w:r w:rsidRPr="00740ABA">
              <w:t xml:space="preserve">печению безопасности дорожного движения. Рабочее совещание, состоявшееся в Найроби, Кения, 13–15 декабря 2016 года. </w:t>
            </w:r>
          </w:p>
          <w:p w:rsidR="00D07584" w:rsidRPr="00740ABA" w:rsidRDefault="00D07584" w:rsidP="00201187">
            <w:r w:rsidRPr="00740ABA">
              <w:t>2. Рабочее совещание по вопросам управл</w:t>
            </w:r>
            <w:r w:rsidRPr="00740ABA">
              <w:t>е</w:t>
            </w:r>
            <w:r w:rsidRPr="00740ABA">
              <w:t>ния автоматизированными транспортными средствами, организованное 20 октября 2016</w:t>
            </w:r>
            <w:r w:rsidR="00201187">
              <w:t> </w:t>
            </w:r>
            <w:r w:rsidRPr="00740ABA">
              <w:t>года совместно с Национальной адм</w:t>
            </w:r>
            <w:r w:rsidRPr="00740ABA">
              <w:t>и</w:t>
            </w:r>
            <w:r w:rsidRPr="00740ABA">
              <w:t>нистрацией безопасности дорожного движ</w:t>
            </w:r>
            <w:r w:rsidRPr="00740ABA">
              <w:t>е</w:t>
            </w:r>
            <w:r w:rsidRPr="00740ABA">
              <w:t xml:space="preserve">ния (НАБДД) и Центром автомобильных исследований </w:t>
            </w:r>
            <w:proofErr w:type="spellStart"/>
            <w:r w:rsidRPr="00740ABA">
              <w:t>Стэнфордского</w:t>
            </w:r>
            <w:proofErr w:type="spellEnd"/>
            <w:r w:rsidRPr="00740ABA">
              <w:t xml:space="preserve"> университета.</w:t>
            </w:r>
          </w:p>
          <w:p w:rsidR="00D07584" w:rsidRPr="00740ABA" w:rsidRDefault="00D07584" w:rsidP="00740ABA">
            <w:r w:rsidRPr="00740ABA">
              <w:t>3. Рабочее совещание по вопросам управл</w:t>
            </w:r>
            <w:r w:rsidRPr="00740ABA">
              <w:t>е</w:t>
            </w:r>
            <w:r w:rsidRPr="00740ABA">
              <w:t>ния автоматизированными транспортными средствами, Женева, 28–29 июня 2017 года, организованное совместно с НАБДД и ИФСТТАР.</w:t>
            </w:r>
          </w:p>
          <w:p w:rsidR="00D07584" w:rsidRPr="00740ABA" w:rsidRDefault="00D07584" w:rsidP="00740ABA">
            <w:r w:rsidRPr="00740ABA">
              <w:t>Целевой показатель на 2018–2019 годы: 2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201187">
            <w:pPr>
              <w:pageBreakBefore/>
            </w:pPr>
            <w:r w:rsidRPr="00740ABA">
              <w:t>ПД 15. c) Общее число участников каждого семинара, рабочего совещания, конференции и мероприятия, в том числе представителей Договаривающихся сторон</w:t>
            </w:r>
          </w:p>
          <w:p w:rsidR="00D07584" w:rsidRPr="00740ABA" w:rsidRDefault="00D07584" w:rsidP="00201187">
            <w:pPr>
              <w:pageBreakBefore/>
            </w:pPr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2016−2017 годы: 60</w:t>
            </w:r>
            <w:r w:rsidRPr="00740ABA">
              <w:br/>
              <w:t xml:space="preserve">Фактический показатель за 2016–2017 годы: 270 </w:t>
            </w:r>
            <w:r w:rsidRPr="00740ABA">
              <w:br/>
              <w:t>Целевой показатель на 2018–2019 годы: 60</w:t>
            </w:r>
          </w:p>
        </w:tc>
      </w:tr>
      <w:tr w:rsidR="00D07584" w:rsidRPr="00740ABA" w:rsidTr="00201187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ПД 15. d) Отзывы со стороны участников семинаров, рабочих совещаний, конференций и мероприятий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2016−2017 годы: п</w:t>
            </w:r>
            <w:r w:rsidRPr="00740ABA">
              <w:t>о</w:t>
            </w:r>
            <w:r w:rsidRPr="00740ABA">
              <w:t>лучение положительных отзывов (на основе большинства представленных ответов) от участников семинаров, рабочих совещаний, конференций и мероприятий по поводу орг</w:t>
            </w:r>
            <w:r w:rsidRPr="00740ABA">
              <w:t>а</w:t>
            </w:r>
            <w:r w:rsidRPr="00740ABA">
              <w:t xml:space="preserve">низации соответствующего мероприятия, возможностей сетевого сотрудничества и ценности представленной информации и сделанных презентаций </w:t>
            </w:r>
          </w:p>
          <w:p w:rsidR="00D07584" w:rsidRPr="00740ABA" w:rsidRDefault="00D07584" w:rsidP="00740ABA">
            <w:r w:rsidRPr="00740ABA">
              <w:t>Фактический показатель за 2016–2017 годы: положительные отзывы на основе официал</w:t>
            </w:r>
            <w:r w:rsidRPr="00740ABA">
              <w:t>ь</w:t>
            </w:r>
            <w:r w:rsidRPr="00740ABA">
              <w:t>ного и неофициального опроса (обзора) по поводу двух вышеупомянутых мероприятий. Кроме того, фильм «Спасение жизни людей на железнодорожных переездах» был пр</w:t>
            </w:r>
            <w:r w:rsidRPr="00740ABA">
              <w:t>о</w:t>
            </w:r>
            <w:r w:rsidRPr="00740ABA">
              <w:t>смотрен почти 81 500 раз с момента его в</w:t>
            </w:r>
            <w:r w:rsidRPr="00740ABA">
              <w:t>ы</w:t>
            </w:r>
            <w:r w:rsidRPr="00740ABA">
              <w:t>пуска в июне 2014 года</w:t>
            </w:r>
          </w:p>
          <w:p w:rsidR="00D07584" w:rsidRPr="00740ABA" w:rsidRDefault="00D07584" w:rsidP="00740ABA">
            <w:r w:rsidRPr="00740ABA">
              <w:t>Целевой показатель на 2018–2019 годы: п</w:t>
            </w:r>
            <w:r w:rsidRPr="00740ABA">
              <w:t>о</w:t>
            </w:r>
            <w:r w:rsidRPr="00740ABA">
              <w:t>лучение положительных отзывов (на основе большинства представленных ответов) от участников семинаров, рабочих совещаний, конференций и мероприятий по поводу орг</w:t>
            </w:r>
            <w:r w:rsidRPr="00740ABA">
              <w:t>а</w:t>
            </w:r>
            <w:r w:rsidRPr="00740ABA">
              <w:t>низации соответствующего мероприятия, возможностей сетевого сотрудничества и ценности представленной информации и сделанных презентаций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  <w:bottom w:val="nil"/>
            </w:tcBorders>
          </w:tcPr>
          <w:p w:rsidR="00D07584" w:rsidRPr="00800902" w:rsidRDefault="00800902" w:rsidP="00201187">
            <w:pPr>
              <w:rPr>
                <w:b/>
                <w:bCs/>
              </w:rPr>
            </w:pPr>
            <w:r>
              <w:rPr>
                <w:b/>
                <w:bCs/>
              </w:rPr>
              <w:t>3. ПД c)</w:t>
            </w:r>
            <w:r w:rsidR="00D07584" w:rsidRPr="00800902">
              <w:rPr>
                <w:b/>
                <w:bCs/>
              </w:rPr>
              <w:t xml:space="preserve"> Ук</w:t>
            </w:r>
            <w:r w:rsidR="00201187" w:rsidRPr="00800902">
              <w:rPr>
                <w:b/>
                <w:bCs/>
              </w:rPr>
              <w:t>репление потенци</w:t>
            </w:r>
            <w:r w:rsidR="00201187" w:rsidRPr="00800902">
              <w:rPr>
                <w:b/>
                <w:bCs/>
              </w:rPr>
              <w:t>а</w:t>
            </w:r>
            <w:r w:rsidR="00201187" w:rsidRPr="00800902">
              <w:rPr>
                <w:b/>
                <w:bCs/>
              </w:rPr>
              <w:t>ла государств –</w:t>
            </w:r>
            <w:r w:rsidR="00D07584" w:rsidRPr="00800902">
              <w:rPr>
                <w:b/>
                <w:bCs/>
              </w:rPr>
              <w:t xml:space="preserve"> членов ЕЭК, в</w:t>
            </w:r>
            <w:r w:rsidR="00201187" w:rsidRPr="00800902">
              <w:rPr>
                <w:b/>
                <w:bCs/>
              </w:rPr>
              <w:t> </w:t>
            </w:r>
            <w:r w:rsidR="00D07584" w:rsidRPr="00800902">
              <w:rPr>
                <w:b/>
                <w:bCs/>
              </w:rPr>
              <w:t>частности развивающихся стран, не имеющих выхода к морю, для создания панъевр</w:t>
            </w:r>
            <w:r w:rsidR="00D07584" w:rsidRPr="00800902">
              <w:rPr>
                <w:b/>
                <w:bCs/>
              </w:rPr>
              <w:t>о</w:t>
            </w:r>
            <w:r w:rsidR="00D07584" w:rsidRPr="00800902">
              <w:rPr>
                <w:b/>
                <w:bCs/>
              </w:rPr>
              <w:t>пейской и трансконтинентал</w:t>
            </w:r>
            <w:r w:rsidR="00D07584" w:rsidRPr="00800902">
              <w:rPr>
                <w:b/>
                <w:bCs/>
              </w:rPr>
              <w:t>ь</w:t>
            </w:r>
            <w:r w:rsidR="00D07584" w:rsidRPr="00800902">
              <w:rPr>
                <w:b/>
                <w:bCs/>
              </w:rPr>
              <w:t>ной транспортной инфр</w:t>
            </w:r>
            <w:r w:rsidR="00D07584" w:rsidRPr="00800902">
              <w:rPr>
                <w:b/>
                <w:bCs/>
              </w:rPr>
              <w:t>а</w:t>
            </w:r>
            <w:r w:rsidR="00D07584" w:rsidRPr="00800902">
              <w:rPr>
                <w:b/>
                <w:bCs/>
              </w:rPr>
              <w:t>структуры и принятия мер по содействию развитию тран</w:t>
            </w:r>
            <w:r w:rsidR="00D07584" w:rsidRPr="00800902">
              <w:rPr>
                <w:b/>
                <w:bCs/>
              </w:rPr>
              <w:t>с</w:t>
            </w:r>
            <w:r w:rsidR="00D07584" w:rsidRPr="00800902">
              <w:rPr>
                <w:b/>
                <w:bCs/>
              </w:rPr>
              <w:t>порта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 w:val="restart"/>
            <w:tcBorders>
              <w:top w:val="nil"/>
            </w:tcBorders>
          </w:tcPr>
          <w:p w:rsidR="00D07584" w:rsidRPr="00740ABA" w:rsidRDefault="00D07584" w:rsidP="00740ABA"/>
        </w:tc>
      </w:tr>
      <w:tr w:rsidR="00D07584" w:rsidRPr="00740ABA" w:rsidTr="00201187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  <w:r w:rsidRPr="00740ABA">
              <w:lastRenderedPageBreak/>
              <w:t>ПД c) i) Увеличение числа Дог</w:t>
            </w:r>
            <w:r w:rsidRPr="00740ABA">
              <w:t>о</w:t>
            </w:r>
            <w:r w:rsidRPr="00740ABA">
              <w:t>варивающихся сторон четырех ключевых соглашений по тран</w:t>
            </w:r>
            <w:r w:rsidRPr="00740ABA">
              <w:t>с</w:t>
            </w:r>
            <w:r w:rsidRPr="00740ABA">
              <w:t>портной инфраструктуре</w:t>
            </w:r>
          </w:p>
          <w:p w:rsidR="00D07584" w:rsidRPr="00740ABA" w:rsidRDefault="00D07584" w:rsidP="00201187">
            <w:pPr>
              <w:pageBreakBefore/>
            </w:pPr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116 государств-участников</w:t>
            </w:r>
            <w:r w:rsidRPr="00740ABA">
              <w:br/>
              <w:t>Целевой показатель на 2018−2019 годы: 117 государств-участников</w:t>
            </w: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vMerge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</w:tr>
      <w:tr w:rsidR="00D07584" w:rsidRPr="00740ABA" w:rsidTr="00740ABA">
        <w:tc>
          <w:tcPr>
            <w:tcW w:w="3119" w:type="dxa"/>
          </w:tcPr>
          <w:p w:rsidR="00D07584" w:rsidRPr="00740ABA" w:rsidRDefault="00D07584" w:rsidP="00740ABA">
            <w:proofErr w:type="gramStart"/>
            <w:r w:rsidRPr="00740ABA">
              <w:t xml:space="preserve">ПД c) </w:t>
            </w:r>
            <w:proofErr w:type="spellStart"/>
            <w:r w:rsidRPr="00740ABA">
              <w:t>ii</w:t>
            </w:r>
            <w:proofErr w:type="spellEnd"/>
            <w:r w:rsidRPr="00740ABA">
              <w:t>) Увеличение числа гос</w:t>
            </w:r>
            <w:r w:rsidRPr="00740ABA">
              <w:t>у</w:t>
            </w:r>
            <w:r w:rsidRPr="00740ABA">
              <w:t>дарств-членов, использующих общую рамочную основу ЕЭК для развития субрегиональной транспортной инфраструктуры (Проект по евро-азиатским транспортным связям, проект трансъевропейской автомаг</w:t>
            </w:r>
            <w:r w:rsidRPr="00740ABA">
              <w:t>и</w:t>
            </w:r>
            <w:r w:rsidRPr="00740ABA">
              <w:t>страли и проект трансъевропе</w:t>
            </w:r>
            <w:r w:rsidRPr="00740ABA">
              <w:t>й</w:t>
            </w:r>
            <w:r w:rsidRPr="00740ABA">
              <w:t>ской железнодорожной маг</w:t>
            </w:r>
            <w:r w:rsidRPr="00740ABA">
              <w:t>и</w:t>
            </w:r>
            <w:r w:rsidRPr="00740ABA">
              <w:t>страли)</w:t>
            </w:r>
            <w:proofErr w:type="gramEnd"/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2018−2019 годы: 58 стран</w:t>
            </w:r>
          </w:p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/>
        </w:tc>
      </w:tr>
      <w:tr w:rsidR="00D07584" w:rsidRPr="00740ABA" w:rsidTr="00201187">
        <w:tc>
          <w:tcPr>
            <w:tcW w:w="3119" w:type="dxa"/>
            <w:tcBorders>
              <w:bottom w:val="nil"/>
            </w:tcBorders>
          </w:tcPr>
          <w:p w:rsidR="00D07584" w:rsidRPr="00740ABA" w:rsidRDefault="00D07584" w:rsidP="00740ABA"/>
        </w:tc>
        <w:tc>
          <w:tcPr>
            <w:tcW w:w="2267" w:type="dxa"/>
            <w:tcBorders>
              <w:bottom w:val="nil"/>
            </w:tcBorders>
          </w:tcPr>
          <w:p w:rsidR="00D07584" w:rsidRPr="00740ABA" w:rsidRDefault="00D07584" w:rsidP="00295D97">
            <w:pPr>
              <w:ind w:left="567" w:hanging="567"/>
            </w:pPr>
            <w:r w:rsidRPr="00740ABA">
              <w:t>4.b.</w:t>
            </w:r>
            <w:r w:rsidRPr="00740ABA">
              <w:tab/>
              <w:t>Железнодоро</w:t>
            </w:r>
            <w:r w:rsidRPr="00740ABA">
              <w:t>ж</w:t>
            </w:r>
            <w:r w:rsidRPr="00740ABA">
              <w:t>ный транспорт и</w:t>
            </w:r>
          </w:p>
          <w:p w:rsidR="00D07584" w:rsidRPr="00740ABA" w:rsidRDefault="00201187" w:rsidP="00295D97">
            <w:pPr>
              <w:ind w:left="567" w:hanging="567"/>
            </w:pPr>
            <w:r>
              <w:t>14.c.</w:t>
            </w:r>
            <w:r>
              <w:tab/>
            </w:r>
            <w:r w:rsidR="00D07584" w:rsidRPr="00740ABA">
              <w:t xml:space="preserve">Автомобильный транспорт </w:t>
            </w:r>
            <w:r w:rsidR="00295D97">
              <w:br/>
            </w:r>
            <w:r w:rsidR="00D07584" w:rsidRPr="00740ABA">
              <w:t xml:space="preserve">(проекты ТЕА </w:t>
            </w:r>
            <w:r w:rsidR="00295D97">
              <w:br/>
            </w:r>
            <w:r w:rsidR="00D07584" w:rsidRPr="00740ABA">
              <w:t>и ТЕЖ)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>
            <w:r w:rsidRPr="00740ABA">
              <w:t>ОД 4.b./14.c</w:t>
            </w:r>
            <w:r w:rsidR="00295D97">
              <w:t>.</w:t>
            </w:r>
            <w:r w:rsidRPr="00740ABA">
              <w:t xml:space="preserve"> Увеличение потенциала стран ЕЭК, участвующих в проектах ТЕА и ТЕЖ </w:t>
            </w:r>
          </w:p>
          <w:p w:rsidR="00D07584" w:rsidRPr="00740ABA" w:rsidRDefault="00D07584" w:rsidP="00740ABA">
            <w:r w:rsidRPr="00740ABA">
              <w:t>ПД Число стран ЕЭК, участвующих в прое</w:t>
            </w:r>
            <w:r w:rsidRPr="00740ABA">
              <w:t>к</w:t>
            </w:r>
            <w:r w:rsidRPr="00740ABA">
              <w:t>тах ТЕА и ТЕЖ</w:t>
            </w:r>
          </w:p>
          <w:p w:rsidR="00D07584" w:rsidRPr="00740ABA" w:rsidRDefault="00D07584" w:rsidP="00201187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11</w:t>
            </w:r>
            <w:r w:rsidR="00201187">
              <w:t> </w:t>
            </w:r>
            <w:r w:rsidRPr="00740ABA">
              <w:t>(ТЕА) + 14 (ТЕЖ) стран</w:t>
            </w:r>
            <w:r w:rsidRPr="00740ABA">
              <w:br/>
              <w:t>Целевой показатель на 2018−2019 годы: 12</w:t>
            </w:r>
            <w:r w:rsidR="00201187">
              <w:t> </w:t>
            </w:r>
            <w:r w:rsidRPr="00740ABA">
              <w:t>(ТЕА) + 14 (ТЕЖ) стран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  <w:bottom w:val="nil"/>
            </w:tcBorders>
          </w:tcPr>
          <w:p w:rsidR="00D07584" w:rsidRPr="0064110A" w:rsidRDefault="00295D97" w:rsidP="00740ABA">
            <w:pPr>
              <w:rPr>
                <w:b/>
                <w:bCs/>
              </w:rPr>
            </w:pPr>
            <w:r w:rsidRPr="0064110A">
              <w:rPr>
                <w:b/>
                <w:bCs/>
              </w:rPr>
              <w:t>4. ПД d)</w:t>
            </w:r>
            <w:r w:rsidR="00D07584" w:rsidRPr="0064110A">
              <w:rPr>
                <w:b/>
                <w:bCs/>
              </w:rPr>
              <w:t xml:space="preserve"> Расширение возмо</w:t>
            </w:r>
            <w:r w:rsidR="00D07584" w:rsidRPr="0064110A">
              <w:rPr>
                <w:b/>
                <w:bCs/>
              </w:rPr>
              <w:t>ж</w:t>
            </w:r>
            <w:r w:rsidR="00D07584" w:rsidRPr="0064110A">
              <w:rPr>
                <w:b/>
                <w:bCs/>
              </w:rPr>
              <w:t>ностей осуществления соотве</w:t>
            </w:r>
            <w:r w:rsidR="00D07584" w:rsidRPr="0064110A">
              <w:rPr>
                <w:b/>
                <w:bCs/>
              </w:rPr>
              <w:t>т</w:t>
            </w:r>
            <w:r w:rsidR="00D07584" w:rsidRPr="0064110A">
              <w:rPr>
                <w:b/>
                <w:bCs/>
              </w:rPr>
              <w:t>ствующих правовых докуме</w:t>
            </w:r>
            <w:r w:rsidR="00D07584" w:rsidRPr="0064110A">
              <w:rPr>
                <w:b/>
                <w:bCs/>
              </w:rPr>
              <w:t>н</w:t>
            </w:r>
            <w:r w:rsidR="00D07584" w:rsidRPr="0064110A">
              <w:rPr>
                <w:b/>
                <w:bCs/>
              </w:rPr>
              <w:t>тов, норм и правил Организ</w:t>
            </w:r>
            <w:r w:rsidR="00D07584" w:rsidRPr="0064110A">
              <w:rPr>
                <w:b/>
                <w:bCs/>
              </w:rPr>
              <w:t>а</w:t>
            </w:r>
            <w:r w:rsidR="00D07584" w:rsidRPr="0064110A">
              <w:rPr>
                <w:b/>
                <w:bCs/>
              </w:rPr>
              <w:t>ции Объединенных Наций по вопросам транспорта, в час</w:t>
            </w:r>
            <w:r w:rsidR="00D07584" w:rsidRPr="0064110A">
              <w:rPr>
                <w:b/>
                <w:bCs/>
              </w:rPr>
              <w:t>т</w:t>
            </w:r>
            <w:r w:rsidR="00D07584" w:rsidRPr="0064110A">
              <w:rPr>
                <w:b/>
                <w:bCs/>
              </w:rPr>
              <w:t>ности в странах Восточной и Юго-Восточной Европы, З</w:t>
            </w:r>
            <w:r w:rsidR="00D07584" w:rsidRPr="0064110A">
              <w:rPr>
                <w:b/>
                <w:bCs/>
              </w:rPr>
              <w:t>а</w:t>
            </w:r>
            <w:r w:rsidR="00D07584" w:rsidRPr="0064110A">
              <w:rPr>
                <w:b/>
                <w:bCs/>
              </w:rPr>
              <w:t>кавказья и Центральной Азии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07584" w:rsidRPr="00740ABA" w:rsidRDefault="00D07584" w:rsidP="0064110A">
            <w:r w:rsidRPr="00740ABA">
              <w:t>Все направления</w:t>
            </w:r>
            <w:r w:rsidR="0064110A">
              <w:br/>
            </w:r>
            <w:r w:rsidRPr="00740ABA">
              <w:t>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740ABA">
            <w:r w:rsidRPr="00740ABA">
              <w:t>ОД d) Более высокая отдача от деятельности ЕЭК по наращиванию потенциала в области транспорта</w:t>
            </w:r>
          </w:p>
          <w:p w:rsidR="00D07584" w:rsidRPr="00740ABA" w:rsidRDefault="00D07584" w:rsidP="00740ABA">
            <w:r w:rsidRPr="00740ABA">
              <w:t>ПД d) Процентная доля положительных оц</w:t>
            </w:r>
            <w:r w:rsidRPr="00740ABA">
              <w:t>е</w:t>
            </w:r>
            <w:r w:rsidRPr="00740ABA">
              <w:t>нок всех участников организованных мер</w:t>
            </w:r>
            <w:r w:rsidRPr="00740ABA">
              <w:t>о</w:t>
            </w:r>
            <w:r w:rsidRPr="00740ABA">
              <w:t>приятий по наращиванию потенциала («п</w:t>
            </w:r>
            <w:r w:rsidRPr="00740ABA">
              <w:t>о</w:t>
            </w:r>
            <w:r w:rsidRPr="00740ABA">
              <w:t>лезно» и «очень полезно»)</w:t>
            </w:r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2016−2017 годы: 80%</w:t>
            </w:r>
            <w:r w:rsidRPr="00740ABA">
              <w:br/>
              <w:t>Целевой показатель на 2018−2019 годы: да</w:t>
            </w:r>
            <w:r w:rsidRPr="00740ABA">
              <w:t>н</w:t>
            </w:r>
            <w:r w:rsidRPr="00740ABA">
              <w:t>ных не имеется</w:t>
            </w:r>
          </w:p>
        </w:tc>
      </w:tr>
      <w:tr w:rsidR="00D07584" w:rsidRPr="00740ABA" w:rsidTr="00201187">
        <w:tc>
          <w:tcPr>
            <w:tcW w:w="3119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  <w:r w:rsidRPr="00740ABA">
              <w:lastRenderedPageBreak/>
              <w:t>ПД d) i) Увеличение числа стран Восточной и Юго-Восточной Европы, Закавказья и Централ</w:t>
            </w:r>
            <w:r w:rsidRPr="00740ABA">
              <w:t>ь</w:t>
            </w:r>
            <w:r w:rsidRPr="00740ABA">
              <w:t>ной Азии, сообщивших о прин</w:t>
            </w:r>
            <w:r w:rsidRPr="00740ABA">
              <w:t>я</w:t>
            </w:r>
            <w:r w:rsidRPr="00740ABA">
              <w:t>тии мер, направленных на пр</w:t>
            </w:r>
            <w:r w:rsidRPr="00740ABA">
              <w:t>и</w:t>
            </w:r>
            <w:r w:rsidRPr="00740ABA">
              <w:t>менение правовых документов, норм и правил Организации Объединенных Наций в области транспорта, находящихся в вед</w:t>
            </w:r>
            <w:r w:rsidRPr="00740ABA">
              <w:t>е</w:t>
            </w:r>
            <w:r w:rsidRPr="00740ABA">
              <w:t>нии ЕЭК</w:t>
            </w:r>
          </w:p>
          <w:p w:rsidR="00D07584" w:rsidRPr="00740ABA" w:rsidRDefault="00D07584" w:rsidP="00201187">
            <w:pPr>
              <w:pageBreakBefore/>
            </w:pPr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Целевой показатель на 2018−2019 годы: 10 стран</w:t>
            </w:r>
          </w:p>
        </w:tc>
        <w:tc>
          <w:tcPr>
            <w:tcW w:w="2267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il"/>
            </w:tcBorders>
          </w:tcPr>
          <w:p w:rsidR="00D07584" w:rsidRPr="00740ABA" w:rsidRDefault="00D07584" w:rsidP="00201187">
            <w:pPr>
              <w:pageBreakBefore/>
            </w:pPr>
          </w:p>
        </w:tc>
      </w:tr>
      <w:tr w:rsidR="00D07584" w:rsidRPr="00740ABA" w:rsidTr="00740ABA">
        <w:trPr>
          <w:trHeight w:val="1715"/>
        </w:trPr>
        <w:tc>
          <w:tcPr>
            <w:tcW w:w="3119" w:type="dxa"/>
          </w:tcPr>
          <w:p w:rsidR="00D07584" w:rsidRPr="00740ABA" w:rsidRDefault="00D07584" w:rsidP="00740ABA">
            <w:proofErr w:type="gramStart"/>
            <w:r w:rsidRPr="00740ABA">
              <w:t xml:space="preserve">ПД d) </w:t>
            </w:r>
            <w:proofErr w:type="spellStart"/>
            <w:r w:rsidRPr="00740ABA">
              <w:t>ii</w:t>
            </w:r>
            <w:proofErr w:type="spellEnd"/>
            <w:r w:rsidRPr="00740ABA">
              <w:t>) Увеличение числа стран, установивших целевые показатели в области повышения безопасности дорожного движ</w:t>
            </w:r>
            <w:r w:rsidRPr="00740ABA">
              <w:t>е</w:t>
            </w:r>
            <w:r w:rsidRPr="00740ABA">
              <w:t>ния</w:t>
            </w:r>
            <w:proofErr w:type="gramEnd"/>
          </w:p>
          <w:p w:rsidR="00D07584" w:rsidRPr="00740ABA" w:rsidRDefault="00D07584" w:rsidP="00740ABA">
            <w:r w:rsidRPr="004457F1">
              <w:rPr>
                <w:i/>
                <w:iCs/>
              </w:rPr>
              <w:t>Показатели результативности:</w:t>
            </w:r>
            <w:r w:rsidRPr="00740ABA">
              <w:br/>
              <w:t>Базовый показатель на 2017 год: 40 стран</w:t>
            </w:r>
            <w:r w:rsidRPr="00740ABA">
              <w:br/>
              <w:t>Целевой показатель на 2018−2019 годы: 43 страны</w:t>
            </w:r>
          </w:p>
        </w:tc>
        <w:tc>
          <w:tcPr>
            <w:tcW w:w="2267" w:type="dxa"/>
          </w:tcPr>
          <w:p w:rsidR="00D07584" w:rsidRPr="00740ABA" w:rsidRDefault="00D07584" w:rsidP="00740AB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D07584" w:rsidRPr="00740ABA" w:rsidRDefault="00D07584" w:rsidP="00740ABA"/>
        </w:tc>
      </w:tr>
    </w:tbl>
    <w:p w:rsidR="00E12C5F" w:rsidRPr="000A6B8F" w:rsidRDefault="000A6B8F" w:rsidP="000A6B8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A6B8F" w:rsidSect="007E1E5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E1" w:rsidRPr="00A312BC" w:rsidRDefault="00577EE1" w:rsidP="00A312BC"/>
  </w:endnote>
  <w:endnote w:type="continuationSeparator" w:id="0">
    <w:p w:rsidR="00577EE1" w:rsidRPr="00A312BC" w:rsidRDefault="00577E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1" w:rsidRPr="007E1E53" w:rsidRDefault="00577EE1">
    <w:pPr>
      <w:pStyle w:val="Footer"/>
    </w:pPr>
    <w:r w:rsidRPr="007E1E53">
      <w:rPr>
        <w:b/>
        <w:sz w:val="18"/>
      </w:rPr>
      <w:fldChar w:fldCharType="begin"/>
    </w:r>
    <w:r w:rsidRPr="007E1E53">
      <w:rPr>
        <w:b/>
        <w:sz w:val="18"/>
      </w:rPr>
      <w:instrText xml:space="preserve"> PAGE  \* MERGEFORMAT </w:instrText>
    </w:r>
    <w:r w:rsidRPr="007E1E53">
      <w:rPr>
        <w:b/>
        <w:sz w:val="18"/>
      </w:rPr>
      <w:fldChar w:fldCharType="separate"/>
    </w:r>
    <w:r w:rsidR="00DF4887">
      <w:rPr>
        <w:b/>
        <w:noProof/>
        <w:sz w:val="18"/>
      </w:rPr>
      <w:t>18</w:t>
    </w:r>
    <w:r w:rsidRPr="007E1E53">
      <w:rPr>
        <w:b/>
        <w:sz w:val="18"/>
      </w:rPr>
      <w:fldChar w:fldCharType="end"/>
    </w:r>
    <w:r>
      <w:rPr>
        <w:b/>
        <w:sz w:val="18"/>
      </w:rPr>
      <w:tab/>
    </w:r>
    <w:r>
      <w:t>GE.17-22337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1" w:rsidRPr="007E1E53" w:rsidRDefault="00577EE1" w:rsidP="007E1E5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GE.17-22337</w:t>
    </w:r>
    <w:r>
      <w:tab/>
    </w:r>
    <w:r w:rsidRPr="007E1E53">
      <w:rPr>
        <w:b/>
        <w:sz w:val="18"/>
      </w:rPr>
      <w:fldChar w:fldCharType="begin"/>
    </w:r>
    <w:r w:rsidRPr="007E1E53">
      <w:rPr>
        <w:b/>
        <w:sz w:val="18"/>
      </w:rPr>
      <w:instrText xml:space="preserve"> PAGE  \* MERGEFORMAT </w:instrText>
    </w:r>
    <w:r w:rsidRPr="007E1E53">
      <w:rPr>
        <w:b/>
        <w:sz w:val="18"/>
      </w:rPr>
      <w:fldChar w:fldCharType="separate"/>
    </w:r>
    <w:r w:rsidR="00DF4887">
      <w:rPr>
        <w:b/>
        <w:noProof/>
        <w:sz w:val="18"/>
      </w:rPr>
      <w:t>17</w:t>
    </w:r>
    <w:r w:rsidRPr="007E1E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1" w:rsidRPr="007E1E53" w:rsidRDefault="00577EE1" w:rsidP="007E1E5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06D61F" wp14:editId="5C515C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17-22337  (R)</w:t>
    </w:r>
    <w:r>
      <w:rPr>
        <w:lang w:val="en-US"/>
      </w:rPr>
      <w:t xml:space="preserve">  271217  281217</w:t>
    </w:r>
    <w:r>
      <w:br/>
    </w:r>
    <w:r w:rsidRPr="007E1E53">
      <w:rPr>
        <w:rFonts w:ascii="C39T30Lfz" w:hAnsi="C39T30Lfz"/>
        <w:spacing w:val="0"/>
        <w:w w:val="100"/>
        <w:sz w:val="56"/>
      </w:rPr>
      <w:t></w:t>
    </w:r>
    <w:r w:rsidRPr="007E1E53">
      <w:rPr>
        <w:rFonts w:ascii="C39T30Lfz" w:hAnsi="C39T30Lfz"/>
        <w:spacing w:val="0"/>
        <w:w w:val="100"/>
        <w:sz w:val="56"/>
      </w:rPr>
      <w:t></w:t>
    </w:r>
    <w:r w:rsidRPr="007E1E53">
      <w:rPr>
        <w:rFonts w:ascii="C39T30Lfz" w:hAnsi="C39T30Lfz"/>
        <w:spacing w:val="0"/>
        <w:w w:val="100"/>
        <w:sz w:val="56"/>
      </w:rPr>
      <w:t></w:t>
    </w:r>
    <w:r w:rsidRPr="007E1E53">
      <w:rPr>
        <w:rFonts w:ascii="C39T30Lfz" w:hAnsi="C39T30Lfz"/>
        <w:spacing w:val="0"/>
        <w:w w:val="100"/>
        <w:sz w:val="56"/>
      </w:rPr>
      <w:t></w:t>
    </w:r>
    <w:r w:rsidRPr="007E1E53">
      <w:rPr>
        <w:rFonts w:ascii="C39T30Lfz" w:hAnsi="C39T30Lfz"/>
        <w:spacing w:val="0"/>
        <w:w w:val="100"/>
        <w:sz w:val="56"/>
      </w:rPr>
      <w:t></w:t>
    </w:r>
    <w:r w:rsidRPr="007E1E53">
      <w:rPr>
        <w:rFonts w:ascii="C39T30Lfz" w:hAnsi="C39T30Lfz"/>
        <w:spacing w:val="0"/>
        <w:w w:val="100"/>
        <w:sz w:val="56"/>
      </w:rPr>
      <w:t></w:t>
    </w:r>
    <w:r w:rsidRPr="007E1E53">
      <w:rPr>
        <w:rFonts w:ascii="C39T30Lfz" w:hAnsi="C39T30Lfz"/>
        <w:spacing w:val="0"/>
        <w:w w:val="100"/>
        <w:sz w:val="56"/>
      </w:rPr>
      <w:t></w:t>
    </w:r>
    <w:r w:rsidRPr="007E1E53">
      <w:rPr>
        <w:rFonts w:ascii="C39T30Lfz" w:hAnsi="C39T30Lfz"/>
        <w:spacing w:val="0"/>
        <w:w w:val="100"/>
        <w:sz w:val="56"/>
      </w:rPr>
      <w:t></w:t>
    </w:r>
    <w:r w:rsidRPr="007E1E5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CE/TRANS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E1" w:rsidRPr="001075E9" w:rsidRDefault="00577E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7EE1" w:rsidRDefault="00577E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7EE1" w:rsidRPr="001D4825" w:rsidRDefault="00577EE1" w:rsidP="00D07584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D4825">
        <w:rPr>
          <w:lang w:val="ru-RU"/>
        </w:rPr>
        <w:tab/>
      </w:r>
      <w:r w:rsidRPr="004C7232">
        <w:rPr>
          <w:lang w:val="ru-RU"/>
        </w:rPr>
        <w:t>Данный показатель охватывает только период с 2016 года по начало марта 2017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1" w:rsidRPr="007E1E53" w:rsidRDefault="007A728A">
    <w:pPr>
      <w:pStyle w:val="Header"/>
    </w:pPr>
    <w:fldSimple w:instr=" TITLE  \* MERGEFORMAT ">
      <w:r>
        <w:t>ECE/TRANS/2018/22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1" w:rsidRPr="007E1E53" w:rsidRDefault="007A728A" w:rsidP="007E1E53">
    <w:pPr>
      <w:pStyle w:val="Header"/>
      <w:jc w:val="right"/>
    </w:pPr>
    <w:fldSimple w:instr=" TITLE  \* MERGEFORMAT ">
      <w:r>
        <w:t>ECE/TRANS/2018/22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E1AABEC4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E5B01BCE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AA6D0D4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EB84B20C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F1169C52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8F1483A4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9FD098D4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A4C47E38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9236B98A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425EF5"/>
    <w:multiLevelType w:val="hybridMultilevel"/>
    <w:tmpl w:val="7A0E07DC"/>
    <w:lvl w:ilvl="0" w:tplc="F880F2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E5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8D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66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3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7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CA0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A4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E253887"/>
    <w:multiLevelType w:val="hybridMultilevel"/>
    <w:tmpl w:val="497EC7CC"/>
    <w:lvl w:ilvl="0" w:tplc="DB7A520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97AF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41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9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CF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C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7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46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676D3"/>
    <w:multiLevelType w:val="hybridMultilevel"/>
    <w:tmpl w:val="B0A6664C"/>
    <w:lvl w:ilvl="0" w:tplc="5E6E068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BDBC6CF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11F2CC0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BB1EE82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32DEFF48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33D4AA8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E2823B1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30FC80F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EDCEE7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E8FEF5B6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DFB48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4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05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8F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4D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FE7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FB6E5D1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CBAD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47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1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45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BCE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05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6A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5E223DA"/>
    <w:multiLevelType w:val="hybridMultilevel"/>
    <w:tmpl w:val="5B7ACB42"/>
    <w:lvl w:ilvl="0" w:tplc="9CBC67A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C886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AB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8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E0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6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41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C0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A7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29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2"/>
  </w:num>
  <w:num w:numId="18">
    <w:abstractNumId w:val="24"/>
  </w:num>
  <w:num w:numId="19">
    <w:abstractNumId w:val="26"/>
  </w:num>
  <w:num w:numId="20">
    <w:abstractNumId w:val="19"/>
  </w:num>
  <w:num w:numId="21">
    <w:abstractNumId w:val="17"/>
  </w:num>
  <w:num w:numId="22">
    <w:abstractNumId w:val="10"/>
  </w:num>
  <w:num w:numId="23">
    <w:abstractNumId w:val="14"/>
  </w:num>
  <w:num w:numId="24">
    <w:abstractNumId w:val="20"/>
  </w:num>
  <w:num w:numId="25">
    <w:abstractNumId w:val="16"/>
  </w:num>
  <w:num w:numId="26">
    <w:abstractNumId w:val="30"/>
  </w:num>
  <w:num w:numId="27">
    <w:abstractNumId w:val="25"/>
  </w:num>
  <w:num w:numId="28">
    <w:abstractNumId w:val="12"/>
  </w:num>
  <w:num w:numId="29">
    <w:abstractNumId w:val="11"/>
  </w:num>
  <w:num w:numId="30">
    <w:abstractNumId w:val="18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A"/>
    <w:rsid w:val="00033EE1"/>
    <w:rsid w:val="00042B72"/>
    <w:rsid w:val="000558BD"/>
    <w:rsid w:val="000A6B8F"/>
    <w:rsid w:val="000B57E7"/>
    <w:rsid w:val="000B6373"/>
    <w:rsid w:val="000E4E5B"/>
    <w:rsid w:val="000F09DF"/>
    <w:rsid w:val="000F61B2"/>
    <w:rsid w:val="001075E9"/>
    <w:rsid w:val="00135052"/>
    <w:rsid w:val="0014152F"/>
    <w:rsid w:val="00180183"/>
    <w:rsid w:val="0018024D"/>
    <w:rsid w:val="001839C2"/>
    <w:rsid w:val="0018649F"/>
    <w:rsid w:val="00196389"/>
    <w:rsid w:val="001A7006"/>
    <w:rsid w:val="001B3EF6"/>
    <w:rsid w:val="001C6747"/>
    <w:rsid w:val="001C7A89"/>
    <w:rsid w:val="00201187"/>
    <w:rsid w:val="002140D7"/>
    <w:rsid w:val="0023249A"/>
    <w:rsid w:val="00255343"/>
    <w:rsid w:val="0027151D"/>
    <w:rsid w:val="00295D9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C3C"/>
    <w:rsid w:val="00407B78"/>
    <w:rsid w:val="00424203"/>
    <w:rsid w:val="00430FBA"/>
    <w:rsid w:val="00431015"/>
    <w:rsid w:val="004457F1"/>
    <w:rsid w:val="00452493"/>
    <w:rsid w:val="00453318"/>
    <w:rsid w:val="00454AF2"/>
    <w:rsid w:val="00454E07"/>
    <w:rsid w:val="00472C5C"/>
    <w:rsid w:val="004863E8"/>
    <w:rsid w:val="004B2D6A"/>
    <w:rsid w:val="004E05B7"/>
    <w:rsid w:val="0050108D"/>
    <w:rsid w:val="00513081"/>
    <w:rsid w:val="00517901"/>
    <w:rsid w:val="00526683"/>
    <w:rsid w:val="005639C1"/>
    <w:rsid w:val="005709E0"/>
    <w:rsid w:val="00572E19"/>
    <w:rsid w:val="00573483"/>
    <w:rsid w:val="00577EE1"/>
    <w:rsid w:val="005961C8"/>
    <w:rsid w:val="005966F1"/>
    <w:rsid w:val="005B1FE0"/>
    <w:rsid w:val="005D7914"/>
    <w:rsid w:val="005E2B41"/>
    <w:rsid w:val="005F0B42"/>
    <w:rsid w:val="005F19EB"/>
    <w:rsid w:val="006064CB"/>
    <w:rsid w:val="006345DB"/>
    <w:rsid w:val="00640F49"/>
    <w:rsid w:val="0064110A"/>
    <w:rsid w:val="00680D03"/>
    <w:rsid w:val="00681A10"/>
    <w:rsid w:val="00695E58"/>
    <w:rsid w:val="006A1ED8"/>
    <w:rsid w:val="006B726D"/>
    <w:rsid w:val="006C2031"/>
    <w:rsid w:val="006D461A"/>
    <w:rsid w:val="006F35EE"/>
    <w:rsid w:val="007021FF"/>
    <w:rsid w:val="00712895"/>
    <w:rsid w:val="00734ACB"/>
    <w:rsid w:val="00737A01"/>
    <w:rsid w:val="00740ABA"/>
    <w:rsid w:val="00757357"/>
    <w:rsid w:val="00792497"/>
    <w:rsid w:val="007A728A"/>
    <w:rsid w:val="007C36F1"/>
    <w:rsid w:val="007E1E53"/>
    <w:rsid w:val="0080090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2AF"/>
    <w:rsid w:val="00906890"/>
    <w:rsid w:val="00911BE4"/>
    <w:rsid w:val="00942CF3"/>
    <w:rsid w:val="00951972"/>
    <w:rsid w:val="009608F3"/>
    <w:rsid w:val="009A24AC"/>
    <w:rsid w:val="009C05E0"/>
    <w:rsid w:val="009C6FE6"/>
    <w:rsid w:val="009D7E7D"/>
    <w:rsid w:val="00A14DA8"/>
    <w:rsid w:val="00A312BC"/>
    <w:rsid w:val="00A84021"/>
    <w:rsid w:val="00A84D35"/>
    <w:rsid w:val="00A917B3"/>
    <w:rsid w:val="00AA6BC7"/>
    <w:rsid w:val="00AB4B51"/>
    <w:rsid w:val="00AF08BE"/>
    <w:rsid w:val="00B03E23"/>
    <w:rsid w:val="00B10CC7"/>
    <w:rsid w:val="00B15E12"/>
    <w:rsid w:val="00B36DF7"/>
    <w:rsid w:val="00B37A9F"/>
    <w:rsid w:val="00B539E7"/>
    <w:rsid w:val="00B62458"/>
    <w:rsid w:val="00BC18B2"/>
    <w:rsid w:val="00BD33EE"/>
    <w:rsid w:val="00BE1CC7"/>
    <w:rsid w:val="00C106D6"/>
    <w:rsid w:val="00C119AE"/>
    <w:rsid w:val="00C37C09"/>
    <w:rsid w:val="00C60F0C"/>
    <w:rsid w:val="00C805C9"/>
    <w:rsid w:val="00C92939"/>
    <w:rsid w:val="00CA1679"/>
    <w:rsid w:val="00CB151C"/>
    <w:rsid w:val="00CD1064"/>
    <w:rsid w:val="00CE5A1A"/>
    <w:rsid w:val="00CF55F6"/>
    <w:rsid w:val="00D07584"/>
    <w:rsid w:val="00D33D63"/>
    <w:rsid w:val="00D37CA7"/>
    <w:rsid w:val="00D5253A"/>
    <w:rsid w:val="00D90028"/>
    <w:rsid w:val="00D90138"/>
    <w:rsid w:val="00DD78D1"/>
    <w:rsid w:val="00DE32CD"/>
    <w:rsid w:val="00DF4887"/>
    <w:rsid w:val="00DF5767"/>
    <w:rsid w:val="00DF71B9"/>
    <w:rsid w:val="00E12C5F"/>
    <w:rsid w:val="00E25F3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FA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57348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rsid w:val="00D0758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D0758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0758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0758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0758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0758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2G">
    <w:name w:val="_Bullet 2_G"/>
    <w:basedOn w:val="Normal"/>
    <w:rsid w:val="00D07584"/>
    <w:pPr>
      <w:numPr>
        <w:numId w:val="26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D0758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D07584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D07584"/>
    <w:rPr>
      <w:b/>
      <w:sz w:val="24"/>
      <w:lang w:val="en-GB" w:eastAsia="en-US"/>
    </w:rPr>
  </w:style>
  <w:style w:type="paragraph" w:styleId="PlainText">
    <w:name w:val="Plain Text"/>
    <w:basedOn w:val="Normal"/>
    <w:link w:val="PlainTextChar"/>
    <w:semiHidden/>
    <w:rsid w:val="00D07584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07584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D07584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7584"/>
    <w:rPr>
      <w:lang w:val="en-GB" w:eastAsia="en-US"/>
    </w:rPr>
  </w:style>
  <w:style w:type="paragraph" w:styleId="BlockText">
    <w:name w:val="Block Text"/>
    <w:basedOn w:val="Normal"/>
    <w:semiHidden/>
    <w:rsid w:val="00D07584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D07584"/>
    <w:rPr>
      <w:sz w:val="6"/>
    </w:rPr>
  </w:style>
  <w:style w:type="paragraph" w:styleId="CommentText">
    <w:name w:val="annotation text"/>
    <w:basedOn w:val="Normal"/>
    <w:link w:val="CommentText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07584"/>
    <w:rPr>
      <w:lang w:val="en-GB" w:eastAsia="en-US"/>
    </w:rPr>
  </w:style>
  <w:style w:type="character" w:styleId="LineNumber">
    <w:name w:val="line number"/>
    <w:semiHidden/>
    <w:rsid w:val="00D07584"/>
    <w:rPr>
      <w:sz w:val="14"/>
    </w:rPr>
  </w:style>
  <w:style w:type="numbering" w:styleId="111111">
    <w:name w:val="Outline List 2"/>
    <w:basedOn w:val="NoList"/>
    <w:semiHidden/>
    <w:rsid w:val="00D07584"/>
    <w:pPr>
      <w:numPr>
        <w:numId w:val="27"/>
      </w:numPr>
    </w:pPr>
  </w:style>
  <w:style w:type="numbering" w:styleId="1ai">
    <w:name w:val="Outline List 1"/>
    <w:basedOn w:val="NoList"/>
    <w:semiHidden/>
    <w:rsid w:val="00D07584"/>
    <w:pPr>
      <w:numPr>
        <w:numId w:val="28"/>
      </w:numPr>
    </w:pPr>
  </w:style>
  <w:style w:type="numbering" w:styleId="ArticleSection">
    <w:name w:val="Outline List 3"/>
    <w:basedOn w:val="NoList"/>
    <w:semiHidden/>
    <w:rsid w:val="00D07584"/>
    <w:pPr>
      <w:numPr>
        <w:numId w:val="29"/>
      </w:numPr>
    </w:pPr>
  </w:style>
  <w:style w:type="paragraph" w:styleId="BodyText2">
    <w:name w:val="Body Text 2"/>
    <w:basedOn w:val="Normal"/>
    <w:link w:val="BodyText2Char"/>
    <w:semiHidden/>
    <w:rsid w:val="00D07584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7584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D07584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07584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0758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7584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0758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07584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D07584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7584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7584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D07584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07584"/>
    <w:rPr>
      <w:lang w:val="en-GB" w:eastAsia="en-US"/>
    </w:rPr>
  </w:style>
  <w:style w:type="paragraph" w:styleId="Date">
    <w:name w:val="Date"/>
    <w:basedOn w:val="Normal"/>
    <w:next w:val="Normal"/>
    <w:link w:val="DateChar"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D07584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07584"/>
    <w:rPr>
      <w:lang w:val="en-GB" w:eastAsia="en-US"/>
    </w:rPr>
  </w:style>
  <w:style w:type="character" w:styleId="Emphasis">
    <w:name w:val="Emphasis"/>
    <w:qFormat/>
    <w:rsid w:val="00D07584"/>
    <w:rPr>
      <w:i/>
      <w:iCs/>
    </w:rPr>
  </w:style>
  <w:style w:type="paragraph" w:styleId="EnvelopeReturn">
    <w:name w:val="envelope return"/>
    <w:basedOn w:val="Normal"/>
    <w:semiHidden/>
    <w:rsid w:val="00D07584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D07584"/>
  </w:style>
  <w:style w:type="paragraph" w:styleId="HTMLAddress">
    <w:name w:val="HTML Address"/>
    <w:basedOn w:val="Normal"/>
    <w:link w:val="HTMLAddressChar"/>
    <w:semiHidden/>
    <w:rsid w:val="00D07584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07584"/>
    <w:rPr>
      <w:i/>
      <w:iCs/>
      <w:lang w:val="en-GB" w:eastAsia="en-US"/>
    </w:rPr>
  </w:style>
  <w:style w:type="character" w:styleId="HTMLCite">
    <w:name w:val="HTML Cite"/>
    <w:semiHidden/>
    <w:rsid w:val="00D07584"/>
    <w:rPr>
      <w:i/>
      <w:iCs/>
    </w:rPr>
  </w:style>
  <w:style w:type="character" w:styleId="HTMLCode">
    <w:name w:val="HTML Code"/>
    <w:semiHidden/>
    <w:rsid w:val="00D0758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07584"/>
    <w:rPr>
      <w:i/>
      <w:iCs/>
    </w:rPr>
  </w:style>
  <w:style w:type="character" w:styleId="HTMLKeyboard">
    <w:name w:val="HTML Keyboard"/>
    <w:semiHidden/>
    <w:rsid w:val="00D0758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07584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7584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D07584"/>
    <w:rPr>
      <w:rFonts w:ascii="Courier New" w:hAnsi="Courier New" w:cs="Courier New"/>
    </w:rPr>
  </w:style>
  <w:style w:type="character" w:styleId="HTMLTypewriter">
    <w:name w:val="HTML Typewriter"/>
    <w:semiHidden/>
    <w:rsid w:val="00D0758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07584"/>
    <w:rPr>
      <w:i/>
      <w:iCs/>
    </w:rPr>
  </w:style>
  <w:style w:type="paragraph" w:styleId="List">
    <w:name w:val="List"/>
    <w:basedOn w:val="Normal"/>
    <w:semiHidden/>
    <w:rsid w:val="00D07584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D07584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D07584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D07584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D07584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D07584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D07584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D07584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D07584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D07584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D07584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D07584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D07584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D07584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D07584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D07584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D07584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D07584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D07584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07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07584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07584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Titredenote1">
    <w:name w:val="Titre de note1"/>
    <w:basedOn w:val="Normal"/>
    <w:next w:val="Normal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D07584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D07584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07584"/>
    <w:rPr>
      <w:lang w:val="en-GB" w:eastAsia="en-US"/>
    </w:rPr>
  </w:style>
  <w:style w:type="character" w:styleId="Strong">
    <w:name w:val="Strong"/>
    <w:qFormat/>
    <w:rsid w:val="00D07584"/>
    <w:rPr>
      <w:b/>
      <w:bCs/>
    </w:rPr>
  </w:style>
  <w:style w:type="paragraph" w:styleId="Subtitle">
    <w:name w:val="Subtitle"/>
    <w:basedOn w:val="Normal"/>
    <w:link w:val="SubtitleChar"/>
    <w:qFormat/>
    <w:rsid w:val="00D07584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D07584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rsid w:val="00D07584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rsid w:val="00D07584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rsid w:val="00D07584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D075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D07584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CharChar">
    <w:name w:val="Char Char"/>
    <w:rsid w:val="00D075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0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58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07584"/>
    <w:pPr>
      <w:suppressAutoHyphens/>
      <w:ind w:left="72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57348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rsid w:val="00D0758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D0758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0758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0758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0758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0758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2G">
    <w:name w:val="_Bullet 2_G"/>
    <w:basedOn w:val="Normal"/>
    <w:rsid w:val="00D07584"/>
    <w:pPr>
      <w:numPr>
        <w:numId w:val="26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D0758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075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D07584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D07584"/>
    <w:rPr>
      <w:b/>
      <w:sz w:val="24"/>
      <w:lang w:val="en-GB" w:eastAsia="en-US"/>
    </w:rPr>
  </w:style>
  <w:style w:type="paragraph" w:styleId="PlainText">
    <w:name w:val="Plain Text"/>
    <w:basedOn w:val="Normal"/>
    <w:link w:val="PlainTextChar"/>
    <w:semiHidden/>
    <w:rsid w:val="00D07584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07584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D07584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7584"/>
    <w:rPr>
      <w:lang w:val="en-GB" w:eastAsia="en-US"/>
    </w:rPr>
  </w:style>
  <w:style w:type="paragraph" w:styleId="BlockText">
    <w:name w:val="Block Text"/>
    <w:basedOn w:val="Normal"/>
    <w:semiHidden/>
    <w:rsid w:val="00D07584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D07584"/>
    <w:rPr>
      <w:sz w:val="6"/>
    </w:rPr>
  </w:style>
  <w:style w:type="paragraph" w:styleId="CommentText">
    <w:name w:val="annotation text"/>
    <w:basedOn w:val="Normal"/>
    <w:link w:val="CommentText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07584"/>
    <w:rPr>
      <w:lang w:val="en-GB" w:eastAsia="en-US"/>
    </w:rPr>
  </w:style>
  <w:style w:type="character" w:styleId="LineNumber">
    <w:name w:val="line number"/>
    <w:semiHidden/>
    <w:rsid w:val="00D07584"/>
    <w:rPr>
      <w:sz w:val="14"/>
    </w:rPr>
  </w:style>
  <w:style w:type="numbering" w:styleId="111111">
    <w:name w:val="Outline List 2"/>
    <w:basedOn w:val="NoList"/>
    <w:semiHidden/>
    <w:rsid w:val="00D07584"/>
    <w:pPr>
      <w:numPr>
        <w:numId w:val="27"/>
      </w:numPr>
    </w:pPr>
  </w:style>
  <w:style w:type="numbering" w:styleId="1ai">
    <w:name w:val="Outline List 1"/>
    <w:basedOn w:val="NoList"/>
    <w:semiHidden/>
    <w:rsid w:val="00D07584"/>
    <w:pPr>
      <w:numPr>
        <w:numId w:val="28"/>
      </w:numPr>
    </w:pPr>
  </w:style>
  <w:style w:type="numbering" w:styleId="ArticleSection">
    <w:name w:val="Outline List 3"/>
    <w:basedOn w:val="NoList"/>
    <w:semiHidden/>
    <w:rsid w:val="00D07584"/>
    <w:pPr>
      <w:numPr>
        <w:numId w:val="29"/>
      </w:numPr>
    </w:pPr>
  </w:style>
  <w:style w:type="paragraph" w:styleId="BodyText2">
    <w:name w:val="Body Text 2"/>
    <w:basedOn w:val="Normal"/>
    <w:link w:val="BodyText2Char"/>
    <w:semiHidden/>
    <w:rsid w:val="00D07584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7584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D07584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07584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0758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7584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0758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07584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D07584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7584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7584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D07584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07584"/>
    <w:rPr>
      <w:lang w:val="en-GB" w:eastAsia="en-US"/>
    </w:rPr>
  </w:style>
  <w:style w:type="paragraph" w:styleId="Date">
    <w:name w:val="Date"/>
    <w:basedOn w:val="Normal"/>
    <w:next w:val="Normal"/>
    <w:link w:val="DateChar"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D07584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07584"/>
    <w:rPr>
      <w:lang w:val="en-GB" w:eastAsia="en-US"/>
    </w:rPr>
  </w:style>
  <w:style w:type="character" w:styleId="Emphasis">
    <w:name w:val="Emphasis"/>
    <w:qFormat/>
    <w:rsid w:val="00D07584"/>
    <w:rPr>
      <w:i/>
      <w:iCs/>
    </w:rPr>
  </w:style>
  <w:style w:type="paragraph" w:styleId="EnvelopeReturn">
    <w:name w:val="envelope return"/>
    <w:basedOn w:val="Normal"/>
    <w:semiHidden/>
    <w:rsid w:val="00D07584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D07584"/>
  </w:style>
  <w:style w:type="paragraph" w:styleId="HTMLAddress">
    <w:name w:val="HTML Address"/>
    <w:basedOn w:val="Normal"/>
    <w:link w:val="HTMLAddressChar"/>
    <w:semiHidden/>
    <w:rsid w:val="00D07584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07584"/>
    <w:rPr>
      <w:i/>
      <w:iCs/>
      <w:lang w:val="en-GB" w:eastAsia="en-US"/>
    </w:rPr>
  </w:style>
  <w:style w:type="character" w:styleId="HTMLCite">
    <w:name w:val="HTML Cite"/>
    <w:semiHidden/>
    <w:rsid w:val="00D07584"/>
    <w:rPr>
      <w:i/>
      <w:iCs/>
    </w:rPr>
  </w:style>
  <w:style w:type="character" w:styleId="HTMLCode">
    <w:name w:val="HTML Code"/>
    <w:semiHidden/>
    <w:rsid w:val="00D0758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07584"/>
    <w:rPr>
      <w:i/>
      <w:iCs/>
    </w:rPr>
  </w:style>
  <w:style w:type="character" w:styleId="HTMLKeyboard">
    <w:name w:val="HTML Keyboard"/>
    <w:semiHidden/>
    <w:rsid w:val="00D0758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07584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7584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D07584"/>
    <w:rPr>
      <w:rFonts w:ascii="Courier New" w:hAnsi="Courier New" w:cs="Courier New"/>
    </w:rPr>
  </w:style>
  <w:style w:type="character" w:styleId="HTMLTypewriter">
    <w:name w:val="HTML Typewriter"/>
    <w:semiHidden/>
    <w:rsid w:val="00D0758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07584"/>
    <w:rPr>
      <w:i/>
      <w:iCs/>
    </w:rPr>
  </w:style>
  <w:style w:type="paragraph" w:styleId="List">
    <w:name w:val="List"/>
    <w:basedOn w:val="Normal"/>
    <w:semiHidden/>
    <w:rsid w:val="00D07584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D07584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D07584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D07584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D07584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D07584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D07584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D07584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D07584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D07584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D07584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D07584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D07584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D07584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D07584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D07584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D07584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D07584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D07584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D07584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07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07584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07584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Titredenote1">
    <w:name w:val="Titre de note1"/>
    <w:basedOn w:val="Normal"/>
    <w:next w:val="Normal"/>
    <w:semiHidden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07584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D07584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D07584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07584"/>
    <w:rPr>
      <w:lang w:val="en-GB" w:eastAsia="en-US"/>
    </w:rPr>
  </w:style>
  <w:style w:type="character" w:styleId="Strong">
    <w:name w:val="Strong"/>
    <w:qFormat/>
    <w:rsid w:val="00D07584"/>
    <w:rPr>
      <w:b/>
      <w:bCs/>
    </w:rPr>
  </w:style>
  <w:style w:type="paragraph" w:styleId="Subtitle">
    <w:name w:val="Subtitle"/>
    <w:basedOn w:val="Normal"/>
    <w:link w:val="SubtitleChar"/>
    <w:qFormat/>
    <w:rsid w:val="00D07584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D07584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rsid w:val="00D07584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rsid w:val="00D07584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D07584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D07584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rsid w:val="00D07584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D075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D07584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CharChar">
    <w:name w:val="Char Char"/>
    <w:rsid w:val="00D075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0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58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07584"/>
    <w:pPr>
      <w:suppressAutoHyphens/>
      <w:ind w:left="72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453E-8C0A-49EC-97C7-562C05B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4496</Words>
  <Characters>25628</Characters>
  <Application>Microsoft Office Word</Application>
  <DocSecurity>0</DocSecurity>
  <Lines>213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ECE/TRANS/2018/22</vt:lpstr>
      <vt:lpstr>ECE/TRANS/2018/22</vt:lpstr>
      <vt:lpstr>A/</vt:lpstr>
    </vt:vector>
  </TitlesOfParts>
  <Company>DCM</Company>
  <LinksUpToDate>false</LinksUpToDate>
  <CharactersWithSpaces>30064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ECE/TRANS/2018/22</dc:title>
  <dc:creator>Ekaterina SALYNSKAYA</dc:creator>
  <cp:lastModifiedBy>Jeyhun Shahverdili</cp:lastModifiedBy>
  <cp:revision>2</cp:revision>
  <cp:lastPrinted>2017-12-28T12:32:00Z</cp:lastPrinted>
  <dcterms:created xsi:type="dcterms:W3CDTF">2018-01-09T12:37:00Z</dcterms:created>
  <dcterms:modified xsi:type="dcterms:W3CDTF">2018-01-09T12:37:00Z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