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2A2B42" w:rsidTr="00F01516">
        <w:trPr>
          <w:trHeight w:hRule="exact" w:val="851"/>
        </w:trPr>
        <w:tc>
          <w:tcPr>
            <w:tcW w:w="1277" w:type="dxa"/>
            <w:tcBorders>
              <w:bottom w:val="single" w:sz="4" w:space="0" w:color="auto"/>
            </w:tcBorders>
          </w:tcPr>
          <w:p w:rsidR="003447BF" w:rsidRPr="00367E6A" w:rsidRDefault="003447BF" w:rsidP="00F01516"/>
        </w:tc>
        <w:tc>
          <w:tcPr>
            <w:tcW w:w="2268" w:type="dxa"/>
            <w:tcBorders>
              <w:bottom w:val="single" w:sz="4" w:space="0" w:color="auto"/>
            </w:tcBorders>
            <w:vAlign w:val="bottom"/>
          </w:tcPr>
          <w:p w:rsidR="003447BF" w:rsidRPr="00367E6A" w:rsidRDefault="003447BF" w:rsidP="00F01516">
            <w:pPr>
              <w:spacing w:after="80" w:line="300" w:lineRule="exact"/>
              <w:rPr>
                <w:sz w:val="28"/>
              </w:rPr>
            </w:pPr>
            <w:r w:rsidRPr="00367E6A">
              <w:rPr>
                <w:sz w:val="28"/>
              </w:rPr>
              <w:t>Nations Unies</w:t>
            </w:r>
          </w:p>
        </w:tc>
        <w:tc>
          <w:tcPr>
            <w:tcW w:w="6094" w:type="dxa"/>
            <w:gridSpan w:val="2"/>
            <w:tcBorders>
              <w:bottom w:val="single" w:sz="4" w:space="0" w:color="auto"/>
            </w:tcBorders>
            <w:vAlign w:val="bottom"/>
          </w:tcPr>
          <w:p w:rsidR="003447BF" w:rsidRPr="002A2B42" w:rsidRDefault="003447BF" w:rsidP="002B56D7">
            <w:pPr>
              <w:jc w:val="right"/>
              <w:rPr>
                <w:lang w:val="en-GB"/>
              </w:rPr>
            </w:pPr>
            <w:r w:rsidRPr="002A2B42">
              <w:rPr>
                <w:sz w:val="40"/>
                <w:lang w:val="en-GB"/>
              </w:rPr>
              <w:t>ECE</w:t>
            </w:r>
            <w:r w:rsidRPr="002A2B42">
              <w:rPr>
                <w:lang w:val="en-GB"/>
              </w:rPr>
              <w:t>/TRANS/WP.15/AC.2/201</w:t>
            </w:r>
            <w:r w:rsidR="00D70305" w:rsidRPr="002A2B42">
              <w:rPr>
                <w:lang w:val="en-GB"/>
              </w:rPr>
              <w:t>8</w:t>
            </w:r>
            <w:r w:rsidRPr="002A2B42">
              <w:rPr>
                <w:lang w:val="en-GB"/>
              </w:rPr>
              <w:t>/</w:t>
            </w:r>
            <w:r w:rsidR="00125158">
              <w:rPr>
                <w:lang w:val="en-GB"/>
              </w:rPr>
              <w:t>50</w:t>
            </w:r>
          </w:p>
        </w:tc>
      </w:tr>
      <w:tr w:rsidR="003447BF" w:rsidRPr="00367E6A" w:rsidTr="00F01516">
        <w:trPr>
          <w:trHeight w:hRule="exact" w:val="2835"/>
        </w:trPr>
        <w:tc>
          <w:tcPr>
            <w:tcW w:w="1276" w:type="dxa"/>
            <w:tcBorders>
              <w:top w:val="single" w:sz="4" w:space="0" w:color="auto"/>
              <w:bottom w:val="single" w:sz="12" w:space="0" w:color="auto"/>
            </w:tcBorders>
          </w:tcPr>
          <w:p w:rsidR="003447BF" w:rsidRPr="00367E6A" w:rsidRDefault="00DF527E" w:rsidP="00F01516">
            <w:pPr>
              <w:spacing w:before="120"/>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5pt;height:46.5pt;visibility:visible">
                  <v:imagedata r:id="rId7" o:title=""/>
                </v:shape>
              </w:pict>
            </w:r>
          </w:p>
        </w:tc>
        <w:tc>
          <w:tcPr>
            <w:tcW w:w="5528" w:type="dxa"/>
            <w:gridSpan w:val="2"/>
            <w:tcBorders>
              <w:top w:val="single" w:sz="4" w:space="0" w:color="auto"/>
              <w:bottom w:val="single" w:sz="12" w:space="0" w:color="auto"/>
            </w:tcBorders>
          </w:tcPr>
          <w:p w:rsidR="003447BF" w:rsidRPr="00367E6A" w:rsidRDefault="003447BF" w:rsidP="00F01516">
            <w:pPr>
              <w:spacing w:before="120" w:line="420" w:lineRule="exact"/>
              <w:rPr>
                <w:b/>
                <w:sz w:val="40"/>
                <w:szCs w:val="40"/>
              </w:rPr>
            </w:pPr>
            <w:r w:rsidRPr="00367E6A">
              <w:rPr>
                <w:b/>
                <w:sz w:val="40"/>
                <w:szCs w:val="40"/>
              </w:rPr>
              <w:t>Conseil économique et social</w:t>
            </w:r>
          </w:p>
        </w:tc>
        <w:tc>
          <w:tcPr>
            <w:tcW w:w="2835" w:type="dxa"/>
            <w:tcBorders>
              <w:top w:val="single" w:sz="4" w:space="0" w:color="auto"/>
              <w:bottom w:val="single" w:sz="12" w:space="0" w:color="auto"/>
            </w:tcBorders>
          </w:tcPr>
          <w:p w:rsidR="003447BF" w:rsidRDefault="003447BF" w:rsidP="00C4302B">
            <w:pPr>
              <w:spacing w:before="240" w:line="240" w:lineRule="exact"/>
            </w:pPr>
            <w:proofErr w:type="spellStart"/>
            <w:r>
              <w:t>Distr</w:t>
            </w:r>
            <w:proofErr w:type="spellEnd"/>
            <w:r>
              <w:t xml:space="preserve">. </w:t>
            </w:r>
            <w:proofErr w:type="gramStart"/>
            <w:r>
              <w:t>générale</w:t>
            </w:r>
            <w:proofErr w:type="gramEnd"/>
          </w:p>
          <w:p w:rsidR="003447BF" w:rsidRPr="00E7310A" w:rsidRDefault="00D266B5" w:rsidP="00E7310A">
            <w:pPr>
              <w:spacing w:line="240" w:lineRule="exact"/>
            </w:pPr>
            <w:r>
              <w:t>13 juin</w:t>
            </w:r>
            <w:r w:rsidR="007E29D3" w:rsidRPr="00E7310A">
              <w:t xml:space="preserve"> 2018</w:t>
            </w:r>
          </w:p>
          <w:p w:rsidR="003447BF" w:rsidRPr="00E7310A" w:rsidRDefault="003447BF" w:rsidP="00C4302B">
            <w:pPr>
              <w:spacing w:line="240" w:lineRule="exact"/>
            </w:pPr>
          </w:p>
          <w:p w:rsidR="003447BF" w:rsidRPr="00367E6A" w:rsidRDefault="003447BF" w:rsidP="00B30CFB">
            <w:pPr>
              <w:spacing w:line="240" w:lineRule="exact"/>
            </w:pPr>
            <w:proofErr w:type="gramStart"/>
            <w:r>
              <w:t>Original:</w:t>
            </w:r>
            <w:proofErr w:type="gramEnd"/>
            <w:r>
              <w:t xml:space="preserve"> </w:t>
            </w:r>
            <w:r w:rsidR="001D358B">
              <w:t>f</w:t>
            </w:r>
            <w:r>
              <w:t xml:space="preserve">rançais </w:t>
            </w:r>
          </w:p>
        </w:tc>
      </w:tr>
    </w:tbl>
    <w:p w:rsidR="003447BF" w:rsidRPr="00367E6A" w:rsidRDefault="003447BF" w:rsidP="000312C0">
      <w:pPr>
        <w:spacing w:before="120"/>
        <w:rPr>
          <w:b/>
          <w:sz w:val="28"/>
          <w:szCs w:val="28"/>
        </w:rPr>
      </w:pPr>
      <w:r w:rsidRPr="00367E6A">
        <w:rPr>
          <w:b/>
          <w:sz w:val="28"/>
          <w:szCs w:val="28"/>
        </w:rPr>
        <w:t>Commission économique pour l’Europe</w:t>
      </w:r>
    </w:p>
    <w:p w:rsidR="003447BF" w:rsidRPr="00367E6A" w:rsidRDefault="003447BF" w:rsidP="00B93E72">
      <w:pPr>
        <w:spacing w:before="120"/>
        <w:rPr>
          <w:sz w:val="28"/>
          <w:szCs w:val="28"/>
        </w:rPr>
      </w:pPr>
      <w:r w:rsidRPr="00367E6A">
        <w:rPr>
          <w:sz w:val="28"/>
          <w:szCs w:val="28"/>
        </w:rPr>
        <w:t>Comité des transports intérieurs</w:t>
      </w:r>
    </w:p>
    <w:p w:rsidR="003447BF" w:rsidRPr="00367E6A" w:rsidRDefault="003447BF" w:rsidP="00B93E72">
      <w:pPr>
        <w:spacing w:before="120"/>
        <w:rPr>
          <w:b/>
          <w:sz w:val="24"/>
          <w:szCs w:val="24"/>
        </w:rPr>
      </w:pPr>
      <w:r w:rsidRPr="00367E6A">
        <w:rPr>
          <w:b/>
          <w:sz w:val="24"/>
          <w:szCs w:val="24"/>
        </w:rPr>
        <w:t>Groupe de travail des transports de marchandises dangereuses</w:t>
      </w:r>
    </w:p>
    <w:p w:rsidR="003447BF" w:rsidRPr="00A17EEC" w:rsidRDefault="003447BF" w:rsidP="0049374F">
      <w:pPr>
        <w:spacing w:before="120"/>
        <w:rPr>
          <w:b/>
        </w:rPr>
      </w:pPr>
      <w:r w:rsidRPr="00A17EEC">
        <w:rPr>
          <w:b/>
        </w:rPr>
        <w:t>Réunion commune d’experts sur le Règlement annexé</w:t>
      </w:r>
      <w:r w:rsidRPr="00A17EEC">
        <w:rPr>
          <w:b/>
        </w:rPr>
        <w:br/>
        <w:t>à l’Accord européen relatif au transport international</w:t>
      </w:r>
      <w:r w:rsidRPr="00A17EEC">
        <w:rPr>
          <w:b/>
        </w:rPr>
        <w:br/>
        <w:t xml:space="preserve">des marchandises </w:t>
      </w:r>
      <w:r w:rsidRPr="00A17EEC">
        <w:rPr>
          <w:b/>
          <w:bCs/>
          <w:iCs/>
        </w:rPr>
        <w:t>dangereuses par voies de navigation</w:t>
      </w:r>
      <w:r w:rsidRPr="00A17EEC">
        <w:rPr>
          <w:b/>
          <w:bCs/>
          <w:iCs/>
        </w:rPr>
        <w:br/>
        <w:t xml:space="preserve">intérieures (ADN) </w:t>
      </w:r>
      <w:r w:rsidRPr="00A17EEC">
        <w:rPr>
          <w:b/>
          <w:bCs/>
        </w:rPr>
        <w:t>(Comité de sécurité de l’ADN)</w:t>
      </w:r>
    </w:p>
    <w:p w:rsidR="003447BF" w:rsidRPr="00234E40" w:rsidRDefault="00D70305" w:rsidP="007E29D3">
      <w:pPr>
        <w:spacing w:before="120"/>
        <w:rPr>
          <w:b/>
        </w:rPr>
      </w:pPr>
      <w:r>
        <w:rPr>
          <w:b/>
        </w:rPr>
        <w:t>Trente-</w:t>
      </w:r>
      <w:r w:rsidR="007E29D3">
        <w:rPr>
          <w:b/>
        </w:rPr>
        <w:t>troisi</w:t>
      </w:r>
      <w:r>
        <w:rPr>
          <w:b/>
        </w:rPr>
        <w:t>ème</w:t>
      </w:r>
      <w:r w:rsidR="003447BF">
        <w:rPr>
          <w:b/>
        </w:rPr>
        <w:t xml:space="preserve"> </w:t>
      </w:r>
      <w:r w:rsidR="003447BF" w:rsidRPr="00234E40">
        <w:rPr>
          <w:b/>
        </w:rPr>
        <w:t>session</w:t>
      </w:r>
    </w:p>
    <w:p w:rsidR="003447BF" w:rsidRDefault="003447BF" w:rsidP="007E29D3">
      <w:r>
        <w:t xml:space="preserve">Genève, </w:t>
      </w:r>
      <w:r w:rsidR="007E29D3">
        <w:t>27-31 août</w:t>
      </w:r>
      <w:r>
        <w:t xml:space="preserve"> 201</w:t>
      </w:r>
      <w:r w:rsidR="00745866">
        <w:t>8</w:t>
      </w:r>
    </w:p>
    <w:p w:rsidR="003447BF" w:rsidRPr="00D266B5" w:rsidRDefault="003447BF" w:rsidP="009646D6">
      <w:r w:rsidRPr="00D266B5">
        <w:t xml:space="preserve">Point </w:t>
      </w:r>
      <w:r w:rsidR="009646D6" w:rsidRPr="00D266B5">
        <w:t>4 b)</w:t>
      </w:r>
      <w:r w:rsidRPr="00D266B5">
        <w:t xml:space="preserve"> de l’ordre du jour provisoire</w:t>
      </w:r>
    </w:p>
    <w:p w:rsidR="00E02222" w:rsidRPr="00D266B5" w:rsidRDefault="00D266B5" w:rsidP="00D266B5">
      <w:pPr>
        <w:rPr>
          <w:b/>
        </w:rPr>
      </w:pPr>
      <w:r w:rsidRPr="00D266B5">
        <w:rPr>
          <w:b/>
        </w:rPr>
        <w:t xml:space="preserve">Propositions d’amendements au Règlement annexé à </w:t>
      </w:r>
      <w:proofErr w:type="gramStart"/>
      <w:r w:rsidRPr="00D266B5">
        <w:rPr>
          <w:b/>
        </w:rPr>
        <w:t>l’ADN:</w:t>
      </w:r>
      <w:proofErr w:type="gramEnd"/>
    </w:p>
    <w:p w:rsidR="00D266B5" w:rsidRPr="00E02222" w:rsidRDefault="00D266B5" w:rsidP="00D266B5">
      <w:pPr>
        <w:rPr>
          <w:b/>
        </w:rPr>
      </w:pPr>
      <w:proofErr w:type="gramStart"/>
      <w:r w:rsidRPr="00D266B5">
        <w:rPr>
          <w:b/>
        </w:rPr>
        <w:t>autres</w:t>
      </w:r>
      <w:proofErr w:type="gramEnd"/>
      <w:r w:rsidRPr="00D266B5">
        <w:rPr>
          <w:b/>
        </w:rPr>
        <w:t xml:space="preserve"> propositions</w:t>
      </w:r>
    </w:p>
    <w:p w:rsidR="003447BF" w:rsidRPr="00EA0C87" w:rsidRDefault="003447BF" w:rsidP="00E52473">
      <w:pPr>
        <w:pStyle w:val="HChG"/>
      </w:pPr>
      <w:r w:rsidRPr="00C63AC1">
        <w:tab/>
      </w:r>
      <w:r w:rsidRPr="00C63AC1">
        <w:tab/>
      </w:r>
      <w:r w:rsidR="0025079F">
        <w:rPr>
          <w:bCs/>
        </w:rPr>
        <w:t>Analyse</w:t>
      </w:r>
      <w:bookmarkStart w:id="0" w:name="_GoBack"/>
      <w:bookmarkEnd w:id="0"/>
      <w:r w:rsidR="00E52473" w:rsidRPr="00E52473">
        <w:rPr>
          <w:bCs/>
        </w:rPr>
        <w:t xml:space="preserve"> pour la classification des groupes d'explosion pour des numéros ONU supplémentaires</w:t>
      </w:r>
    </w:p>
    <w:p w:rsidR="003447BF" w:rsidRDefault="003447BF" w:rsidP="00E52473">
      <w:pPr>
        <w:pStyle w:val="H1G"/>
        <w:rPr>
          <w:b w:val="0"/>
          <w:bCs/>
          <w:szCs w:val="24"/>
          <w:vertAlign w:val="superscript"/>
          <w:lang w:val="fr-CH"/>
        </w:rPr>
      </w:pPr>
      <w:r w:rsidRPr="00EA0C87">
        <w:tab/>
      </w:r>
      <w:r w:rsidRPr="00EA0C87">
        <w:tab/>
      </w:r>
      <w:r w:rsidR="00D266B5">
        <w:t>Communication du Conseil européen de l'industrie chimique (</w:t>
      </w:r>
      <w:r w:rsidR="00E52473" w:rsidRPr="00E52473">
        <w:t>CEFIC</w:t>
      </w:r>
      <w:r w:rsidR="00D266B5">
        <w:t>)</w:t>
      </w:r>
      <w:r w:rsidR="00550462" w:rsidRPr="00550462">
        <w:rPr>
          <w:rStyle w:val="FootnoteReference"/>
          <w:b w:val="0"/>
          <w:bCs/>
          <w:sz w:val="24"/>
          <w:szCs w:val="24"/>
        </w:rPr>
        <w:footnoteReference w:customMarkFollows="1" w:id="2"/>
        <w:t>*</w:t>
      </w:r>
      <w:r w:rsidR="00550462" w:rsidRPr="00550462">
        <w:rPr>
          <w:b w:val="0"/>
          <w:bCs/>
          <w:szCs w:val="24"/>
          <w:vertAlign w:val="superscript"/>
        </w:rPr>
        <w:t>,</w:t>
      </w:r>
      <w:r w:rsidR="00550462" w:rsidRPr="002B64A7">
        <w:rPr>
          <w:b w:val="0"/>
          <w:bCs/>
          <w:szCs w:val="24"/>
          <w:vertAlign w:val="superscript"/>
          <w:lang w:val="fr-CH"/>
        </w:rPr>
        <w:footnoteReference w:customMarkFollows="1" w:id="3"/>
        <w:t>**</w:t>
      </w:r>
    </w:p>
    <w:p w:rsidR="00E52473" w:rsidRPr="00E52473" w:rsidRDefault="00E52473" w:rsidP="00E52473">
      <w:pPr>
        <w:pStyle w:val="HChG"/>
      </w:pPr>
      <w:r>
        <w:tab/>
      </w:r>
      <w:r w:rsidR="00D266B5">
        <w:t>I.</w:t>
      </w:r>
      <w:r>
        <w:tab/>
      </w:r>
      <w:r w:rsidRPr="00E52473">
        <w:t>Introduction</w:t>
      </w:r>
    </w:p>
    <w:p w:rsidR="00E52473" w:rsidRPr="00E52473" w:rsidRDefault="00E52473" w:rsidP="00E52473">
      <w:pPr>
        <w:pStyle w:val="SingleTxtG"/>
      </w:pPr>
      <w:r>
        <w:t>1.</w:t>
      </w:r>
      <w:r>
        <w:tab/>
      </w:r>
      <w:r w:rsidRPr="00E52473">
        <w:t>En complément au mandat donné au groupe de travail</w:t>
      </w:r>
      <w:proofErr w:type="gramStart"/>
      <w:r w:rsidRPr="00E52473">
        <w:t xml:space="preserve"> «Matières</w:t>
      </w:r>
      <w:proofErr w:type="gramEnd"/>
      <w:r w:rsidRPr="00E52473">
        <w:t xml:space="preserve">» lors de la réunion tenue en janvier 2017 par le Comité de sécurité de l'ADN, CEFIC a chargé </w:t>
      </w:r>
      <w:r w:rsidR="00D266B5">
        <w:t>l'institut fédéral allemand de physique et de métrologie (</w:t>
      </w:r>
      <w:r w:rsidRPr="00E52473">
        <w:t>PTB</w:t>
      </w:r>
      <w:r w:rsidR="00D266B5">
        <w:t>)</w:t>
      </w:r>
      <w:r w:rsidRPr="00E52473">
        <w:t xml:space="preserve"> à </w:t>
      </w:r>
      <w:proofErr w:type="spellStart"/>
      <w:r w:rsidRPr="00E52473">
        <w:t>Braunschweig</w:t>
      </w:r>
      <w:proofErr w:type="spellEnd"/>
      <w:r w:rsidRPr="00E52473">
        <w:t xml:space="preserve"> d'effectuer des mesures supplémentaires de l'interstice maximal de sécurité pour différents numéros ONU. Les résultats des mesures ont été mis à la disposition du groupe de travail informel pour sa </w:t>
      </w:r>
      <w:r>
        <w:t>dixième</w:t>
      </w:r>
      <w:r w:rsidRPr="00E52473">
        <w:t xml:space="preserve"> réunion tenue à Berlin les 25 et 26 avril 2018, à l'occasion de laquelle ils ont également été présentés.</w:t>
      </w:r>
    </w:p>
    <w:p w:rsidR="00E52473" w:rsidRPr="00E52473" w:rsidRDefault="00E52473" w:rsidP="00E52473">
      <w:pPr>
        <w:pStyle w:val="SingleTxtG"/>
      </w:pPr>
      <w:r>
        <w:t>2.</w:t>
      </w:r>
      <w:r>
        <w:tab/>
      </w:r>
      <w:r w:rsidRPr="00E52473">
        <w:t>Dans le compte rendu de la réunion du groupe de travail informel « Matières » figure ce qui suit :</w:t>
      </w:r>
    </w:p>
    <w:p w:rsidR="00E52473" w:rsidRPr="00E52473" w:rsidRDefault="00D266B5" w:rsidP="00D266B5">
      <w:pPr>
        <w:pStyle w:val="SingleTxtG"/>
        <w:ind w:left="1701"/>
        <w:rPr>
          <w:bCs/>
        </w:rPr>
      </w:pPr>
      <w:r>
        <w:rPr>
          <w:bCs/>
        </w:rPr>
        <w:lastRenderedPageBreak/>
        <w:t>«</w:t>
      </w:r>
      <w:r w:rsidR="00E52473" w:rsidRPr="00E52473">
        <w:rPr>
          <w:bCs/>
        </w:rPr>
        <w:t>36.</w:t>
      </w:r>
      <w:r w:rsidR="00E52473" w:rsidRPr="00E52473">
        <w:rPr>
          <w:bCs/>
        </w:rPr>
        <w:tab/>
        <w:t>Au terme de la discussion, le groupe de travail informel s'est accordé sur les principes fondamentaux suivants :</w:t>
      </w:r>
    </w:p>
    <w:p w:rsidR="00E52473" w:rsidRPr="00E52473" w:rsidRDefault="00E52473" w:rsidP="00D266B5">
      <w:pPr>
        <w:pStyle w:val="SingleTxtG"/>
        <w:ind w:left="1701" w:firstLine="567"/>
        <w:rPr>
          <w:u w:val="single"/>
        </w:rPr>
      </w:pPr>
      <w:r>
        <w:t>i)</w:t>
      </w:r>
      <w:r>
        <w:tab/>
      </w:r>
      <w:r w:rsidRPr="00E52473">
        <w:t xml:space="preserve">La détermination de l'interstice maximal de sécurité s'apparente à la détermination d'autres données physicochimiques et paramètres de sécurité (par exemple le point d'éclair, la pression de vapeur ou le point d'ébullition. Cela signifie qu'il n'existe pas de procédures distinctes pour autoriser, certifier, reconnaître ou évaluer ces données. </w:t>
      </w:r>
      <w:r w:rsidRPr="00E52473">
        <w:rPr>
          <w:u w:val="single"/>
        </w:rPr>
        <w:t>En particulier lorsque sont disponibles des résultats d'essais émanant des autorités compétentes, le groupe de travail informel ne voit aucune raison fondamentale de subordonner l'utilisation de ces résultats à d'autres essais ou évaluations.</w:t>
      </w:r>
    </w:p>
    <w:p w:rsidR="00E52473" w:rsidRPr="00E52473" w:rsidRDefault="00E52473" w:rsidP="00D266B5">
      <w:pPr>
        <w:pStyle w:val="SingleTxtG"/>
        <w:ind w:left="1701" w:firstLine="567"/>
      </w:pPr>
      <w:r>
        <w:t>ii)</w:t>
      </w:r>
      <w:r>
        <w:tab/>
      </w:r>
      <w:r w:rsidRPr="00E52473">
        <w:t xml:space="preserve">Selon le groupe de travail informel, dès lors qu'il ne s'agit pas de remédier à des lacunes en matière de sécurité, il incombe aux intéressés </w:t>
      </w:r>
      <w:r w:rsidRPr="00E52473">
        <w:rPr>
          <w:u w:val="single"/>
        </w:rPr>
        <w:t>de s'adresser directement au Comité de sécurité de l'ADN par l'intermédiaire de ses représentants pour demander des modifications des prescriptions permettant des affectations à des groupes/sous-groupes d'explosion moins stricts et donc des conditions de transport simplifiées</w:t>
      </w:r>
      <w:proofErr w:type="gramStart"/>
      <w:r w:rsidRPr="00E52473">
        <w:rPr>
          <w:u w:val="single"/>
        </w:rPr>
        <w:t>.</w:t>
      </w:r>
      <w:r w:rsidR="00D266B5">
        <w:rPr>
          <w:u w:val="single"/>
        </w:rPr>
        <w:t>»</w:t>
      </w:r>
      <w:proofErr w:type="gramEnd"/>
    </w:p>
    <w:p w:rsidR="00E52473" w:rsidRPr="00E52473" w:rsidRDefault="00E52473" w:rsidP="00E52473">
      <w:pPr>
        <w:pStyle w:val="HChG"/>
      </w:pPr>
      <w:r w:rsidRPr="00E52473">
        <w:tab/>
        <w:t>I</w:t>
      </w:r>
      <w:r>
        <w:t>I</w:t>
      </w:r>
      <w:r w:rsidRPr="00E52473">
        <w:t xml:space="preserve">. </w:t>
      </w:r>
      <w:r w:rsidRPr="00E52473">
        <w:tab/>
        <w:t>Propositions de modifications</w:t>
      </w:r>
    </w:p>
    <w:p w:rsidR="00E52473" w:rsidRPr="00E52473" w:rsidRDefault="00E52473" w:rsidP="00E52473">
      <w:pPr>
        <w:pStyle w:val="SingleTxtG"/>
      </w:pPr>
      <w:r w:rsidRPr="00E52473">
        <w:t xml:space="preserve">3. </w:t>
      </w:r>
      <w:r w:rsidRPr="00E52473">
        <w:tab/>
        <w:t>CEFIC propose d'ajouter à l'ADN 2021 (colonne 16 du tableau C) les résultats de mesures énoncés en II</w:t>
      </w:r>
      <w:r w:rsidR="00D266B5">
        <w:t>I</w:t>
      </w:r>
      <w:r w:rsidRPr="00E52473">
        <w:t xml:space="preserve">. </w:t>
      </w:r>
      <w:proofErr w:type="gramStart"/>
      <w:r w:rsidRPr="00E52473">
        <w:t>pour</w:t>
      </w:r>
      <w:proofErr w:type="gramEnd"/>
      <w:r w:rsidRPr="00E52473">
        <w:t xml:space="preserve"> ces substances. Pour la période jusqu'au 31 décembre 2020, il est proposé de recourir à un accord multilatéral prévoyant la sécurisation des transports conformément au III.</w:t>
      </w:r>
    </w:p>
    <w:p w:rsidR="00E52473" w:rsidRPr="00E52473" w:rsidRDefault="00E52473" w:rsidP="00E52473">
      <w:pPr>
        <w:pStyle w:val="HChG"/>
      </w:pPr>
      <w:r w:rsidRPr="00E52473">
        <w:tab/>
        <w:t>II</w:t>
      </w:r>
      <w:r>
        <w:t>I</w:t>
      </w:r>
      <w:r w:rsidRPr="00E52473">
        <w:t xml:space="preserve">. </w:t>
      </w:r>
      <w:r w:rsidRPr="00E52473">
        <w:tab/>
        <w:t>Résultats de mesurage</w:t>
      </w:r>
    </w:p>
    <w:p w:rsidR="007A23AA" w:rsidRPr="007A23AA" w:rsidRDefault="007A23AA" w:rsidP="007A23AA">
      <w:pPr>
        <w:pStyle w:val="SingleTxtG"/>
      </w:pPr>
      <w:r w:rsidRPr="007A23AA">
        <w:tab/>
      </w:r>
      <w:r>
        <w:tab/>
      </w:r>
      <w:r>
        <w:tab/>
      </w:r>
      <w:r>
        <w:tab/>
      </w:r>
      <w:r>
        <w:tab/>
      </w:r>
      <w:r>
        <w:tab/>
      </w:r>
      <w:r>
        <w:tab/>
      </w:r>
      <w:r w:rsidRPr="007A23AA">
        <w:t>Résultat de mesurage</w:t>
      </w:r>
    </w:p>
    <w:p w:rsidR="007A23AA" w:rsidRPr="007A23AA" w:rsidRDefault="007A23AA" w:rsidP="007A23AA">
      <w:pPr>
        <w:pStyle w:val="SingleTxtG"/>
      </w:pPr>
      <w:r w:rsidRPr="007A23AA">
        <w:t>Groupe d’explosion</w:t>
      </w:r>
    </w:p>
    <w:p w:rsidR="007A23AA" w:rsidRPr="007A23AA" w:rsidRDefault="007A23AA" w:rsidP="007A23AA">
      <w:pPr>
        <w:pStyle w:val="SingleTxtG"/>
      </w:pPr>
      <w:r w:rsidRPr="007A23AA">
        <w:t xml:space="preserve">UN 1179 ÉTHER ÉTHYLBUTYLIQUE </w:t>
      </w:r>
      <w:r w:rsidRPr="007A23AA">
        <w:tab/>
      </w:r>
      <w:r>
        <w:tab/>
      </w:r>
      <w:r w:rsidRPr="007A23AA">
        <w:t>0,87 mm</w:t>
      </w:r>
      <w:r>
        <w:tab/>
      </w:r>
      <w:r w:rsidRPr="007A23AA">
        <w:tab/>
        <w:t>IIB1</w:t>
      </w:r>
    </w:p>
    <w:p w:rsidR="007A23AA" w:rsidRPr="007A23AA" w:rsidRDefault="007A23AA" w:rsidP="007A23AA">
      <w:pPr>
        <w:pStyle w:val="SingleTxtG"/>
      </w:pPr>
      <w:r w:rsidRPr="007A23AA">
        <w:t>UN 1216 ISOOCTÈNES</w:t>
      </w:r>
      <w:r w:rsidRPr="007A23AA">
        <w:tab/>
      </w:r>
      <w:r>
        <w:tab/>
      </w:r>
      <w:r>
        <w:tab/>
      </w:r>
      <w:r>
        <w:tab/>
      </w:r>
      <w:r w:rsidRPr="007A23AA">
        <w:t>0,95 mm</w:t>
      </w:r>
      <w:r w:rsidRPr="007A23AA">
        <w:tab/>
      </w:r>
      <w:r>
        <w:tab/>
      </w:r>
      <w:r w:rsidRPr="007A23AA">
        <w:t>IIA</w:t>
      </w:r>
    </w:p>
    <w:p w:rsidR="007A23AA" w:rsidRPr="007A23AA" w:rsidRDefault="007A23AA" w:rsidP="007A23AA">
      <w:pPr>
        <w:pStyle w:val="SingleTxtG"/>
        <w:rPr>
          <w:b/>
        </w:rPr>
      </w:pPr>
      <w:r w:rsidRPr="007A23AA">
        <w:rPr>
          <w:b/>
        </w:rPr>
        <w:t>UN 3256 LIQUIDE TRANSPORTE A CHAUD, INFLAMMABLE, N.S.A.,</w:t>
      </w:r>
    </w:p>
    <w:p w:rsidR="007A23AA" w:rsidRPr="007A23AA" w:rsidRDefault="007A23AA" w:rsidP="007A23AA">
      <w:pPr>
        <w:pStyle w:val="SingleTxtG"/>
        <w:rPr>
          <w:b/>
        </w:rPr>
      </w:pPr>
      <w:r w:rsidRPr="007A23AA">
        <w:rPr>
          <w:b/>
        </w:rPr>
        <w:t>7ème entrée ADN 2017</w:t>
      </w:r>
    </w:p>
    <w:p w:rsidR="007A23AA" w:rsidRPr="007A23AA" w:rsidRDefault="007A23AA" w:rsidP="007A23AA">
      <w:pPr>
        <w:pStyle w:val="SingleTxtG"/>
      </w:pPr>
      <w:r w:rsidRPr="007A23AA">
        <w:t>UN 3256 Low QI Pitch</w:t>
      </w:r>
      <w:r w:rsidRPr="007A23AA">
        <w:tab/>
      </w:r>
      <w:r>
        <w:tab/>
      </w:r>
      <w:r>
        <w:tab/>
      </w:r>
      <w:r>
        <w:tab/>
      </w:r>
      <w:r w:rsidRPr="007A23AA">
        <w:t>0,90 mm (120°C)</w:t>
      </w:r>
      <w:r w:rsidRPr="007A23AA">
        <w:tab/>
        <w:t>IIA (jusqu’à 120°C)</w:t>
      </w:r>
    </w:p>
    <w:p w:rsidR="007A23AA" w:rsidRPr="007A23AA" w:rsidRDefault="007A23AA" w:rsidP="007A23AA">
      <w:pPr>
        <w:pStyle w:val="SingleTxtG"/>
      </w:pPr>
      <w:r w:rsidRPr="007A23AA">
        <w:tab/>
      </w:r>
      <w:r>
        <w:tab/>
      </w:r>
      <w:r>
        <w:tab/>
      </w:r>
      <w:r>
        <w:tab/>
      </w:r>
      <w:r>
        <w:tab/>
      </w:r>
      <w:r>
        <w:tab/>
      </w:r>
      <w:r>
        <w:tab/>
      </w:r>
      <w:r w:rsidRPr="007A23AA">
        <w:t>0,78 mm (180°C)</w:t>
      </w:r>
      <w:r w:rsidRPr="007A23AA">
        <w:tab/>
      </w:r>
      <w:r w:rsidRPr="007A23AA">
        <w:rPr>
          <w:spacing w:val="-2"/>
        </w:rPr>
        <w:t>IIB2 (jusqu’à 200°C)</w:t>
      </w:r>
    </w:p>
    <w:p w:rsidR="007A23AA" w:rsidRPr="007A23AA" w:rsidRDefault="007A23AA" w:rsidP="007A23AA">
      <w:pPr>
        <w:pStyle w:val="SingleTxtG"/>
        <w:rPr>
          <w:b/>
        </w:rPr>
      </w:pPr>
      <w:bookmarkStart w:id="1" w:name="_Hlk515453594"/>
      <w:r w:rsidRPr="007A23AA">
        <w:rPr>
          <w:b/>
        </w:rPr>
        <w:t>1ère entrée ADN 2017</w:t>
      </w:r>
    </w:p>
    <w:p w:rsidR="007A23AA" w:rsidRPr="007A23AA" w:rsidRDefault="007A23AA" w:rsidP="007A23AA">
      <w:pPr>
        <w:pStyle w:val="SingleTxtG"/>
      </w:pPr>
      <w:r w:rsidRPr="007A23AA">
        <w:t>UN 3295 Huile de pyrolyse</w:t>
      </w:r>
      <w:r w:rsidRPr="007A23AA">
        <w:tab/>
      </w:r>
      <w:r>
        <w:tab/>
      </w:r>
      <w:r>
        <w:tab/>
      </w:r>
      <w:r>
        <w:tab/>
      </w:r>
      <w:r w:rsidRPr="007A23AA">
        <w:t>0,99 mm (80°C)</w:t>
      </w:r>
      <w:r w:rsidRPr="007A23AA">
        <w:tab/>
        <w:t>IIA (jusqu’à 80°C)</w:t>
      </w:r>
    </w:p>
    <w:p w:rsidR="007A23AA" w:rsidRPr="007A23AA" w:rsidRDefault="007A23AA" w:rsidP="007A23AA">
      <w:pPr>
        <w:pStyle w:val="SingleTxtG"/>
      </w:pPr>
      <w:r w:rsidRPr="007A23AA">
        <w:t xml:space="preserve">UN 3295 </w:t>
      </w:r>
      <w:proofErr w:type="spellStart"/>
      <w:r w:rsidRPr="007A23AA">
        <w:t>Novadest</w:t>
      </w:r>
      <w:proofErr w:type="spellEnd"/>
      <w:r w:rsidRPr="007A23AA">
        <w:t xml:space="preserve"> A</w:t>
      </w:r>
      <w:r w:rsidRPr="007A23AA">
        <w:tab/>
      </w:r>
      <w:r>
        <w:tab/>
      </w:r>
      <w:r>
        <w:tab/>
      </w:r>
      <w:r>
        <w:tab/>
      </w:r>
      <w:r w:rsidRPr="007A23AA">
        <w:t>0,94 mm (120°C)</w:t>
      </w:r>
      <w:r w:rsidRPr="007A23AA">
        <w:tab/>
        <w:t>IIA (jusqu'à 120°C)</w:t>
      </w:r>
    </w:p>
    <w:bookmarkEnd w:id="1"/>
    <w:p w:rsidR="007A23AA" w:rsidRPr="007A23AA" w:rsidRDefault="007A23AA" w:rsidP="007A23AA">
      <w:pPr>
        <w:pStyle w:val="SingleTxtG"/>
        <w:rPr>
          <w:b/>
        </w:rPr>
      </w:pPr>
      <w:r w:rsidRPr="007A23AA">
        <w:rPr>
          <w:b/>
        </w:rPr>
        <w:t>UN 3295 HYDROCARBURES LIQUIDES, N.S.A.</w:t>
      </w:r>
    </w:p>
    <w:p w:rsidR="007A23AA" w:rsidRPr="007A23AA" w:rsidRDefault="007A23AA" w:rsidP="007A23AA">
      <w:pPr>
        <w:pStyle w:val="SingleTxtG"/>
        <w:rPr>
          <w:b/>
        </w:rPr>
      </w:pPr>
      <w:r w:rsidRPr="007A23AA">
        <w:rPr>
          <w:b/>
        </w:rPr>
        <w:t>2ème entrée ADN 2017</w:t>
      </w:r>
    </w:p>
    <w:p w:rsidR="007A23AA" w:rsidRPr="007A23AA" w:rsidRDefault="007A23AA" w:rsidP="007A23AA">
      <w:pPr>
        <w:pStyle w:val="SingleTxtG"/>
      </w:pPr>
      <w:proofErr w:type="gramStart"/>
      <w:r w:rsidRPr="007A23AA">
        <w:t>UN 3295 hydrocarbures riches</w:t>
      </w:r>
      <w:proofErr w:type="gramEnd"/>
      <w:r w:rsidRPr="007A23AA">
        <w:t xml:space="preserve"> en C</w:t>
      </w:r>
      <w:r w:rsidRPr="007A23AA">
        <w:rPr>
          <w:vertAlign w:val="subscript"/>
        </w:rPr>
        <w:t>5</w:t>
      </w:r>
      <w:r w:rsidRPr="007A23AA">
        <w:tab/>
      </w:r>
      <w:r>
        <w:tab/>
      </w:r>
      <w:r w:rsidRPr="007A23AA">
        <w:t>0,90 mm</w:t>
      </w:r>
      <w:r w:rsidRPr="007A23AA">
        <w:tab/>
      </w:r>
      <w:r>
        <w:tab/>
      </w:r>
      <w:r w:rsidRPr="007A23AA">
        <w:t>IIA</w:t>
      </w:r>
    </w:p>
    <w:p w:rsidR="006D3770" w:rsidRDefault="007A23AA" w:rsidP="007A23AA">
      <w:pPr>
        <w:pStyle w:val="HChG"/>
      </w:pPr>
      <w:r>
        <w:lastRenderedPageBreak/>
        <w:tab/>
      </w:r>
      <w:r w:rsidRPr="007A23AA">
        <w:t>I</w:t>
      </w:r>
      <w:r>
        <w:t>V</w:t>
      </w:r>
      <w:r w:rsidRPr="007A23AA">
        <w:t xml:space="preserve">. </w:t>
      </w:r>
      <w:r w:rsidRPr="007A23AA">
        <w:tab/>
        <w:t>Modification ADN 2021 Colonne (16) tableau C</w:t>
      </w:r>
    </w:p>
    <w:p w:rsidR="007A23AA" w:rsidRPr="007A23AA" w:rsidRDefault="007A23AA" w:rsidP="007A23AA">
      <w:pPr>
        <w:pStyle w:val="SingleTxtG"/>
      </w:pPr>
      <w:r w:rsidRPr="007A23AA">
        <w:t>UN 1179 ÉTHER ÉTHYLBUTYLIQUE</w:t>
      </w:r>
      <w:r w:rsidRPr="007A23AA">
        <w:tab/>
      </w:r>
      <w:r>
        <w:tab/>
      </w:r>
      <w:r>
        <w:tab/>
      </w:r>
      <w:r>
        <w:tab/>
      </w:r>
      <w:r>
        <w:tab/>
      </w:r>
      <w:r w:rsidRPr="007A23AA">
        <w:t>IIB1</w:t>
      </w:r>
    </w:p>
    <w:p w:rsidR="007A23AA" w:rsidRPr="007A23AA" w:rsidRDefault="007A23AA" w:rsidP="007A23AA">
      <w:pPr>
        <w:pStyle w:val="SingleTxtG"/>
      </w:pPr>
      <w:r w:rsidRPr="007A23AA">
        <w:t>UN 1216 ISOOCTÈNES</w:t>
      </w:r>
      <w:r w:rsidRPr="007A23AA">
        <w:tab/>
      </w:r>
      <w:r>
        <w:tab/>
      </w:r>
      <w:r>
        <w:tab/>
      </w:r>
      <w:r>
        <w:tab/>
      </w:r>
      <w:r>
        <w:tab/>
      </w:r>
      <w:r>
        <w:tab/>
      </w:r>
      <w:r>
        <w:tab/>
      </w:r>
      <w:r w:rsidRPr="007A23AA">
        <w:t>IIA</w:t>
      </w:r>
    </w:p>
    <w:p w:rsidR="007A23AA" w:rsidRPr="007A23AA" w:rsidRDefault="007A23AA" w:rsidP="007A23AA">
      <w:pPr>
        <w:pStyle w:val="SingleTxtG"/>
        <w:rPr>
          <w:b/>
        </w:rPr>
      </w:pPr>
      <w:r w:rsidRPr="007A23AA">
        <w:rPr>
          <w:b/>
        </w:rPr>
        <w:t>UN 3256 LIQUIDE TRANSPORTE A CHAUD, INFLAMMABLE, N.S.A.,</w:t>
      </w:r>
    </w:p>
    <w:p w:rsidR="007A23AA" w:rsidRPr="007A23AA" w:rsidRDefault="007A23AA" w:rsidP="007A23AA">
      <w:pPr>
        <w:pStyle w:val="SingleTxtG"/>
        <w:rPr>
          <w:b/>
        </w:rPr>
      </w:pPr>
      <w:r w:rsidRPr="007A23AA">
        <w:rPr>
          <w:b/>
        </w:rPr>
        <w:t>7ème entrée ADN 2017</w:t>
      </w:r>
    </w:p>
    <w:p w:rsidR="007A23AA" w:rsidRPr="007A23AA" w:rsidRDefault="007A23AA" w:rsidP="007A23AA">
      <w:pPr>
        <w:pStyle w:val="SingleTxtG"/>
      </w:pPr>
      <w:r w:rsidRPr="007A23AA">
        <w:t>UN 3256 Low QI Pitch</w:t>
      </w:r>
      <w:r w:rsidRPr="007A23AA">
        <w:tab/>
      </w:r>
      <w:r>
        <w:tab/>
      </w:r>
      <w:r>
        <w:tab/>
      </w:r>
      <w:r>
        <w:tab/>
      </w:r>
      <w:r>
        <w:tab/>
      </w:r>
      <w:r>
        <w:tab/>
      </w:r>
      <w:r>
        <w:tab/>
      </w:r>
      <w:r w:rsidRPr="007A23AA">
        <w:t>IIB2</w:t>
      </w:r>
    </w:p>
    <w:p w:rsidR="007A23AA" w:rsidRPr="007A23AA" w:rsidRDefault="007A23AA" w:rsidP="007A23AA">
      <w:pPr>
        <w:pStyle w:val="SingleTxtG"/>
        <w:rPr>
          <w:b/>
        </w:rPr>
      </w:pPr>
      <w:r w:rsidRPr="007A23AA">
        <w:rPr>
          <w:b/>
        </w:rPr>
        <w:t>1</w:t>
      </w:r>
      <w:r w:rsidRPr="007A23AA">
        <w:rPr>
          <w:b/>
          <w:vertAlign w:val="superscript"/>
        </w:rPr>
        <w:t>ère</w:t>
      </w:r>
      <w:r w:rsidRPr="007A23AA">
        <w:rPr>
          <w:b/>
        </w:rPr>
        <w:t xml:space="preserve"> entrée ADN 2017</w:t>
      </w:r>
    </w:p>
    <w:p w:rsidR="007A23AA" w:rsidRPr="007A23AA" w:rsidRDefault="007A23AA" w:rsidP="007A23AA">
      <w:pPr>
        <w:pStyle w:val="SingleTxtG"/>
      </w:pPr>
      <w:r w:rsidRPr="007A23AA">
        <w:t>UN 3256 Huile de pyrolyse</w:t>
      </w:r>
      <w:r w:rsidRPr="007A23AA">
        <w:tab/>
      </w:r>
      <w:r>
        <w:tab/>
      </w:r>
      <w:r>
        <w:tab/>
      </w:r>
      <w:r>
        <w:tab/>
      </w:r>
      <w:r>
        <w:tab/>
      </w:r>
      <w:r>
        <w:tab/>
      </w:r>
      <w:r>
        <w:tab/>
      </w:r>
      <w:r w:rsidRPr="007A23AA">
        <w:t>IIB</w:t>
      </w:r>
      <w:r w:rsidRPr="007A23AA">
        <w:rPr>
          <w:vertAlign w:val="superscript"/>
        </w:rPr>
        <w:t>4</w:t>
      </w:r>
      <w:r w:rsidRPr="007A23AA">
        <w:t xml:space="preserve"> (IIB3)</w:t>
      </w:r>
    </w:p>
    <w:p w:rsidR="007A23AA" w:rsidRPr="007A23AA" w:rsidRDefault="007A23AA" w:rsidP="007A23AA">
      <w:pPr>
        <w:pStyle w:val="SingleTxtG"/>
      </w:pPr>
      <w:r w:rsidRPr="007A23AA">
        <w:t xml:space="preserve">UN 3256 </w:t>
      </w:r>
      <w:proofErr w:type="spellStart"/>
      <w:r w:rsidRPr="007A23AA">
        <w:t>Novadest</w:t>
      </w:r>
      <w:proofErr w:type="spellEnd"/>
      <w:r w:rsidRPr="007A23AA">
        <w:t xml:space="preserve"> A</w:t>
      </w:r>
      <w:r w:rsidRPr="007A23AA">
        <w:tab/>
      </w:r>
      <w:r>
        <w:tab/>
      </w:r>
      <w:r>
        <w:tab/>
      </w:r>
      <w:r>
        <w:tab/>
      </w:r>
      <w:r>
        <w:tab/>
      </w:r>
      <w:r>
        <w:tab/>
      </w:r>
      <w:r>
        <w:tab/>
      </w:r>
      <w:r w:rsidRPr="007A23AA">
        <w:t>IIB</w:t>
      </w:r>
      <w:r w:rsidRPr="007A23AA">
        <w:rPr>
          <w:vertAlign w:val="superscript"/>
        </w:rPr>
        <w:t>4</w:t>
      </w:r>
      <w:r w:rsidRPr="007A23AA">
        <w:t xml:space="preserve"> (IIB3)</w:t>
      </w:r>
    </w:p>
    <w:p w:rsidR="007A23AA" w:rsidRPr="007A23AA" w:rsidRDefault="007A23AA" w:rsidP="007A23AA">
      <w:pPr>
        <w:pStyle w:val="SingleTxtG"/>
      </w:pPr>
      <w:r w:rsidRPr="007A23AA">
        <w:t>UN 3295 HYDROCARBURES LIQUIDES, N.S.A.</w:t>
      </w:r>
      <w:r>
        <w:tab/>
      </w:r>
      <w:r>
        <w:tab/>
      </w:r>
      <w:r w:rsidRPr="007A23AA">
        <w:tab/>
        <w:t>IIB</w:t>
      </w:r>
      <w:r w:rsidRPr="007A23AA">
        <w:rPr>
          <w:vertAlign w:val="superscript"/>
        </w:rPr>
        <w:t>4</w:t>
      </w:r>
      <w:r w:rsidRPr="007A23AA">
        <w:t xml:space="preserve"> (IIB3)</w:t>
      </w:r>
    </w:p>
    <w:p w:rsidR="007A23AA" w:rsidRDefault="007A23AA" w:rsidP="007A23AA">
      <w:pPr>
        <w:pStyle w:val="SingleTxtG"/>
      </w:pPr>
      <w:r w:rsidRPr="007A23AA">
        <w:t>2ème entrée ADN 2017</w:t>
      </w:r>
    </w:p>
    <w:p w:rsidR="007A23AA" w:rsidRPr="007A23AA" w:rsidRDefault="007A23AA" w:rsidP="007A23AA">
      <w:pPr>
        <w:pStyle w:val="HChG"/>
      </w:pPr>
      <w:r w:rsidRPr="007A23AA">
        <w:tab/>
        <w:t>V.</w:t>
      </w:r>
      <w:r w:rsidRPr="007A23AA">
        <w:tab/>
        <w:t>Suites à donner</w:t>
      </w:r>
    </w:p>
    <w:p w:rsidR="007A23AA" w:rsidRPr="007A23AA" w:rsidRDefault="007A23AA" w:rsidP="007A23AA">
      <w:pPr>
        <w:pStyle w:val="SingleTxtG"/>
      </w:pPr>
      <w:r>
        <w:t>4.</w:t>
      </w:r>
      <w:r>
        <w:tab/>
      </w:r>
      <w:r w:rsidRPr="007A23AA">
        <w:t xml:space="preserve">Le Comité de sécurité est invité à examiner les résultats de mesures énoncés au paragraphe </w:t>
      </w:r>
      <w:r w:rsidR="00D266B5">
        <w:t>3</w:t>
      </w:r>
      <w:r w:rsidRPr="007A23AA">
        <w:t xml:space="preserve"> et à prendre les dispositions qu'il juge nécessaires pour la préparation d'un accord multilatéral.</w:t>
      </w:r>
    </w:p>
    <w:p w:rsidR="00AE1716" w:rsidRPr="00D866A8" w:rsidRDefault="00AE1716" w:rsidP="00AE1716">
      <w:pPr>
        <w:pStyle w:val="SingleTxtG"/>
        <w:spacing w:before="240" w:after="0"/>
        <w:jc w:val="center"/>
      </w:pPr>
      <w:r w:rsidRPr="00D71CA8">
        <w:rPr>
          <w:u w:val="single"/>
          <w:lang w:val="x-none" w:eastAsia="de-DE"/>
        </w:rPr>
        <w:tab/>
      </w:r>
      <w:r w:rsidRPr="00D71CA8">
        <w:rPr>
          <w:u w:val="single"/>
          <w:lang w:val="x-none" w:eastAsia="de-DE"/>
        </w:rPr>
        <w:tab/>
      </w:r>
      <w:r w:rsidRPr="00D71CA8">
        <w:rPr>
          <w:u w:val="single"/>
          <w:lang w:val="x-none" w:eastAsia="de-DE"/>
        </w:rPr>
        <w:tab/>
      </w:r>
    </w:p>
    <w:sectPr w:rsidR="00AE1716" w:rsidRPr="00D866A8" w:rsidSect="00550462">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289" w:rsidRDefault="007C1289"/>
  </w:endnote>
  <w:endnote w:type="continuationSeparator" w:id="0">
    <w:p w:rsidR="007C1289" w:rsidRDefault="007C1289"/>
  </w:endnote>
  <w:endnote w:type="continuationNotice" w:id="1">
    <w:p w:rsidR="007C1289" w:rsidRDefault="007C1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9776B" w:rsidRDefault="00413C00"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2A3504">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9776B" w:rsidRDefault="00413C00"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2A3504">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289" w:rsidRPr="00D27D5E" w:rsidRDefault="007C1289" w:rsidP="00D27D5E">
      <w:pPr>
        <w:tabs>
          <w:tab w:val="right" w:pos="2155"/>
        </w:tabs>
        <w:spacing w:after="80"/>
        <w:ind w:left="680"/>
        <w:rPr>
          <w:u w:val="single"/>
        </w:rPr>
      </w:pPr>
      <w:r>
        <w:rPr>
          <w:u w:val="single"/>
        </w:rPr>
        <w:tab/>
      </w:r>
    </w:p>
  </w:footnote>
  <w:footnote w:type="continuationSeparator" w:id="0">
    <w:p w:rsidR="007C1289" w:rsidRPr="00A80554" w:rsidRDefault="007C1289" w:rsidP="00A80554">
      <w:pPr>
        <w:tabs>
          <w:tab w:val="left" w:pos="2155"/>
        </w:tabs>
        <w:spacing w:after="80"/>
        <w:ind w:left="680"/>
        <w:rPr>
          <w:u w:val="single"/>
        </w:rPr>
      </w:pPr>
      <w:r w:rsidRPr="00A80554">
        <w:rPr>
          <w:u w:val="single"/>
        </w:rPr>
        <w:tab/>
      </w:r>
    </w:p>
  </w:footnote>
  <w:footnote w:type="continuationNotice" w:id="1">
    <w:p w:rsidR="007C1289" w:rsidRDefault="007C1289"/>
  </w:footnote>
  <w:footnote w:id="2">
    <w:p w:rsidR="00550462" w:rsidRPr="00550462" w:rsidRDefault="00550462" w:rsidP="00550462">
      <w:pPr>
        <w:pStyle w:val="FootnoteText"/>
        <w:rPr>
          <w:lang w:val="fr-CH"/>
        </w:rPr>
      </w:pPr>
      <w:r>
        <w:rPr>
          <w:rStyle w:val="FootnoteReference"/>
        </w:rPr>
        <w:tab/>
      </w:r>
      <w:r w:rsidRPr="00550462">
        <w:rPr>
          <w:rStyle w:val="FootnoteReference"/>
          <w:sz w:val="20"/>
          <w:vertAlign w:val="baseline"/>
        </w:rPr>
        <w:t>*</w:t>
      </w:r>
      <w:r>
        <w:rPr>
          <w:rStyle w:val="FootnoteReference"/>
          <w:sz w:val="20"/>
          <w:vertAlign w:val="baseline"/>
        </w:rPr>
        <w:tab/>
      </w:r>
      <w:r w:rsidRPr="00550462">
        <w:t>Diffusé en langue allemande par la Commission centrale pour la navigation du Rhin sous la cote CCNR/ZKR/ADN/WP.15/AC.2/2018/</w:t>
      </w:r>
      <w:r w:rsidR="00125158">
        <w:t>50</w:t>
      </w:r>
      <w:r w:rsidRPr="00550462">
        <w:t>.</w:t>
      </w:r>
    </w:p>
  </w:footnote>
  <w:footnote w:id="3">
    <w:p w:rsidR="00550462" w:rsidRDefault="00550462" w:rsidP="00550462">
      <w:pPr>
        <w:pStyle w:val="FootnoteText"/>
      </w:pPr>
      <w:r>
        <w:tab/>
      </w:r>
      <w:r w:rsidRPr="00905A77">
        <w:rPr>
          <w:rStyle w:val="FootnoteReference"/>
          <w:sz w:val="20"/>
          <w:szCs w:val="22"/>
          <w:vertAlign w:val="baseline"/>
          <w:lang w:eastAsia="en-US"/>
        </w:rPr>
        <w:t>**</w:t>
      </w:r>
      <w:r w:rsidRPr="00905A77">
        <w:rPr>
          <w:sz w:val="20"/>
          <w:szCs w:val="22"/>
        </w:rPr>
        <w:t xml:space="preserve"> </w:t>
      </w:r>
      <w:r>
        <w:tab/>
      </w:r>
      <w:r w:rsidRPr="00905A77">
        <w:t>Conformément au programme de travail du Comité de</w:t>
      </w:r>
      <w:r w:rsidRPr="00EF5998">
        <w:t>s</w:t>
      </w:r>
      <w:r>
        <w:t xml:space="preserve"> transports intérieurs pour 2018-2019 </w:t>
      </w:r>
      <w:r w:rsidRPr="00EF5998">
        <w:t>(</w:t>
      </w:r>
      <w:r w:rsidRPr="00ED5F4B">
        <w:t xml:space="preserve">ECE/TRANS/2018/21/Add.1, </w:t>
      </w:r>
      <w:r>
        <w:t>(</w:t>
      </w:r>
      <w:r w:rsidRPr="00ED5F4B">
        <w:t>9.3</w:t>
      </w:r>
      <w:r>
        <w:t>)</w:t>
      </w:r>
      <w:r w:rsidRPr="00EF5998">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A2B42" w:rsidRDefault="00CA36D4" w:rsidP="00F07C2C">
    <w:pPr>
      <w:pStyle w:val="Header"/>
      <w:rPr>
        <w:lang w:val="en-GB"/>
      </w:rPr>
    </w:pPr>
    <w:r>
      <w:rPr>
        <w:lang w:val="en-GB"/>
      </w:rPr>
      <w:t>ECE/TRANS/WP.15/AC.2/2018/</w:t>
    </w:r>
    <w:r w:rsidR="007A23AA">
      <w:rPr>
        <w:lang w:val="en-GB"/>
      </w:rPr>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A2B42" w:rsidRDefault="002A2B42" w:rsidP="00F07C2C">
    <w:pPr>
      <w:pStyle w:val="Header"/>
      <w:jc w:val="right"/>
      <w:rPr>
        <w:lang w:val="en-GB"/>
      </w:rPr>
    </w:pPr>
    <w:r w:rsidRPr="002A2B42">
      <w:rPr>
        <w:lang w:val="en-GB"/>
      </w:rPr>
      <w:t>ECE/TRANS/WP.15/AC</w:t>
    </w:r>
    <w:r w:rsidR="00CA36D4">
      <w:rPr>
        <w:lang w:val="en-GB"/>
      </w:rPr>
      <w:t>.2/2018/</w:t>
    </w:r>
    <w:r w:rsidR="007A23AA">
      <w:rPr>
        <w:lang w:val="en-GB"/>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170852"/>
    <w:multiLevelType w:val="hybridMultilevel"/>
    <w:tmpl w:val="49943A3E"/>
    <w:lvl w:ilvl="0" w:tplc="E71C9CE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2CA160AC"/>
    <w:multiLevelType w:val="hybridMultilevel"/>
    <w:tmpl w:val="E4042A82"/>
    <w:lvl w:ilvl="0" w:tplc="570A90C2">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BB30E1B"/>
    <w:multiLevelType w:val="hybridMultilevel"/>
    <w:tmpl w:val="BC0A6D6A"/>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8"/>
  </w:num>
  <w:num w:numId="2">
    <w:abstractNumId w:val="5"/>
  </w:num>
  <w:num w:numId="3">
    <w:abstractNumId w:val="0"/>
  </w:num>
  <w:num w:numId="4">
    <w:abstractNumId w:val="7"/>
  </w:num>
  <w:num w:numId="5">
    <w:abstractNumId w:val="9"/>
  </w:num>
  <w:num w:numId="6">
    <w:abstractNumId w:val="3"/>
  </w:num>
  <w:num w:numId="7">
    <w:abstractNumId w:val="2"/>
  </w:num>
  <w:num w:numId="8">
    <w:abstractNumId w:val="6"/>
  </w:num>
  <w:num w:numId="9">
    <w:abstractNumId w:val="4"/>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1A"/>
    <w:rsid w:val="0000195C"/>
    <w:rsid w:val="00003FFB"/>
    <w:rsid w:val="0000754C"/>
    <w:rsid w:val="000121D3"/>
    <w:rsid w:val="000131A5"/>
    <w:rsid w:val="00014328"/>
    <w:rsid w:val="0001457A"/>
    <w:rsid w:val="00016AC5"/>
    <w:rsid w:val="00022BD7"/>
    <w:rsid w:val="00030ADE"/>
    <w:rsid w:val="000312C0"/>
    <w:rsid w:val="00033A63"/>
    <w:rsid w:val="0004058B"/>
    <w:rsid w:val="000472A1"/>
    <w:rsid w:val="000507A8"/>
    <w:rsid w:val="0006085A"/>
    <w:rsid w:val="0006415C"/>
    <w:rsid w:val="000643B7"/>
    <w:rsid w:val="00066716"/>
    <w:rsid w:val="00071432"/>
    <w:rsid w:val="00072E86"/>
    <w:rsid w:val="000758B9"/>
    <w:rsid w:val="00081790"/>
    <w:rsid w:val="000828C8"/>
    <w:rsid w:val="00094EF2"/>
    <w:rsid w:val="000963EA"/>
    <w:rsid w:val="000964C7"/>
    <w:rsid w:val="000A49E0"/>
    <w:rsid w:val="000A7DE0"/>
    <w:rsid w:val="000A7EC2"/>
    <w:rsid w:val="000B34CA"/>
    <w:rsid w:val="000C0699"/>
    <w:rsid w:val="000D7E12"/>
    <w:rsid w:val="000E40A8"/>
    <w:rsid w:val="000E68FB"/>
    <w:rsid w:val="000F41F2"/>
    <w:rsid w:val="00104ADE"/>
    <w:rsid w:val="00114764"/>
    <w:rsid w:val="00114946"/>
    <w:rsid w:val="00114DAF"/>
    <w:rsid w:val="00115943"/>
    <w:rsid w:val="00125158"/>
    <w:rsid w:val="00127A72"/>
    <w:rsid w:val="0013180D"/>
    <w:rsid w:val="001350D7"/>
    <w:rsid w:val="00135C0D"/>
    <w:rsid w:val="0013653F"/>
    <w:rsid w:val="00143574"/>
    <w:rsid w:val="001443D8"/>
    <w:rsid w:val="00147C56"/>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5EBF"/>
    <w:rsid w:val="00186EE9"/>
    <w:rsid w:val="00190399"/>
    <w:rsid w:val="00192EEB"/>
    <w:rsid w:val="00197152"/>
    <w:rsid w:val="001A20FB"/>
    <w:rsid w:val="001A37C7"/>
    <w:rsid w:val="001A73B7"/>
    <w:rsid w:val="001B6AF6"/>
    <w:rsid w:val="001B6F40"/>
    <w:rsid w:val="001C08A0"/>
    <w:rsid w:val="001C4BBB"/>
    <w:rsid w:val="001C64DD"/>
    <w:rsid w:val="001D358B"/>
    <w:rsid w:val="001D7DF9"/>
    <w:rsid w:val="001D7F8A"/>
    <w:rsid w:val="001E3FEB"/>
    <w:rsid w:val="001E4A02"/>
    <w:rsid w:val="001F3CC1"/>
    <w:rsid w:val="001F412D"/>
    <w:rsid w:val="001F5816"/>
    <w:rsid w:val="002023CD"/>
    <w:rsid w:val="00203B6A"/>
    <w:rsid w:val="002041A8"/>
    <w:rsid w:val="0020607F"/>
    <w:rsid w:val="002069D5"/>
    <w:rsid w:val="00212D4F"/>
    <w:rsid w:val="00216861"/>
    <w:rsid w:val="0022098E"/>
    <w:rsid w:val="00221E7E"/>
    <w:rsid w:val="00223B89"/>
    <w:rsid w:val="00225A8C"/>
    <w:rsid w:val="002308A6"/>
    <w:rsid w:val="00232C61"/>
    <w:rsid w:val="00234E40"/>
    <w:rsid w:val="002403AA"/>
    <w:rsid w:val="00241AAF"/>
    <w:rsid w:val="0025079F"/>
    <w:rsid w:val="00260A9C"/>
    <w:rsid w:val="00261C6B"/>
    <w:rsid w:val="00263C23"/>
    <w:rsid w:val="002659F1"/>
    <w:rsid w:val="00265FE8"/>
    <w:rsid w:val="0027037E"/>
    <w:rsid w:val="00271C7C"/>
    <w:rsid w:val="00287E79"/>
    <w:rsid w:val="0029101B"/>
    <w:rsid w:val="002928F9"/>
    <w:rsid w:val="0029776B"/>
    <w:rsid w:val="002A1905"/>
    <w:rsid w:val="002A29C3"/>
    <w:rsid w:val="002A2B42"/>
    <w:rsid w:val="002A3504"/>
    <w:rsid w:val="002A5D07"/>
    <w:rsid w:val="002A5F7F"/>
    <w:rsid w:val="002B2881"/>
    <w:rsid w:val="002B56D7"/>
    <w:rsid w:val="002C555D"/>
    <w:rsid w:val="002D0474"/>
    <w:rsid w:val="002D7928"/>
    <w:rsid w:val="002F2735"/>
    <w:rsid w:val="003016B7"/>
    <w:rsid w:val="00304272"/>
    <w:rsid w:val="00306511"/>
    <w:rsid w:val="00315D1C"/>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4106"/>
    <w:rsid w:val="00374296"/>
    <w:rsid w:val="003846A4"/>
    <w:rsid w:val="00391403"/>
    <w:rsid w:val="00394D72"/>
    <w:rsid w:val="00397250"/>
    <w:rsid w:val="003974E1"/>
    <w:rsid w:val="003976D5"/>
    <w:rsid w:val="003A1FEF"/>
    <w:rsid w:val="003A462C"/>
    <w:rsid w:val="003A656C"/>
    <w:rsid w:val="003B5981"/>
    <w:rsid w:val="003B6B20"/>
    <w:rsid w:val="003C06A2"/>
    <w:rsid w:val="003C322F"/>
    <w:rsid w:val="003C5A95"/>
    <w:rsid w:val="003C5C5B"/>
    <w:rsid w:val="003D0BCD"/>
    <w:rsid w:val="003D1DF3"/>
    <w:rsid w:val="003D46A7"/>
    <w:rsid w:val="003D6C68"/>
    <w:rsid w:val="003D76E4"/>
    <w:rsid w:val="003F118A"/>
    <w:rsid w:val="003F6E0A"/>
    <w:rsid w:val="004005D0"/>
    <w:rsid w:val="00406E74"/>
    <w:rsid w:val="00413736"/>
    <w:rsid w:val="00413C00"/>
    <w:rsid w:val="00414425"/>
    <w:rsid w:val="004159D0"/>
    <w:rsid w:val="00421AC2"/>
    <w:rsid w:val="00422151"/>
    <w:rsid w:val="00423D55"/>
    <w:rsid w:val="004249E7"/>
    <w:rsid w:val="00426DA1"/>
    <w:rsid w:val="00430C92"/>
    <w:rsid w:val="0043277B"/>
    <w:rsid w:val="00434168"/>
    <w:rsid w:val="0044289E"/>
    <w:rsid w:val="00454017"/>
    <w:rsid w:val="00461870"/>
    <w:rsid w:val="00470793"/>
    <w:rsid w:val="00471DA9"/>
    <w:rsid w:val="00475DD2"/>
    <w:rsid w:val="00486E96"/>
    <w:rsid w:val="00491EC7"/>
    <w:rsid w:val="0049374F"/>
    <w:rsid w:val="00497A70"/>
    <w:rsid w:val="00497E7A"/>
    <w:rsid w:val="004A29A3"/>
    <w:rsid w:val="004A324B"/>
    <w:rsid w:val="004A331B"/>
    <w:rsid w:val="004A3778"/>
    <w:rsid w:val="004A5C90"/>
    <w:rsid w:val="004B06A1"/>
    <w:rsid w:val="004B154F"/>
    <w:rsid w:val="004B4325"/>
    <w:rsid w:val="004C3B4F"/>
    <w:rsid w:val="004D0EB7"/>
    <w:rsid w:val="004D254F"/>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50462"/>
    <w:rsid w:val="005611FF"/>
    <w:rsid w:val="005622F9"/>
    <w:rsid w:val="00563346"/>
    <w:rsid w:val="00565A49"/>
    <w:rsid w:val="005669DD"/>
    <w:rsid w:val="00571F41"/>
    <w:rsid w:val="00575335"/>
    <w:rsid w:val="00576C84"/>
    <w:rsid w:val="00585A6B"/>
    <w:rsid w:val="00593132"/>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071E2"/>
    <w:rsid w:val="00611D43"/>
    <w:rsid w:val="00612D48"/>
    <w:rsid w:val="00616B45"/>
    <w:rsid w:val="0061708F"/>
    <w:rsid w:val="006210B6"/>
    <w:rsid w:val="00625F01"/>
    <w:rsid w:val="00630D9B"/>
    <w:rsid w:val="00631953"/>
    <w:rsid w:val="0063675E"/>
    <w:rsid w:val="006439EC"/>
    <w:rsid w:val="00654B07"/>
    <w:rsid w:val="00665D5C"/>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3770"/>
    <w:rsid w:val="006D638D"/>
    <w:rsid w:val="006D7511"/>
    <w:rsid w:val="006E0743"/>
    <w:rsid w:val="006E19BA"/>
    <w:rsid w:val="006E3296"/>
    <w:rsid w:val="006E32C5"/>
    <w:rsid w:val="006E3B48"/>
    <w:rsid w:val="006E5FC7"/>
    <w:rsid w:val="006E7722"/>
    <w:rsid w:val="006F151C"/>
    <w:rsid w:val="00700CF9"/>
    <w:rsid w:val="0070347C"/>
    <w:rsid w:val="007176C1"/>
    <w:rsid w:val="00737BCE"/>
    <w:rsid w:val="0074123A"/>
    <w:rsid w:val="00742FD7"/>
    <w:rsid w:val="007450F8"/>
    <w:rsid w:val="00745866"/>
    <w:rsid w:val="00745CA1"/>
    <w:rsid w:val="007514EF"/>
    <w:rsid w:val="007527B6"/>
    <w:rsid w:val="00753BDA"/>
    <w:rsid w:val="00766A94"/>
    <w:rsid w:val="007673E8"/>
    <w:rsid w:val="00780EAE"/>
    <w:rsid w:val="007811F7"/>
    <w:rsid w:val="007817A1"/>
    <w:rsid w:val="007820F2"/>
    <w:rsid w:val="00783F37"/>
    <w:rsid w:val="00786EF4"/>
    <w:rsid w:val="007904AF"/>
    <w:rsid w:val="00790F2F"/>
    <w:rsid w:val="00795138"/>
    <w:rsid w:val="007A23AA"/>
    <w:rsid w:val="007A6076"/>
    <w:rsid w:val="007C1289"/>
    <w:rsid w:val="007C1A44"/>
    <w:rsid w:val="007C360D"/>
    <w:rsid w:val="007D78D5"/>
    <w:rsid w:val="007E29D3"/>
    <w:rsid w:val="007E2F66"/>
    <w:rsid w:val="007F0F13"/>
    <w:rsid w:val="007F55CB"/>
    <w:rsid w:val="00812C1A"/>
    <w:rsid w:val="00816FA8"/>
    <w:rsid w:val="0081704B"/>
    <w:rsid w:val="00820CAD"/>
    <w:rsid w:val="00831329"/>
    <w:rsid w:val="008317F6"/>
    <w:rsid w:val="00835193"/>
    <w:rsid w:val="008353E4"/>
    <w:rsid w:val="00835BFB"/>
    <w:rsid w:val="00836924"/>
    <w:rsid w:val="00844750"/>
    <w:rsid w:val="00851438"/>
    <w:rsid w:val="00860C9D"/>
    <w:rsid w:val="00871051"/>
    <w:rsid w:val="00883D70"/>
    <w:rsid w:val="00884E9C"/>
    <w:rsid w:val="008A7152"/>
    <w:rsid w:val="008B44C4"/>
    <w:rsid w:val="008B6FD8"/>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416C9"/>
    <w:rsid w:val="00952247"/>
    <w:rsid w:val="00952FDB"/>
    <w:rsid w:val="00953DE0"/>
    <w:rsid w:val="009566B0"/>
    <w:rsid w:val="009646D6"/>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02EF2"/>
    <w:rsid w:val="00A11C63"/>
    <w:rsid w:val="00A134EB"/>
    <w:rsid w:val="00A1547F"/>
    <w:rsid w:val="00A17EEC"/>
    <w:rsid w:val="00A2492E"/>
    <w:rsid w:val="00A31F07"/>
    <w:rsid w:val="00A41235"/>
    <w:rsid w:val="00A44CBA"/>
    <w:rsid w:val="00A45EBB"/>
    <w:rsid w:val="00A6343F"/>
    <w:rsid w:val="00A6502C"/>
    <w:rsid w:val="00A70163"/>
    <w:rsid w:val="00A71439"/>
    <w:rsid w:val="00A73DB7"/>
    <w:rsid w:val="00A778A5"/>
    <w:rsid w:val="00A80554"/>
    <w:rsid w:val="00A86837"/>
    <w:rsid w:val="00A92C6B"/>
    <w:rsid w:val="00A963DD"/>
    <w:rsid w:val="00AA0176"/>
    <w:rsid w:val="00AA3C96"/>
    <w:rsid w:val="00AA5B1E"/>
    <w:rsid w:val="00AA72C3"/>
    <w:rsid w:val="00AA77E5"/>
    <w:rsid w:val="00AB6447"/>
    <w:rsid w:val="00AC67A1"/>
    <w:rsid w:val="00AC7977"/>
    <w:rsid w:val="00AD1E14"/>
    <w:rsid w:val="00AD3F23"/>
    <w:rsid w:val="00AE1716"/>
    <w:rsid w:val="00AE352C"/>
    <w:rsid w:val="00AE4F08"/>
    <w:rsid w:val="00AE5E87"/>
    <w:rsid w:val="00AE69A8"/>
    <w:rsid w:val="00AE7BCA"/>
    <w:rsid w:val="00AF1446"/>
    <w:rsid w:val="00AF2F6F"/>
    <w:rsid w:val="00AF52DB"/>
    <w:rsid w:val="00B07C19"/>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A6916"/>
    <w:rsid w:val="00BC5D40"/>
    <w:rsid w:val="00BD0B53"/>
    <w:rsid w:val="00BD50B3"/>
    <w:rsid w:val="00BD5B50"/>
    <w:rsid w:val="00BE3741"/>
    <w:rsid w:val="00BF0556"/>
    <w:rsid w:val="00BF06B0"/>
    <w:rsid w:val="00BF47BD"/>
    <w:rsid w:val="00BF505B"/>
    <w:rsid w:val="00C00C2A"/>
    <w:rsid w:val="00C107FA"/>
    <w:rsid w:val="00C1607E"/>
    <w:rsid w:val="00C218FD"/>
    <w:rsid w:val="00C2232D"/>
    <w:rsid w:val="00C24B53"/>
    <w:rsid w:val="00C261F8"/>
    <w:rsid w:val="00C33100"/>
    <w:rsid w:val="00C34C11"/>
    <w:rsid w:val="00C358CC"/>
    <w:rsid w:val="00C4302B"/>
    <w:rsid w:val="00C45121"/>
    <w:rsid w:val="00C51BB4"/>
    <w:rsid w:val="00C63AC1"/>
    <w:rsid w:val="00C64B56"/>
    <w:rsid w:val="00C732D1"/>
    <w:rsid w:val="00C836BC"/>
    <w:rsid w:val="00C940E9"/>
    <w:rsid w:val="00CA047F"/>
    <w:rsid w:val="00CA3500"/>
    <w:rsid w:val="00CA36D4"/>
    <w:rsid w:val="00CA5CBD"/>
    <w:rsid w:val="00CB2BEA"/>
    <w:rsid w:val="00CB6267"/>
    <w:rsid w:val="00CD1A71"/>
    <w:rsid w:val="00CD1FBB"/>
    <w:rsid w:val="00CD4C90"/>
    <w:rsid w:val="00CF4311"/>
    <w:rsid w:val="00CF6435"/>
    <w:rsid w:val="00D016B5"/>
    <w:rsid w:val="00D034F1"/>
    <w:rsid w:val="00D10BD3"/>
    <w:rsid w:val="00D11B17"/>
    <w:rsid w:val="00D218FC"/>
    <w:rsid w:val="00D266B5"/>
    <w:rsid w:val="00D27297"/>
    <w:rsid w:val="00D27D5E"/>
    <w:rsid w:val="00D31640"/>
    <w:rsid w:val="00D34270"/>
    <w:rsid w:val="00D40906"/>
    <w:rsid w:val="00D41B47"/>
    <w:rsid w:val="00D428F9"/>
    <w:rsid w:val="00D440EE"/>
    <w:rsid w:val="00D47F24"/>
    <w:rsid w:val="00D52A86"/>
    <w:rsid w:val="00D60301"/>
    <w:rsid w:val="00D64213"/>
    <w:rsid w:val="00D70305"/>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14AC"/>
    <w:rsid w:val="00DD38E9"/>
    <w:rsid w:val="00DD5D73"/>
    <w:rsid w:val="00DE01E3"/>
    <w:rsid w:val="00DE0AF7"/>
    <w:rsid w:val="00DE24A4"/>
    <w:rsid w:val="00DE6D90"/>
    <w:rsid w:val="00DF002F"/>
    <w:rsid w:val="00DF1BEA"/>
    <w:rsid w:val="00DF1F03"/>
    <w:rsid w:val="00DF3492"/>
    <w:rsid w:val="00DF4DCE"/>
    <w:rsid w:val="00DF6551"/>
    <w:rsid w:val="00E02222"/>
    <w:rsid w:val="00E0244D"/>
    <w:rsid w:val="00E02CE0"/>
    <w:rsid w:val="00E11BBC"/>
    <w:rsid w:val="00E1236D"/>
    <w:rsid w:val="00E15EC6"/>
    <w:rsid w:val="00E22F40"/>
    <w:rsid w:val="00E23C0F"/>
    <w:rsid w:val="00E3052C"/>
    <w:rsid w:val="00E30A6C"/>
    <w:rsid w:val="00E52473"/>
    <w:rsid w:val="00E53D77"/>
    <w:rsid w:val="00E5407C"/>
    <w:rsid w:val="00E55D71"/>
    <w:rsid w:val="00E60E30"/>
    <w:rsid w:val="00E6288C"/>
    <w:rsid w:val="00E653A2"/>
    <w:rsid w:val="00E65B70"/>
    <w:rsid w:val="00E6627D"/>
    <w:rsid w:val="00E7310A"/>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0008"/>
    <w:rsid w:val="00ED1849"/>
    <w:rsid w:val="00ED265E"/>
    <w:rsid w:val="00ED7BEB"/>
    <w:rsid w:val="00EE2EA3"/>
    <w:rsid w:val="00EE43A7"/>
    <w:rsid w:val="00EF041A"/>
    <w:rsid w:val="00F01516"/>
    <w:rsid w:val="00F0189E"/>
    <w:rsid w:val="00F07C2C"/>
    <w:rsid w:val="00F12577"/>
    <w:rsid w:val="00F14D09"/>
    <w:rsid w:val="00F2271B"/>
    <w:rsid w:val="00F227C9"/>
    <w:rsid w:val="00F337B3"/>
    <w:rsid w:val="00F35A1F"/>
    <w:rsid w:val="00F37523"/>
    <w:rsid w:val="00F524AA"/>
    <w:rsid w:val="00F560CD"/>
    <w:rsid w:val="00F57129"/>
    <w:rsid w:val="00F8504C"/>
    <w:rsid w:val="00F852CB"/>
    <w:rsid w:val="00F90CFE"/>
    <w:rsid w:val="00F96586"/>
    <w:rsid w:val="00FA40A9"/>
    <w:rsid w:val="00FA43E0"/>
    <w:rsid w:val="00FA5A79"/>
    <w:rsid w:val="00FA6422"/>
    <w:rsid w:val="00FB00CB"/>
    <w:rsid w:val="00FB0BFE"/>
    <w:rsid w:val="00FB2419"/>
    <w:rsid w:val="00FB31A1"/>
    <w:rsid w:val="00FB4C51"/>
    <w:rsid w:val="00FB6AC1"/>
    <w:rsid w:val="00FB72A4"/>
    <w:rsid w:val="00FC0CDC"/>
    <w:rsid w:val="00FC0E86"/>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7E68C4"/>
  <w15:chartTrackingRefBased/>
  <w15:docId w15:val="{396790DD-1228-40DE-9482-E3BBD48A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FR"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rsid w:val="000964C7"/>
    <w:rPr>
      <w:rFonts w:ascii="Times New Roman" w:hAnsi="Times New Roman"/>
      <w:sz w:val="18"/>
      <w:vertAlign w:val="superscript"/>
      <w:lang w:val="fr-CH" w:eastAsia="x-none"/>
    </w:rPr>
  </w:style>
  <w:style w:type="character" w:styleId="EndnoteReference">
    <w:name w:val="endnote reference"/>
    <w:aliases w:val="1_G"/>
    <w:basedOn w:val="DefaultParagraphFont"/>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basedOn w:val="DefaultParagraphFont"/>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TRANS_WP15_AC1_F.dotm</Template>
  <TotalTime>15</TotalTime>
  <Pages>3</Pages>
  <Words>616</Words>
  <Characters>3513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ECE-TRANS-WP.15-AC.2-2018-XYf.doc</vt:lpstr>
      <vt:lpstr>ECE-TRANS-WP.15-AC.2-2018-XYf.doc</vt:lpstr>
    </vt:vector>
  </TitlesOfParts>
  <Company>CSD</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ECE-TRANS-WP.15-AC.2-2018-XYf.doc</dc:title>
  <dc:subject/>
  <dc:creator>UNECE</dc:creator>
  <cp:keywords/>
  <dc:description/>
  <cp:lastModifiedBy>ECE-ADN-45 eng</cp:lastModifiedBy>
  <cp:revision>7</cp:revision>
  <cp:lastPrinted>2018-06-05T17:17:00Z</cp:lastPrinted>
  <dcterms:created xsi:type="dcterms:W3CDTF">2018-06-05T17:21:00Z</dcterms:created>
  <dcterms:modified xsi:type="dcterms:W3CDTF">2018-06-13T10:02:00Z</dcterms:modified>
</cp:coreProperties>
</file>