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D4" w:rsidRPr="000F4DD4" w:rsidRDefault="000F4DD4" w:rsidP="000F4DD4">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F4DD4">
        <w:rPr>
          <w:rFonts w:ascii="Arial" w:eastAsia="Arial" w:hAnsi="Arial" w:cs="Arial"/>
          <w:bCs/>
          <w:noProof/>
          <w:szCs w:val="24"/>
          <w:lang w:val="fr-FR"/>
        </w:rPr>
        <w:drawing>
          <wp:anchor distT="0" distB="0" distL="114300" distR="114300" simplePos="0" relativeHeight="251659264" behindDoc="0" locked="0" layoutInCell="1" allowOverlap="1" wp14:anchorId="5F940B94" wp14:editId="4D8D0C00">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9770C1">
        <w:rPr>
          <w:rFonts w:ascii="Arial" w:eastAsia="Arial" w:hAnsi="Arial" w:cs="Arial"/>
          <w:bCs/>
          <w:szCs w:val="24"/>
          <w:lang w:eastAsia="de-DE"/>
        </w:rPr>
        <w:t>CCNR-ZKR/ADN/WP.15/AC.2/2018/</w:t>
      </w:r>
      <w:r w:rsidR="002E745D">
        <w:rPr>
          <w:rFonts w:ascii="Arial" w:eastAsia="Arial" w:hAnsi="Arial" w:cs="Arial"/>
          <w:bCs/>
          <w:szCs w:val="24"/>
          <w:lang w:eastAsia="de-DE"/>
        </w:rPr>
        <w:t>41</w:t>
      </w:r>
    </w:p>
    <w:p w:rsidR="000F4DD4" w:rsidRPr="000F4DD4" w:rsidRDefault="000F4DD4" w:rsidP="000F4DD4">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F4DD4">
        <w:rPr>
          <w:rFonts w:ascii="Arial" w:hAnsi="Arial" w:cs="Arial"/>
          <w:sz w:val="16"/>
          <w:szCs w:val="24"/>
          <w:lang w:eastAsia="de-DE"/>
        </w:rPr>
        <w:t>Allgemeine Verteilung</w:t>
      </w:r>
    </w:p>
    <w:p w:rsidR="000F4DD4" w:rsidRPr="000F4DD4" w:rsidRDefault="00AC2952" w:rsidP="000F4DD4">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4</w:t>
      </w:r>
      <w:r w:rsidR="000F4DD4" w:rsidRPr="000F4DD4">
        <w:rPr>
          <w:rFonts w:ascii="Arial" w:eastAsia="Arial" w:hAnsi="Arial" w:cs="Arial"/>
          <w:szCs w:val="24"/>
          <w:lang w:eastAsia="de-DE"/>
        </w:rPr>
        <w:t xml:space="preserve">. </w:t>
      </w:r>
      <w:r>
        <w:rPr>
          <w:rFonts w:ascii="Arial" w:eastAsia="Arial" w:hAnsi="Arial" w:cs="Arial"/>
          <w:szCs w:val="24"/>
          <w:lang w:eastAsia="de-DE"/>
        </w:rPr>
        <w:t>Juni</w:t>
      </w:r>
      <w:r w:rsidR="000F4DD4" w:rsidRPr="000F4DD4">
        <w:rPr>
          <w:rFonts w:ascii="Arial" w:eastAsia="Arial" w:hAnsi="Arial" w:cs="Arial"/>
          <w:szCs w:val="24"/>
          <w:lang w:eastAsia="de-DE"/>
        </w:rPr>
        <w:t xml:space="preserve"> 2018</w:t>
      </w:r>
    </w:p>
    <w:p w:rsidR="000F4DD4" w:rsidRPr="00B07427" w:rsidRDefault="000F4DD4" w:rsidP="000F4DD4">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4"/>
          <w:szCs w:val="16"/>
          <w:lang w:eastAsia="de-DE"/>
        </w:rPr>
      </w:pPr>
      <w:proofErr w:type="spellStart"/>
      <w:r w:rsidRPr="00576E22">
        <w:rPr>
          <w:rFonts w:ascii="Arial" w:eastAsia="Arial" w:hAnsi="Arial" w:cs="Arial"/>
          <w:sz w:val="18"/>
          <w:szCs w:val="24"/>
          <w:lang w:eastAsia="de-DE"/>
        </w:rPr>
        <w:t>Or</w:t>
      </w:r>
      <w:proofErr w:type="spellEnd"/>
      <w:r w:rsidRPr="00576E22">
        <w:rPr>
          <w:rFonts w:ascii="Arial" w:eastAsia="Arial" w:hAnsi="Arial" w:cs="Arial"/>
          <w:sz w:val="18"/>
          <w:szCs w:val="24"/>
          <w:lang w:eastAsia="de-DE"/>
        </w:rPr>
        <w:t xml:space="preserve">. </w:t>
      </w:r>
      <w:r w:rsidR="00576E22" w:rsidRPr="00B07427">
        <w:rPr>
          <w:rFonts w:ascii="Arial" w:eastAsia="Arial" w:hAnsi="Arial" w:cs="Arial"/>
          <w:sz w:val="14"/>
          <w:szCs w:val="16"/>
          <w:lang w:eastAsia="de-DE"/>
        </w:rPr>
        <w:t>FRANZÖSISCH</w:t>
      </w: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GEMEINSAME EXPERTENTAGUNG FÜR DIE DEM</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ÜBEREINKOMMEN ÜBER DIE INTERNATIONALE BEFÖRDERUNG</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VON GEFÄHRLICHEN GÜTERN AUF BINNENWASSERSTRASSEN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BEIGEFÜGTE VERORDNUNG (ADN)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(SICHERHEITSAUSSCHUSS)</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sz w:val="16"/>
          <w:szCs w:val="24"/>
        </w:rPr>
      </w:pPr>
      <w:r w:rsidRPr="000F4DD4">
        <w:rPr>
          <w:rFonts w:ascii="Arial" w:hAnsi="Arial"/>
          <w:sz w:val="16"/>
          <w:szCs w:val="24"/>
        </w:rPr>
        <w:t>(33. Tagung, Genf, 27. bis 31. August 2018)</w:t>
      </w:r>
    </w:p>
    <w:p w:rsidR="002E745D" w:rsidRPr="002E745D" w:rsidRDefault="002E745D" w:rsidP="002E745D">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2E745D">
        <w:rPr>
          <w:rFonts w:ascii="Arial" w:hAnsi="Arial" w:cs="Arial"/>
          <w:sz w:val="16"/>
          <w:szCs w:val="16"/>
          <w:lang w:eastAsia="en-US"/>
        </w:rPr>
        <w:t>Punkt 4 b) zur vorläufigen Tagesordnung</w:t>
      </w:r>
    </w:p>
    <w:p w:rsidR="002E745D" w:rsidRPr="002E745D" w:rsidRDefault="002E745D" w:rsidP="002E745D">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2E745D">
        <w:rPr>
          <w:rFonts w:ascii="Arial" w:hAnsi="Arial" w:cs="Arial"/>
          <w:b/>
          <w:sz w:val="16"/>
          <w:szCs w:val="16"/>
          <w:lang w:eastAsia="en-US"/>
        </w:rPr>
        <w:t>Vorschläge für Änderungen der dem ADN beigefügten Verordnung: Weitere Vorschläge</w:t>
      </w:r>
    </w:p>
    <w:p w:rsidR="002E745D" w:rsidRDefault="002E745D" w:rsidP="000F4DD4">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p>
    <w:p w:rsidR="00DC18BD" w:rsidRPr="000F4DD4" w:rsidRDefault="00DC18BD" w:rsidP="000F4DD4">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p>
    <w:p w:rsidR="002E745D" w:rsidRDefault="00F43A8C" w:rsidP="002E745D">
      <w:pPr>
        <w:pStyle w:val="HChG"/>
        <w:rPr>
          <w:lang w:val="de-DE" w:eastAsia="en-US"/>
        </w:rPr>
      </w:pPr>
      <w:r w:rsidRPr="002E745D">
        <w:rPr>
          <w:lang w:val="de-DE" w:eastAsia="en-US"/>
        </w:rPr>
        <w:tab/>
      </w:r>
      <w:r w:rsidR="002E745D" w:rsidRPr="002E745D">
        <w:rPr>
          <w:lang w:val="de-DE" w:eastAsia="en-US"/>
        </w:rPr>
        <w:tab/>
        <w:t>Vorschläge zur Änderung der Tabellen A, B und C der dem ADN beigefügten Verordnung</w:t>
      </w:r>
    </w:p>
    <w:p w:rsidR="00DC18BD" w:rsidRPr="00DC18BD" w:rsidRDefault="00DC18BD" w:rsidP="00DC18BD">
      <w:pPr>
        <w:rPr>
          <w:lang w:eastAsia="en-US"/>
        </w:rPr>
      </w:pPr>
    </w:p>
    <w:p w:rsidR="002E745D" w:rsidRPr="002E745D" w:rsidRDefault="002E745D" w:rsidP="002E745D">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val="fr-FR" w:eastAsia="en-US"/>
        </w:rPr>
      </w:pPr>
      <w:r w:rsidRPr="002E745D">
        <w:rPr>
          <w:b/>
          <w:sz w:val="24"/>
          <w:lang w:eastAsia="en-US"/>
        </w:rPr>
        <w:tab/>
      </w:r>
      <w:r w:rsidRPr="002E745D">
        <w:rPr>
          <w:b/>
          <w:sz w:val="24"/>
          <w:lang w:eastAsia="en-US"/>
        </w:rPr>
        <w:tab/>
        <w:t>Eingereicht von Frankreich</w:t>
      </w:r>
      <w:proofErr w:type="gramStart"/>
      <w:r w:rsidRPr="002E745D">
        <w:rPr>
          <w:bCs/>
          <w:sz w:val="24"/>
          <w:szCs w:val="24"/>
          <w:vertAlign w:val="superscript"/>
          <w:lang w:eastAsia="x-none"/>
        </w:rPr>
        <w:footnoteReference w:customMarkFollows="1" w:id="1"/>
        <w:t>*</w:t>
      </w:r>
      <w:r w:rsidRPr="002E745D">
        <w:rPr>
          <w:bCs/>
          <w:sz w:val="24"/>
          <w:szCs w:val="24"/>
          <w:vertAlign w:val="superscript"/>
          <w:lang w:eastAsia="en-US"/>
        </w:rPr>
        <w:t>,</w:t>
      </w:r>
      <w:r w:rsidRPr="002E745D">
        <w:rPr>
          <w:bCs/>
          <w:sz w:val="24"/>
          <w:szCs w:val="24"/>
          <w:vertAlign w:val="superscript"/>
          <w:lang w:eastAsia="en-US"/>
        </w:rPr>
        <w:footnoteReference w:customMarkFollows="1" w:id="2"/>
        <w:t>*</w:t>
      </w:r>
      <w:proofErr w:type="gramEnd"/>
      <w:r w:rsidRPr="002E745D">
        <w:rPr>
          <w:bCs/>
          <w:sz w:val="24"/>
          <w:szCs w:val="24"/>
          <w:vertAlign w:val="superscript"/>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2E745D" w:rsidRPr="002E745D" w:rsidTr="00EA05A2">
        <w:trPr>
          <w:jc w:val="center"/>
        </w:trPr>
        <w:tc>
          <w:tcPr>
            <w:tcW w:w="2330" w:type="dxa"/>
            <w:tcBorders>
              <w:bottom w:val="nil"/>
            </w:tcBorders>
          </w:tcPr>
          <w:p w:rsidR="002E745D" w:rsidRPr="002E745D" w:rsidRDefault="002E745D" w:rsidP="002E745D">
            <w:pPr>
              <w:tabs>
                <w:tab w:val="left" w:pos="284"/>
              </w:tabs>
              <w:spacing w:before="120" w:after="120"/>
              <w:rPr>
                <w:i/>
                <w:lang w:val="fr-FR"/>
              </w:rPr>
            </w:pPr>
            <w:r w:rsidRPr="002E745D">
              <w:rPr>
                <w:rFonts w:eastAsia="Arial"/>
                <w:i/>
                <w:sz w:val="24"/>
                <w:szCs w:val="24"/>
              </w:rPr>
              <w:t>Zusammenfassung</w:t>
            </w:r>
          </w:p>
        </w:tc>
        <w:tc>
          <w:tcPr>
            <w:tcW w:w="7309" w:type="dxa"/>
            <w:tcBorders>
              <w:bottom w:val="nil"/>
            </w:tcBorders>
          </w:tcPr>
          <w:p w:rsidR="002E745D" w:rsidRPr="002E745D" w:rsidRDefault="002E745D" w:rsidP="002E745D">
            <w:pPr>
              <w:spacing w:before="120" w:after="120"/>
              <w:rPr>
                <w:lang w:val="fr-FR"/>
              </w:rPr>
            </w:pPr>
          </w:p>
        </w:tc>
      </w:tr>
      <w:tr w:rsidR="002E745D" w:rsidRPr="002E745D" w:rsidTr="00EA05A2">
        <w:trPr>
          <w:jc w:val="center"/>
        </w:trPr>
        <w:tc>
          <w:tcPr>
            <w:tcW w:w="2330" w:type="dxa"/>
            <w:tcBorders>
              <w:top w:val="nil"/>
              <w:bottom w:val="nil"/>
            </w:tcBorders>
          </w:tcPr>
          <w:p w:rsidR="002E745D" w:rsidRPr="002E745D" w:rsidRDefault="002E745D" w:rsidP="002E745D">
            <w:pPr>
              <w:spacing w:before="40" w:after="120"/>
              <w:ind w:left="0" w:firstLine="0"/>
              <w:jc w:val="left"/>
              <w:rPr>
                <w:b/>
                <w:lang w:val="fr-FR"/>
              </w:rPr>
            </w:pPr>
            <w:r w:rsidRPr="002E745D">
              <w:rPr>
                <w:b/>
                <w:lang w:val="fr-FR"/>
              </w:rPr>
              <w:br/>
            </w:r>
          </w:p>
        </w:tc>
        <w:tc>
          <w:tcPr>
            <w:tcW w:w="7309" w:type="dxa"/>
            <w:tcBorders>
              <w:top w:val="nil"/>
              <w:bottom w:val="nil"/>
            </w:tcBorders>
          </w:tcPr>
          <w:p w:rsidR="002E745D" w:rsidRPr="002E745D" w:rsidRDefault="002E745D" w:rsidP="002E745D">
            <w:pPr>
              <w:widowControl/>
              <w:overflowPunct/>
              <w:spacing w:before="40" w:after="120"/>
              <w:ind w:left="0" w:firstLine="0"/>
              <w:jc w:val="left"/>
              <w:textAlignment w:val="auto"/>
              <w:rPr>
                <w:rFonts w:cs="Arial"/>
              </w:rPr>
            </w:pPr>
            <w:r w:rsidRPr="002E745D">
              <w:rPr>
                <w:lang w:eastAsia="en-US"/>
              </w:rPr>
              <w:t>Dieses Dokument enthält  eine Reihe von Änderungsvorschlägen zu den Tabellen A, B und C der dem ADN beigefügten Verordnung.</w:t>
            </w:r>
          </w:p>
        </w:tc>
      </w:tr>
      <w:tr w:rsidR="002E745D" w:rsidRPr="002E745D" w:rsidTr="00EA05A2">
        <w:trPr>
          <w:jc w:val="center"/>
        </w:trPr>
        <w:tc>
          <w:tcPr>
            <w:tcW w:w="2330" w:type="dxa"/>
            <w:tcBorders>
              <w:top w:val="nil"/>
              <w:bottom w:val="nil"/>
            </w:tcBorders>
          </w:tcPr>
          <w:p w:rsidR="002E745D" w:rsidRPr="002E745D" w:rsidRDefault="002E745D" w:rsidP="002E745D">
            <w:pPr>
              <w:spacing w:before="40" w:after="120"/>
              <w:ind w:left="0" w:firstLine="0"/>
              <w:jc w:val="left"/>
              <w:rPr>
                <w:b/>
                <w:lang w:val="fr-FR"/>
              </w:rPr>
            </w:pPr>
            <w:r w:rsidRPr="002E745D">
              <w:rPr>
                <w:b/>
              </w:rPr>
              <w:t>Zu ergreifende Maßnahme:</w:t>
            </w:r>
          </w:p>
        </w:tc>
        <w:tc>
          <w:tcPr>
            <w:tcW w:w="7309" w:type="dxa"/>
            <w:tcBorders>
              <w:top w:val="nil"/>
              <w:bottom w:val="nil"/>
            </w:tcBorders>
          </w:tcPr>
          <w:p w:rsidR="002E745D" w:rsidRPr="002E745D" w:rsidRDefault="002E745D" w:rsidP="002E745D">
            <w:pPr>
              <w:spacing w:before="40" w:after="120"/>
              <w:ind w:left="11" w:firstLine="0"/>
              <w:rPr>
                <w:lang w:val="fr-FR"/>
              </w:rPr>
            </w:pPr>
            <w:r w:rsidRPr="002E745D">
              <w:rPr>
                <w:lang w:eastAsia="en-US"/>
              </w:rPr>
              <w:t>Siehe Absätze 14 bis 16.</w:t>
            </w:r>
          </w:p>
        </w:tc>
      </w:tr>
      <w:tr w:rsidR="002E745D" w:rsidRPr="002E745D" w:rsidTr="00EA05A2">
        <w:trPr>
          <w:jc w:val="center"/>
        </w:trPr>
        <w:tc>
          <w:tcPr>
            <w:tcW w:w="2330" w:type="dxa"/>
            <w:tcBorders>
              <w:top w:val="nil"/>
            </w:tcBorders>
          </w:tcPr>
          <w:p w:rsidR="002E745D" w:rsidRPr="002E745D" w:rsidRDefault="002E745D" w:rsidP="002E745D">
            <w:pPr>
              <w:tabs>
                <w:tab w:val="left" w:pos="284"/>
              </w:tabs>
              <w:spacing w:before="40" w:after="120"/>
              <w:ind w:left="0" w:firstLine="0"/>
              <w:jc w:val="left"/>
              <w:rPr>
                <w:b/>
                <w:lang w:val="fr-FR"/>
              </w:rPr>
            </w:pPr>
            <w:r w:rsidRPr="002E745D">
              <w:rPr>
                <w:b/>
              </w:rPr>
              <w:t>Verbundene Dokumente:</w:t>
            </w:r>
          </w:p>
        </w:tc>
        <w:tc>
          <w:tcPr>
            <w:tcW w:w="7309" w:type="dxa"/>
            <w:tcBorders>
              <w:top w:val="nil"/>
            </w:tcBorders>
          </w:tcPr>
          <w:p w:rsidR="002E745D" w:rsidRPr="002E745D" w:rsidRDefault="002E745D" w:rsidP="002E745D">
            <w:pPr>
              <w:spacing w:before="40" w:after="120"/>
              <w:ind w:left="11" w:firstLine="0"/>
            </w:pPr>
            <w:r w:rsidRPr="002E745D">
              <w:rPr>
                <w:lang w:eastAsia="de-DE"/>
              </w:rPr>
              <w:t>Informelles Dokument INF.18 (zweiunddreißigste Sitzung)</w:t>
            </w:r>
          </w:p>
        </w:tc>
      </w:tr>
    </w:tbl>
    <w:p w:rsidR="00DC18BD" w:rsidRDefault="00DC18BD" w:rsidP="002E745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p>
    <w:p w:rsidR="00DC18BD" w:rsidRDefault="00DC18BD">
      <w:pPr>
        <w:widowControl/>
        <w:overflowPunct/>
        <w:autoSpaceDE/>
        <w:autoSpaceDN/>
        <w:adjustRightInd/>
        <w:ind w:left="0" w:firstLine="0"/>
        <w:jc w:val="left"/>
        <w:textAlignment w:val="auto"/>
        <w:rPr>
          <w:b/>
          <w:sz w:val="28"/>
          <w:lang w:eastAsia="en-US"/>
        </w:rPr>
      </w:pPr>
      <w:r>
        <w:rPr>
          <w:b/>
          <w:sz w:val="28"/>
          <w:lang w:eastAsia="en-US"/>
        </w:rPr>
        <w:br w:type="page"/>
      </w:r>
    </w:p>
    <w:p w:rsidR="002E745D" w:rsidRPr="002E745D" w:rsidRDefault="002E745D" w:rsidP="00DC18B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2E745D">
        <w:rPr>
          <w:b/>
          <w:sz w:val="28"/>
          <w:lang w:eastAsia="en-US"/>
        </w:rPr>
        <w:lastRenderedPageBreak/>
        <w:tab/>
      </w:r>
      <w:r w:rsidRPr="002E745D">
        <w:rPr>
          <w:b/>
          <w:sz w:val="28"/>
          <w:lang w:eastAsia="en-US"/>
        </w:rPr>
        <w:tab/>
        <w:t>Einführung</w:t>
      </w:r>
    </w:p>
    <w:p w:rsidR="002E745D" w:rsidRPr="002E745D" w:rsidRDefault="002E745D" w:rsidP="00DC18BD">
      <w:pPr>
        <w:keepNext/>
        <w:keepLines/>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1.</w:t>
      </w:r>
      <w:r w:rsidRPr="002E745D">
        <w:rPr>
          <w:lang w:eastAsia="en-US"/>
        </w:rPr>
        <w:tab/>
        <w:t>In der Sitzung des Sicherheitsausschusses im Januar 2018 hatte Frankreich im informellen Dokument INF.18 für die zweiunddreißigste Sitzung eine Änderung der französischen Fassung der offiziellen Benennung für die Beförderung der Stoffe der UN-Nummer 1203 (ESSENCE POUR MOTEURS D'AUTOMOBILES statt ESSENCE) auf der Grundlage der offiziellen Benennung für die Beförderung gemäß Tabelle C in Unterabschnitt 3.2.3.2 vorgeschlagen.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2.</w:t>
      </w:r>
      <w:r w:rsidRPr="002E745D">
        <w:rPr>
          <w:lang w:eastAsia="en-US"/>
        </w:rPr>
        <w:tab/>
        <w:t xml:space="preserve">Eine Analyse des Sekretariats hat ergeben, dass die korrekte offiziellen Benennung für die Beförderung „ESSENCE“ und nicht </w:t>
      </w:r>
      <w:r w:rsidRPr="002E745D">
        <w:rPr>
          <w:rFonts w:ascii="Arial" w:hAnsi="Arial" w:cs="Arial"/>
          <w:lang w:eastAsia="en-US"/>
        </w:rPr>
        <w:t>„</w:t>
      </w:r>
      <w:r w:rsidRPr="002E745D">
        <w:rPr>
          <w:lang w:eastAsia="en-US"/>
        </w:rPr>
        <w:t>ESSENCE POUR MOTEURS D’AUTOMOBILES“ lautet.</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3.</w:t>
      </w:r>
      <w:r w:rsidRPr="002E745D">
        <w:rPr>
          <w:lang w:eastAsia="en-US"/>
        </w:rPr>
        <w:tab/>
        <w:t>Daher sollte die offizielle Benennung für die Beförderung für die fünf Eintragungen zur UN-Nummer 1203 in der französischen Fassung der Tabelle C in Unterabschnitt 3.2.3.2 korrigiert werden.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4.</w:t>
      </w:r>
      <w:r w:rsidRPr="002E745D">
        <w:rPr>
          <w:lang w:eastAsia="en-US"/>
        </w:rPr>
        <w:tab/>
        <w:t>Die in den Änderungen 2019 der beigefügten Verordnung vorgesehene neue Eintragung zur UN-Nummer 1203 sollte ebenfalls wie folgt korrigiert werden: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val="fr-FR" w:eastAsia="en-US"/>
        </w:rPr>
      </w:pPr>
      <w:r w:rsidRPr="002E745D">
        <w:rPr>
          <w:rFonts w:ascii="Arial" w:hAnsi="Arial" w:cs="Arial"/>
          <w:lang w:val="fr-FR" w:eastAsia="en-US"/>
        </w:rPr>
        <w:t>„</w:t>
      </w:r>
      <w:r w:rsidRPr="002E745D">
        <w:rPr>
          <w:lang w:val="fr-FR" w:eastAsia="en-US"/>
        </w:rPr>
        <w:t xml:space="preserve">ESSENCE </w:t>
      </w:r>
      <w:r w:rsidRPr="002E745D">
        <w:rPr>
          <w:rFonts w:ascii="(Utiliser une police de caractè" w:hAnsi="(Utiliser une police de caractè"/>
          <w:dstrike/>
          <w:lang w:val="fr-FR" w:eastAsia="en-US"/>
        </w:rPr>
        <w:t>POUR MOTEURS D’AUTOMOBILES</w:t>
      </w:r>
      <w:r w:rsidRPr="002E745D">
        <w:rPr>
          <w:lang w:val="fr-FR" w:eastAsia="en-US"/>
        </w:rPr>
        <w:t xml:space="preserve"> CONTENANT PLUS DE 10</w:t>
      </w:r>
      <w:r w:rsidR="00DC18BD">
        <w:rPr>
          <w:lang w:val="fr-FR" w:eastAsia="en-US"/>
        </w:rPr>
        <w:t> </w:t>
      </w:r>
      <w:r w:rsidRPr="002E745D">
        <w:rPr>
          <w:lang w:val="fr-FR" w:eastAsia="en-US"/>
        </w:rPr>
        <w:t>% DE BENZÈNE</w:t>
      </w:r>
      <w:r w:rsidRPr="002E745D">
        <w:rPr>
          <w:rFonts w:ascii="Arial" w:hAnsi="Arial" w:cs="Arial"/>
          <w:lang w:val="fr-FR" w:eastAsia="en-US"/>
        </w:rPr>
        <w:t>“</w:t>
      </w:r>
      <w:r w:rsidRPr="002E745D">
        <w:rPr>
          <w:lang w:val="fr-FR" w:eastAsia="en-US"/>
        </w:rPr>
        <w:t>.</w:t>
      </w:r>
    </w:p>
    <w:p w:rsidR="002E745D" w:rsidRPr="002E745D" w:rsidRDefault="002E745D" w:rsidP="00DC18BD">
      <w:pPr>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2E745D">
        <w:rPr>
          <w:b/>
          <w:sz w:val="28"/>
          <w:lang w:val="fr-FR" w:eastAsia="en-US"/>
        </w:rPr>
        <w:tab/>
      </w:r>
      <w:r w:rsidRPr="002E745D">
        <w:rPr>
          <w:b/>
          <w:sz w:val="28"/>
          <w:lang w:val="fr-FR" w:eastAsia="en-US"/>
        </w:rPr>
        <w:tab/>
      </w:r>
      <w:r w:rsidRPr="002E745D">
        <w:rPr>
          <w:b/>
          <w:sz w:val="28"/>
          <w:lang w:eastAsia="en-US"/>
        </w:rPr>
        <w:t>Ergänzungen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5.</w:t>
      </w:r>
      <w:r w:rsidRPr="002E745D">
        <w:rPr>
          <w:lang w:eastAsia="en-US"/>
        </w:rPr>
        <w:tab/>
        <w:t>Die obigen Absätze veranlassten die französische Delegation zu einem umfassenden Vergleich der Tabelle A in Abschnitt 3.2.1 und der Tabelle C in Unterabschnitt 3.2.3.2.</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6.</w:t>
      </w:r>
      <w:r w:rsidRPr="002E745D">
        <w:rPr>
          <w:lang w:eastAsia="en-US"/>
        </w:rPr>
        <w:tab/>
        <w:t xml:space="preserve">Dieser Vergleich ergab eine ähnliche Unstimmigkeit in der </w:t>
      </w:r>
      <w:r w:rsidRPr="002E745D">
        <w:rPr>
          <w:b/>
          <w:u w:val="single"/>
          <w:lang w:eastAsia="en-US"/>
        </w:rPr>
        <w:t>französischen Fassung</w:t>
      </w:r>
      <w:r w:rsidRPr="002E745D">
        <w:rPr>
          <w:lang w:eastAsia="en-US"/>
        </w:rPr>
        <w:t xml:space="preserve"> der beigefügten Verordnung für die Eintragung zur UN-Nummer 1177, und zwar in folgender Form:</w:t>
      </w:r>
    </w:p>
    <w:p w:rsidR="002E745D" w:rsidRPr="002E745D" w:rsidRDefault="002E745D" w:rsidP="00DC18BD">
      <w:pPr>
        <w:widowControl/>
        <w:tabs>
          <w:tab w:val="left" w:pos="1701"/>
        </w:tabs>
        <w:suppressAutoHyphens/>
        <w:overflowPunct/>
        <w:autoSpaceDE/>
        <w:autoSpaceDN/>
        <w:adjustRightInd/>
        <w:spacing w:after="120" w:line="240" w:lineRule="atLeast"/>
        <w:ind w:left="1701" w:right="1134" w:hanging="170"/>
        <w:textAlignment w:val="auto"/>
        <w:rPr>
          <w:lang w:val="fr-FR" w:eastAsia="en-US"/>
        </w:rPr>
      </w:pPr>
      <w:r w:rsidRPr="002E745D">
        <w:rPr>
          <w:lang w:val="fr-FR" w:eastAsia="en-US"/>
        </w:rPr>
        <w:t>Tabelle A: UN-</w:t>
      </w:r>
      <w:proofErr w:type="spellStart"/>
      <w:r w:rsidRPr="002E745D">
        <w:rPr>
          <w:lang w:val="fr-FR" w:eastAsia="en-US"/>
        </w:rPr>
        <w:t>Nummer</w:t>
      </w:r>
      <w:proofErr w:type="spellEnd"/>
      <w:r w:rsidRPr="002E745D">
        <w:rPr>
          <w:lang w:val="fr-FR" w:eastAsia="en-US"/>
        </w:rPr>
        <w:t xml:space="preserve"> 1177: </w:t>
      </w:r>
      <w:r w:rsidRPr="002E745D">
        <w:rPr>
          <w:rFonts w:ascii="Arial" w:hAnsi="Arial" w:cs="Arial"/>
          <w:lang w:val="fr-FR" w:eastAsia="en-US"/>
        </w:rPr>
        <w:t>„</w:t>
      </w:r>
      <w:r w:rsidRPr="002E745D">
        <w:rPr>
          <w:lang w:val="fr-FR" w:eastAsia="en-US"/>
        </w:rPr>
        <w:t>ACÉTATE DE 2 ÉTHYLBUTYLE</w:t>
      </w:r>
      <w:r w:rsidRPr="002E745D">
        <w:rPr>
          <w:rFonts w:ascii="Arial" w:hAnsi="Arial" w:cs="Arial"/>
          <w:lang w:val="fr-FR" w:eastAsia="en-US"/>
        </w:rPr>
        <w:t>“</w:t>
      </w:r>
    </w:p>
    <w:p w:rsidR="002E745D" w:rsidRPr="002E745D" w:rsidRDefault="002E745D" w:rsidP="00DC18BD">
      <w:pPr>
        <w:widowControl/>
        <w:tabs>
          <w:tab w:val="left" w:pos="1701"/>
        </w:tabs>
        <w:suppressAutoHyphens/>
        <w:overflowPunct/>
        <w:autoSpaceDE/>
        <w:autoSpaceDN/>
        <w:adjustRightInd/>
        <w:spacing w:after="120" w:line="240" w:lineRule="atLeast"/>
        <w:ind w:left="1701" w:right="1134" w:hanging="170"/>
        <w:textAlignment w:val="auto"/>
        <w:rPr>
          <w:lang w:val="fr-FR" w:eastAsia="en-US"/>
        </w:rPr>
      </w:pPr>
      <w:r w:rsidRPr="002E745D">
        <w:rPr>
          <w:lang w:val="fr-FR" w:eastAsia="en-US"/>
        </w:rPr>
        <w:t>Tabelle C: UN-</w:t>
      </w:r>
      <w:proofErr w:type="spellStart"/>
      <w:r w:rsidRPr="002E745D">
        <w:rPr>
          <w:lang w:val="fr-FR" w:eastAsia="en-US"/>
        </w:rPr>
        <w:t>Nummer</w:t>
      </w:r>
      <w:proofErr w:type="spellEnd"/>
      <w:r w:rsidRPr="002E745D">
        <w:rPr>
          <w:lang w:val="fr-FR" w:eastAsia="en-US"/>
        </w:rPr>
        <w:t xml:space="preserve"> 1177: „ACÉTATE D’ÉTHYLBUTYLE“</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7.</w:t>
      </w:r>
      <w:r w:rsidRPr="002E745D">
        <w:rPr>
          <w:lang w:eastAsia="en-US"/>
        </w:rPr>
        <w:tab/>
        <w:t>Die korrekte offizielle Benennung für die Beförderung lautet wohl wie in Tabelle A angegeben.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8.</w:t>
      </w:r>
      <w:r w:rsidRPr="002E745D">
        <w:rPr>
          <w:lang w:eastAsia="en-US"/>
        </w:rPr>
        <w:tab/>
        <w:t xml:space="preserve">Eine gemeinsame Überprüfung der </w:t>
      </w:r>
      <w:r w:rsidRPr="002E745D">
        <w:rPr>
          <w:b/>
          <w:u w:val="single"/>
          <w:lang w:eastAsia="en-US"/>
        </w:rPr>
        <w:t>englischen und französischen Fassung</w:t>
      </w:r>
      <w:r w:rsidRPr="002E745D">
        <w:rPr>
          <w:lang w:eastAsia="en-US"/>
        </w:rPr>
        <w:t xml:space="preserve"> der Tabellen A und C ergab eine Reihe von Unstimmigkeiten zwischen diesen beiden Tabellen. Diese Unstimmigkeiten sind in den Absätzen 9 und 10 aufgeführt.</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9.</w:t>
      </w:r>
      <w:r w:rsidRPr="002E745D">
        <w:rPr>
          <w:lang w:eastAsia="en-US"/>
        </w:rPr>
        <w:tab/>
        <w:t xml:space="preserve">Bei den Einträgen der folgenden Tabelle steht in Spalte (8) der Tabelle A ein „T“, während diese Einträge in der Tabelle C nicht enthalten sind: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7"/>
        <w:gridCol w:w="6237"/>
        <w:gridCol w:w="1558"/>
      </w:tblGrid>
      <w:tr w:rsidR="002E745D" w:rsidRPr="002E745D" w:rsidTr="00EA05A2">
        <w:trPr>
          <w:jc w:val="center"/>
        </w:trPr>
        <w:tc>
          <w:tcPr>
            <w:tcW w:w="127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 w:firstLine="0"/>
              <w:jc w:val="center"/>
              <w:textAlignment w:val="auto"/>
              <w:rPr>
                <w:lang w:val="fr-FR" w:eastAsia="en-US"/>
              </w:rPr>
            </w:pPr>
            <w:r w:rsidRPr="002E745D">
              <w:rPr>
                <w:lang w:eastAsia="en-US"/>
              </w:rPr>
              <w:t>UN-Nr.</w:t>
            </w:r>
          </w:p>
        </w:tc>
        <w:tc>
          <w:tcPr>
            <w:tcW w:w="623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center"/>
              <w:textAlignment w:val="auto"/>
              <w:rPr>
                <w:lang w:eastAsia="en-US"/>
              </w:rPr>
            </w:pPr>
            <w:r w:rsidRPr="002E745D">
              <w:rPr>
                <w:lang w:eastAsia="en-US"/>
              </w:rPr>
              <w:t>Offizielle Benennung für die Beförderung</w:t>
            </w:r>
          </w:p>
        </w:tc>
        <w:tc>
          <w:tcPr>
            <w:tcW w:w="1558"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center"/>
              <w:textAlignment w:val="auto"/>
              <w:rPr>
                <w:lang w:val="fr-FR" w:eastAsia="en-US"/>
              </w:rPr>
            </w:pPr>
            <w:r w:rsidRPr="002E745D">
              <w:rPr>
                <w:lang w:eastAsia="en-US"/>
              </w:rPr>
              <w:t>Anmerkungen</w:t>
            </w:r>
          </w:p>
        </w:tc>
      </w:tr>
      <w:tr w:rsidR="002E745D" w:rsidRPr="002E745D" w:rsidTr="00EA05A2">
        <w:trPr>
          <w:jc w:val="center"/>
        </w:trPr>
        <w:tc>
          <w:tcPr>
            <w:tcW w:w="127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1153, VG II</w:t>
            </w:r>
          </w:p>
        </w:tc>
        <w:tc>
          <w:tcPr>
            <w:tcW w:w="623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ÉTHER DIÉTHYLIQUE DE L'ÉTHYLÈNEGLYCOL</w:t>
            </w:r>
          </w:p>
        </w:tc>
        <w:tc>
          <w:tcPr>
            <w:tcW w:w="1558"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left"/>
              <w:textAlignment w:val="auto"/>
              <w:rPr>
                <w:lang w:val="fr-FR" w:eastAsia="en-US"/>
              </w:rPr>
            </w:pPr>
          </w:p>
        </w:tc>
      </w:tr>
      <w:tr w:rsidR="002E745D" w:rsidRPr="002E745D" w:rsidTr="00EA05A2">
        <w:trPr>
          <w:jc w:val="center"/>
        </w:trPr>
        <w:tc>
          <w:tcPr>
            <w:tcW w:w="127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2074</w:t>
            </w:r>
          </w:p>
        </w:tc>
        <w:tc>
          <w:tcPr>
            <w:tcW w:w="623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ACRYLAMIDE SOLIDE</w:t>
            </w:r>
          </w:p>
        </w:tc>
        <w:tc>
          <w:tcPr>
            <w:tcW w:w="1558"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left"/>
              <w:textAlignment w:val="auto"/>
              <w:rPr>
                <w:lang w:val="fr-FR" w:eastAsia="en-US"/>
              </w:rPr>
            </w:pPr>
          </w:p>
        </w:tc>
      </w:tr>
      <w:tr w:rsidR="002E745D" w:rsidRPr="002E745D" w:rsidTr="00EA05A2">
        <w:trPr>
          <w:trHeight w:val="1467"/>
          <w:jc w:val="center"/>
        </w:trPr>
        <w:tc>
          <w:tcPr>
            <w:tcW w:w="127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3468</w:t>
            </w:r>
          </w:p>
        </w:tc>
        <w:tc>
          <w:tcPr>
            <w:tcW w:w="6237"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HYDROGÈNE DANS UN DISPOSITIF DE STOCKAGE À HYDRURE MÉTALLIQUE ou HYDROGÈNE DANS UN DISPOSITIF DE STOCKAGE À HYDRURE MÉTALLIQUE CONTENU DANS UN ÉQUIPEMENT ou HYDROGÈNE DANS UN DISPOSITIF DE STOCKAGE À HYDRURE MÉTALLIQUE EMBALLÉ AVEC UN ÉQUIPEMENT</w:t>
            </w:r>
          </w:p>
        </w:tc>
        <w:tc>
          <w:tcPr>
            <w:tcW w:w="1558" w:type="dxa"/>
            <w:shd w:val="clear" w:color="auto" w:fill="auto"/>
            <w:vAlign w:val="center"/>
          </w:tcPr>
          <w:p w:rsidR="002E745D" w:rsidRPr="002E745D" w:rsidRDefault="002E745D" w:rsidP="00DC18BD">
            <w:pPr>
              <w:widowControl/>
              <w:tabs>
                <w:tab w:val="left" w:pos="1701"/>
              </w:tabs>
              <w:suppressAutoHyphens/>
              <w:overflowPunct/>
              <w:autoSpaceDE/>
              <w:autoSpaceDN/>
              <w:adjustRightInd/>
              <w:spacing w:after="120" w:line="240" w:lineRule="atLeast"/>
              <w:ind w:left="0" w:right="136" w:firstLine="0"/>
              <w:jc w:val="left"/>
              <w:textAlignment w:val="auto"/>
              <w:rPr>
                <w:lang w:eastAsia="en-US"/>
              </w:rPr>
            </w:pPr>
            <w:r w:rsidRPr="002E745D">
              <w:rPr>
                <w:lang w:eastAsia="en-US"/>
              </w:rPr>
              <w:t>Die Angabe „T“ in Spalte (8) der Tabelle A ist inkonsistent.</w:t>
            </w:r>
          </w:p>
        </w:tc>
      </w:tr>
    </w:tbl>
    <w:p w:rsidR="002E745D" w:rsidRPr="002E745D" w:rsidRDefault="002E745D" w:rsidP="00DC18BD">
      <w:pPr>
        <w:keepNext/>
        <w:keepLines/>
        <w:widowControl/>
        <w:tabs>
          <w:tab w:val="left" w:pos="1701"/>
        </w:tabs>
        <w:suppressAutoHyphens/>
        <w:overflowPunct/>
        <w:autoSpaceDE/>
        <w:autoSpaceDN/>
        <w:adjustRightInd/>
        <w:spacing w:before="120" w:after="120" w:line="240" w:lineRule="atLeast"/>
        <w:ind w:right="1134" w:firstLine="0"/>
        <w:textAlignment w:val="auto"/>
        <w:rPr>
          <w:lang w:eastAsia="en-US"/>
        </w:rPr>
      </w:pPr>
      <w:r w:rsidRPr="002E745D">
        <w:rPr>
          <w:lang w:eastAsia="en-US"/>
        </w:rPr>
        <w:lastRenderedPageBreak/>
        <w:t>10.</w:t>
      </w:r>
      <w:r w:rsidRPr="002E745D">
        <w:rPr>
          <w:lang w:eastAsia="en-US"/>
        </w:rPr>
        <w:tab/>
        <w:t>Bei den Einträgen der folgenden Tabelle steht in Spalte (8) der Tabelle A kein „T“, während diese Einträge in der Tabelle C enthalten sind:</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2"/>
        <w:gridCol w:w="7751"/>
      </w:tblGrid>
      <w:tr w:rsidR="002E745D" w:rsidRPr="002E745D" w:rsidTr="00EA05A2">
        <w:trPr>
          <w:jc w:val="center"/>
        </w:trPr>
        <w:tc>
          <w:tcPr>
            <w:tcW w:w="1232" w:type="dxa"/>
            <w:shd w:val="clear" w:color="auto" w:fill="auto"/>
            <w:vAlign w:val="center"/>
          </w:tcPr>
          <w:p w:rsidR="002E745D" w:rsidRPr="002E745D" w:rsidRDefault="002E745D" w:rsidP="002E745D">
            <w:pPr>
              <w:keepNext/>
              <w:keepLines/>
              <w:widowControl/>
              <w:suppressAutoHyphens/>
              <w:overflowPunct/>
              <w:autoSpaceDE/>
              <w:autoSpaceDN/>
              <w:adjustRightInd/>
              <w:spacing w:after="120" w:line="240" w:lineRule="atLeast"/>
              <w:ind w:left="0" w:right="13" w:firstLine="0"/>
              <w:jc w:val="center"/>
              <w:textAlignment w:val="auto"/>
              <w:rPr>
                <w:lang w:val="fr-FR" w:eastAsia="en-US"/>
              </w:rPr>
            </w:pPr>
            <w:r w:rsidRPr="002E745D">
              <w:rPr>
                <w:lang w:eastAsia="en-US"/>
              </w:rPr>
              <w:t>UN-Nr.</w:t>
            </w:r>
          </w:p>
        </w:tc>
        <w:tc>
          <w:tcPr>
            <w:tcW w:w="7751" w:type="dxa"/>
            <w:shd w:val="clear" w:color="auto" w:fill="auto"/>
            <w:vAlign w:val="center"/>
          </w:tcPr>
          <w:p w:rsidR="002E745D" w:rsidRPr="002E745D" w:rsidRDefault="002E745D" w:rsidP="002E745D">
            <w:pPr>
              <w:keepNext/>
              <w:keepLines/>
              <w:widowControl/>
              <w:suppressAutoHyphens/>
              <w:overflowPunct/>
              <w:autoSpaceDE/>
              <w:autoSpaceDN/>
              <w:adjustRightInd/>
              <w:spacing w:after="120" w:line="240" w:lineRule="atLeast"/>
              <w:ind w:left="0" w:right="136" w:firstLine="0"/>
              <w:jc w:val="center"/>
              <w:textAlignment w:val="auto"/>
              <w:rPr>
                <w:lang w:eastAsia="en-US"/>
              </w:rPr>
            </w:pPr>
            <w:r w:rsidRPr="002E745D">
              <w:rPr>
                <w:lang w:eastAsia="en-US"/>
              </w:rPr>
              <w:t>Offizielle Benennung für die Beförderung</w:t>
            </w:r>
          </w:p>
        </w:tc>
      </w:tr>
      <w:tr w:rsidR="002E745D" w:rsidRPr="002E745D" w:rsidTr="00EA05A2">
        <w:trPr>
          <w:jc w:val="center"/>
        </w:trPr>
        <w:tc>
          <w:tcPr>
            <w:tcW w:w="1232" w:type="dxa"/>
            <w:shd w:val="clear" w:color="auto" w:fill="auto"/>
            <w:vAlign w:val="center"/>
          </w:tcPr>
          <w:p w:rsidR="002E745D" w:rsidRPr="002E745D" w:rsidRDefault="002E745D" w:rsidP="002E745D">
            <w:pPr>
              <w:keepNext/>
              <w:keepLines/>
              <w:widowControl/>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2288</w:t>
            </w:r>
          </w:p>
        </w:tc>
        <w:tc>
          <w:tcPr>
            <w:tcW w:w="7751" w:type="dxa"/>
            <w:shd w:val="clear" w:color="auto" w:fill="auto"/>
            <w:vAlign w:val="center"/>
          </w:tcPr>
          <w:p w:rsidR="002E745D" w:rsidRPr="002E745D" w:rsidRDefault="002E745D" w:rsidP="002E745D">
            <w:pPr>
              <w:keepNext/>
              <w:keepLines/>
              <w:widowControl/>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ISOHEXÈNES</w:t>
            </w:r>
          </w:p>
        </w:tc>
      </w:tr>
      <w:tr w:rsidR="002E745D" w:rsidRPr="002E745D" w:rsidTr="00EA05A2">
        <w:trPr>
          <w:jc w:val="center"/>
        </w:trPr>
        <w:tc>
          <w:tcPr>
            <w:tcW w:w="1232"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2582</w:t>
            </w:r>
          </w:p>
        </w:tc>
        <w:tc>
          <w:tcPr>
            <w:tcW w:w="7751"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CHLORURE DE FER III EN SOLUTION</w:t>
            </w:r>
          </w:p>
        </w:tc>
      </w:tr>
      <w:tr w:rsidR="002E745D" w:rsidRPr="002E745D" w:rsidTr="00EA05A2">
        <w:trPr>
          <w:jc w:val="center"/>
        </w:trPr>
        <w:tc>
          <w:tcPr>
            <w:tcW w:w="1232"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2785</w:t>
            </w:r>
          </w:p>
        </w:tc>
        <w:tc>
          <w:tcPr>
            <w:tcW w:w="7751"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4-THIAPENTANAL (MÉTHYLTHIO-3 PROPANAL)</w:t>
            </w:r>
          </w:p>
        </w:tc>
      </w:tr>
      <w:tr w:rsidR="002E745D" w:rsidRPr="002E745D" w:rsidTr="00EA05A2">
        <w:trPr>
          <w:jc w:val="center"/>
        </w:trPr>
        <w:tc>
          <w:tcPr>
            <w:tcW w:w="1232"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2984</w:t>
            </w:r>
          </w:p>
        </w:tc>
        <w:tc>
          <w:tcPr>
            <w:tcW w:w="7751"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PEROXYDE D'HYDROGÈNE EN SOLUTION AQUEUSE contenant au minimum 8 %, mais moins de 20 % de peroxyde d'hydrogène (stabilisée selon les besoins)</w:t>
            </w:r>
          </w:p>
        </w:tc>
      </w:tr>
      <w:tr w:rsidR="002E745D" w:rsidRPr="002E745D" w:rsidTr="00EA05A2">
        <w:trPr>
          <w:jc w:val="center"/>
        </w:trPr>
        <w:tc>
          <w:tcPr>
            <w:tcW w:w="1232"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29" w:firstLine="0"/>
              <w:jc w:val="center"/>
              <w:textAlignment w:val="auto"/>
              <w:rPr>
                <w:lang w:val="fr-FR" w:eastAsia="en-US"/>
              </w:rPr>
            </w:pPr>
            <w:r w:rsidRPr="002E745D">
              <w:rPr>
                <w:lang w:val="fr-FR" w:eastAsia="en-US"/>
              </w:rPr>
              <w:t>3429</w:t>
            </w:r>
          </w:p>
        </w:tc>
        <w:tc>
          <w:tcPr>
            <w:tcW w:w="7751" w:type="dxa"/>
            <w:shd w:val="clear" w:color="auto" w:fill="auto"/>
            <w:vAlign w:val="center"/>
          </w:tcPr>
          <w:p w:rsidR="002E745D" w:rsidRPr="002E745D" w:rsidRDefault="002E745D" w:rsidP="002E745D">
            <w:pPr>
              <w:widowControl/>
              <w:suppressAutoHyphens/>
              <w:overflowPunct/>
              <w:autoSpaceDE/>
              <w:autoSpaceDN/>
              <w:adjustRightInd/>
              <w:spacing w:after="120" w:line="240" w:lineRule="atLeast"/>
              <w:ind w:left="0" w:right="136" w:firstLine="0"/>
              <w:jc w:val="left"/>
              <w:textAlignment w:val="auto"/>
              <w:rPr>
                <w:lang w:val="fr-FR" w:eastAsia="en-US"/>
              </w:rPr>
            </w:pPr>
            <w:r w:rsidRPr="002E745D">
              <w:rPr>
                <w:lang w:val="fr-FR" w:eastAsia="en-US"/>
              </w:rPr>
              <w:t>CHLOROTOLUIDINES LIQUIDES</w:t>
            </w:r>
          </w:p>
        </w:tc>
      </w:tr>
    </w:tbl>
    <w:p w:rsidR="002E745D" w:rsidRPr="002E745D" w:rsidRDefault="002E745D" w:rsidP="00DC18BD">
      <w:pPr>
        <w:widowControl/>
        <w:tabs>
          <w:tab w:val="left" w:pos="1701"/>
        </w:tabs>
        <w:suppressAutoHyphens/>
        <w:overflowPunct/>
        <w:autoSpaceDE/>
        <w:autoSpaceDN/>
        <w:adjustRightInd/>
        <w:spacing w:before="120" w:after="120" w:line="240" w:lineRule="atLeast"/>
        <w:ind w:right="1134" w:firstLine="0"/>
        <w:textAlignment w:val="auto"/>
        <w:rPr>
          <w:lang w:eastAsia="en-US"/>
        </w:rPr>
      </w:pPr>
      <w:r w:rsidRPr="002E745D">
        <w:rPr>
          <w:lang w:eastAsia="en-US"/>
        </w:rPr>
        <w:t>11.</w:t>
      </w:r>
      <w:r w:rsidRPr="002E745D">
        <w:rPr>
          <w:lang w:eastAsia="en-US"/>
        </w:rPr>
        <w:tab/>
      </w:r>
      <w:r w:rsidRPr="002E745D">
        <w:rPr>
          <w:b/>
          <w:bCs/>
          <w:u w:val="single"/>
          <w:lang w:eastAsia="en-US"/>
        </w:rPr>
        <w:t>Die englische und französische Fassung</w:t>
      </w:r>
      <w:r w:rsidRPr="002E745D">
        <w:rPr>
          <w:bCs/>
          <w:lang w:eastAsia="en-US"/>
        </w:rPr>
        <w:t xml:space="preserve"> der Spalte (8) der Tabelle A enthalten für den Stoff der UN-Nummer 3456, HYDROGENATE DE NITROSYLE SOLIDE eine Angabe „T3“, die anscheinend keine Bedeutung hat.</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12.</w:t>
      </w:r>
      <w:r w:rsidRPr="002E745D">
        <w:rPr>
          <w:lang w:eastAsia="en-US"/>
        </w:rPr>
        <w:tab/>
        <w:t>Schließlich wirft der Eintrag mit der Stoffnummer 9000 das folgende Problem auf, das in der französischen, englischen und deutschen Fassung (Version 2015) der beigefügten Verordnung zu finden ist:</w:t>
      </w:r>
    </w:p>
    <w:p w:rsidR="002E745D" w:rsidRPr="002E745D" w:rsidRDefault="002E745D" w:rsidP="00DC18BD">
      <w:pPr>
        <w:pStyle w:val="ListParagraph"/>
        <w:widowControl/>
        <w:numPr>
          <w:ilvl w:val="0"/>
          <w:numId w:val="6"/>
        </w:numPr>
        <w:suppressAutoHyphens/>
        <w:overflowPunct/>
        <w:autoSpaceDE/>
        <w:autoSpaceDN/>
        <w:adjustRightInd/>
        <w:spacing w:after="120" w:line="240" w:lineRule="atLeast"/>
        <w:ind w:right="1134"/>
        <w:textAlignment w:val="auto"/>
        <w:rPr>
          <w:lang w:eastAsia="en-US"/>
        </w:rPr>
      </w:pPr>
      <w:r w:rsidRPr="002E745D">
        <w:rPr>
          <w:lang w:eastAsia="en-US"/>
        </w:rPr>
        <w:t>In den Tabellen A und B heißt es: 9000, AMMONIAK, TIEFGEKÜHLT</w:t>
      </w:r>
    </w:p>
    <w:p w:rsidR="002E745D" w:rsidRPr="002E745D" w:rsidRDefault="002E745D" w:rsidP="00DC18BD">
      <w:pPr>
        <w:pStyle w:val="ListParagraph"/>
        <w:widowControl/>
        <w:numPr>
          <w:ilvl w:val="0"/>
          <w:numId w:val="6"/>
        </w:numPr>
        <w:suppressAutoHyphens/>
        <w:overflowPunct/>
        <w:autoSpaceDE/>
        <w:autoSpaceDN/>
        <w:adjustRightInd/>
        <w:spacing w:after="120" w:line="240" w:lineRule="atLeast"/>
        <w:ind w:right="1134"/>
        <w:textAlignment w:val="auto"/>
        <w:rPr>
          <w:lang w:eastAsia="en-US"/>
        </w:rPr>
      </w:pPr>
      <w:r w:rsidRPr="002E745D">
        <w:rPr>
          <w:lang w:eastAsia="en-US"/>
        </w:rPr>
        <w:t>In der Tabelle C heißt es: 9000, AMMONIAK, WASSERFREI, TIEFGEKÜHLT</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13.</w:t>
      </w:r>
      <w:r w:rsidRPr="002E745D">
        <w:rPr>
          <w:lang w:eastAsia="en-US"/>
        </w:rPr>
        <w:tab/>
        <w:t>Die korrekte offizielle Benennung für die Beförderung lautet wohl wie in Tabelle C angegeben. Es sei darauf hingewiesen, dass im ADNR 2007 die offizielle Benennung für die Beförderung in den drei Tabellen einheitlich war: AMMONIAK, WASSERFREI, TIEFGEKÜHLT.</w:t>
      </w:r>
    </w:p>
    <w:p w:rsidR="002E745D" w:rsidRPr="002E745D" w:rsidRDefault="002E745D" w:rsidP="00DC18B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2E745D">
        <w:rPr>
          <w:b/>
          <w:sz w:val="28"/>
          <w:lang w:eastAsia="en-US"/>
        </w:rPr>
        <w:tab/>
      </w:r>
      <w:r w:rsidRPr="002E745D">
        <w:rPr>
          <w:b/>
          <w:sz w:val="28"/>
          <w:lang w:eastAsia="en-US"/>
        </w:rPr>
        <w:tab/>
        <w:t>Weiteres Vorgehen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14.</w:t>
      </w:r>
      <w:r w:rsidRPr="002E745D">
        <w:rPr>
          <w:lang w:eastAsia="en-US"/>
        </w:rPr>
        <w:tab/>
        <w:t>Der Ausschuss wird ersucht, sich zum weiteren Vorgehen bezüglich der in den Absätzen 3, 4, 6, 7, 9, 10, 11, 12 und 13 enthaltenen Bemerkungen und Vorschläge zu äußern.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15.</w:t>
      </w:r>
      <w:r w:rsidRPr="002E745D">
        <w:rPr>
          <w:lang w:eastAsia="en-US"/>
        </w:rPr>
        <w:tab/>
        <w:t>Der Ausschuss könnte vorher den Rat der informellen Arbeitsgruppe „Stoffe“ einholen.</w:t>
      </w:r>
    </w:p>
    <w:p w:rsidR="002E745D" w:rsidRPr="002E745D" w:rsidRDefault="002E745D" w:rsidP="00DC18BD">
      <w:pPr>
        <w:widowControl/>
        <w:tabs>
          <w:tab w:val="left" w:pos="1701"/>
        </w:tabs>
        <w:suppressAutoHyphens/>
        <w:overflowPunct/>
        <w:autoSpaceDE/>
        <w:autoSpaceDN/>
        <w:adjustRightInd/>
        <w:spacing w:after="120" w:line="240" w:lineRule="atLeast"/>
        <w:ind w:right="1134" w:firstLine="0"/>
        <w:textAlignment w:val="auto"/>
        <w:rPr>
          <w:lang w:eastAsia="en-US"/>
        </w:rPr>
      </w:pPr>
      <w:r w:rsidRPr="002E745D">
        <w:rPr>
          <w:lang w:eastAsia="en-US"/>
        </w:rPr>
        <w:t>16.</w:t>
      </w:r>
      <w:r w:rsidRPr="002E745D">
        <w:rPr>
          <w:lang w:eastAsia="en-US"/>
        </w:rPr>
        <w:tab/>
        <w:t>Vorbehaltlich der Annahme der vorgeschlagenen Änderungen wird das Sekretariat ersucht, zu prüfen, welche Anpassungen lediglich Korrekturen und welche Änderungen sind.</w:t>
      </w:r>
    </w:p>
    <w:p w:rsidR="00751575" w:rsidRPr="000F4DD4" w:rsidRDefault="000F4DD4" w:rsidP="00DC18BD">
      <w:pPr>
        <w:keepNext/>
        <w:keepLines/>
        <w:widowControl/>
        <w:tabs>
          <w:tab w:val="right" w:pos="851"/>
          <w:tab w:val="left" w:pos="1701"/>
        </w:tabs>
        <w:suppressAutoHyphens/>
        <w:overflowPunct/>
        <w:autoSpaceDE/>
        <w:autoSpaceDN/>
        <w:adjustRightInd/>
        <w:spacing w:before="360" w:after="240" w:line="300" w:lineRule="exact"/>
        <w:ind w:right="1134"/>
        <w:jc w:val="center"/>
        <w:textAlignment w:val="auto"/>
      </w:pPr>
      <w:r w:rsidRPr="000F4DD4">
        <w:t>***</w:t>
      </w:r>
    </w:p>
    <w:sectPr w:rsidR="00751575" w:rsidRPr="000F4DD4"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45F" w:rsidRDefault="0005645F" w:rsidP="0011702A">
      <w:r>
        <w:separator/>
      </w:r>
    </w:p>
  </w:endnote>
  <w:endnote w:type="continuationSeparator" w:id="0">
    <w:p w:rsidR="0005645F" w:rsidRDefault="0005645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C9" w:rsidRPr="00E83D21" w:rsidRDefault="00E83D21" w:rsidP="00404EC9">
    <w:pPr>
      <w:widowControl/>
      <w:suppressAutoHyphens/>
      <w:overflowPunct/>
      <w:autoSpaceDE/>
      <w:autoSpaceDN/>
      <w:adjustRightInd/>
      <w:ind w:left="0" w:firstLine="0"/>
      <w:jc w:val="right"/>
      <w:textAlignment w:val="auto"/>
      <w:rPr>
        <w:lang w:val="fr-FR"/>
      </w:rPr>
    </w:pPr>
    <w:r w:rsidRPr="00E83D21">
      <w:rPr>
        <w:rFonts w:ascii="Arial" w:hAnsi="Arial"/>
        <w:noProof/>
        <w:snapToGrid w:val="0"/>
        <w:sz w:val="12"/>
        <w:szCs w:val="24"/>
        <w:lang w:val="fr-FR"/>
      </w:rPr>
      <w:t>m</w:t>
    </w:r>
    <w:r w:rsidR="00404EC9" w:rsidRPr="00E83D21">
      <w:rPr>
        <w:rFonts w:ascii="Arial" w:hAnsi="Arial"/>
        <w:noProof/>
        <w:snapToGrid w:val="0"/>
        <w:sz w:val="12"/>
        <w:szCs w:val="24"/>
        <w:lang w:val="fr-FR"/>
      </w:rPr>
      <w:t>m</w:t>
    </w:r>
    <w:r w:rsidRPr="00E83D21">
      <w:rPr>
        <w:rFonts w:ascii="Arial" w:hAnsi="Arial"/>
        <w:noProof/>
        <w:snapToGrid w:val="0"/>
        <w:sz w:val="12"/>
        <w:szCs w:val="24"/>
        <w:lang w:val="fr-FR"/>
      </w:rPr>
      <w:t>_ba</w:t>
    </w:r>
    <w:r w:rsidR="00404EC9" w:rsidRPr="00E83D21">
      <w:rPr>
        <w:rFonts w:ascii="Arial" w:hAnsi="Arial"/>
        <w:noProof/>
        <w:snapToGrid w:val="0"/>
        <w:sz w:val="12"/>
        <w:szCs w:val="24"/>
        <w:lang w:val="fr-FR"/>
      </w:rPr>
      <w:t>/adn_wp15_ac2_2018_</w:t>
    </w:r>
    <w:r w:rsidR="002E745D">
      <w:rPr>
        <w:rFonts w:ascii="Arial" w:hAnsi="Arial"/>
        <w:noProof/>
        <w:snapToGrid w:val="0"/>
        <w:sz w:val="12"/>
        <w:szCs w:val="24"/>
        <w:lang w:val="fr-FR"/>
      </w:rPr>
      <w:t>41</w:t>
    </w:r>
    <w:r w:rsidR="00404EC9" w:rsidRPr="00E83D21">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67A" w:rsidRPr="000F4DD4" w:rsidRDefault="00697F7B">
    <w:pPr>
      <w:pStyle w:val="Footer"/>
      <w:tabs>
        <w:tab w:val="clear" w:pos="9072"/>
        <w:tab w:val="left" w:pos="2634"/>
        <w:tab w:val="right" w:pos="9070"/>
      </w:tabs>
      <w:jc w:val="right"/>
      <w:rPr>
        <w:rFonts w:ascii="Arial" w:hAnsi="Arial"/>
        <w:noProof/>
        <w:sz w:val="12"/>
        <w:szCs w:val="24"/>
        <w:lang w:val="fr-FR"/>
      </w:rPr>
    </w:pPr>
    <w:r w:rsidRPr="000F4DD4">
      <w:rPr>
        <w:rFonts w:ascii="Arial" w:hAnsi="Arial"/>
        <w:noProof/>
        <w:sz w:val="12"/>
        <w:szCs w:val="24"/>
        <w:lang w:val="fr-FR"/>
      </w:rPr>
      <w:t>m</w:t>
    </w:r>
    <w:r w:rsidR="00F8067A" w:rsidRPr="000F4DD4">
      <w:rPr>
        <w:rFonts w:ascii="Arial" w:hAnsi="Arial"/>
        <w:noProof/>
        <w:sz w:val="12"/>
        <w:szCs w:val="24"/>
        <w:lang w:val="fr-FR"/>
      </w:rPr>
      <w:t>m</w:t>
    </w:r>
    <w:r w:rsidRPr="000F4DD4">
      <w:rPr>
        <w:rFonts w:ascii="Arial" w:hAnsi="Arial"/>
        <w:noProof/>
        <w:sz w:val="12"/>
        <w:szCs w:val="24"/>
        <w:lang w:val="fr-FR"/>
      </w:rPr>
      <w:t>_ba</w:t>
    </w:r>
    <w:r w:rsidR="00F8067A" w:rsidRPr="000F4DD4">
      <w:rPr>
        <w:rFonts w:ascii="Arial" w:hAnsi="Arial"/>
        <w:noProof/>
        <w:sz w:val="12"/>
        <w:szCs w:val="24"/>
        <w:lang w:val="fr-FR"/>
      </w:rPr>
      <w:t>/adn_wp15_ac2_2018_</w:t>
    </w:r>
    <w:r w:rsidR="002E745D">
      <w:rPr>
        <w:rFonts w:ascii="Arial" w:hAnsi="Arial"/>
        <w:noProof/>
        <w:sz w:val="12"/>
        <w:szCs w:val="24"/>
        <w:lang w:val="fr-FR"/>
      </w:rPr>
      <w:t>41d</w:t>
    </w:r>
    <w:r w:rsidR="00F8067A" w:rsidRPr="000F4DD4">
      <w:rPr>
        <w:rFonts w:ascii="Arial" w:hAnsi="Arial"/>
        <w:noProof/>
        <w:sz w:val="12"/>
        <w:szCs w:val="24"/>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45F" w:rsidRDefault="0005645F" w:rsidP="0011702A">
      <w:r>
        <w:separator/>
      </w:r>
    </w:p>
  </w:footnote>
  <w:footnote w:type="continuationSeparator" w:id="0">
    <w:p w:rsidR="0005645F" w:rsidRDefault="0005645F" w:rsidP="0011702A">
      <w:r>
        <w:continuationSeparator/>
      </w:r>
    </w:p>
  </w:footnote>
  <w:footnote w:id="1">
    <w:p w:rsidR="002E745D" w:rsidRPr="002E745D" w:rsidRDefault="002E745D" w:rsidP="002E745D">
      <w:pPr>
        <w:pStyle w:val="FootnoteText"/>
        <w:tabs>
          <w:tab w:val="left" w:pos="284"/>
        </w:tabs>
        <w:rPr>
          <w:sz w:val="16"/>
          <w:szCs w:val="16"/>
        </w:rPr>
      </w:pPr>
      <w:r w:rsidRPr="002E745D">
        <w:rPr>
          <w:rStyle w:val="FootnoteReference"/>
          <w:sz w:val="16"/>
          <w:szCs w:val="16"/>
        </w:rPr>
        <w:t>*</w:t>
      </w:r>
      <w:r w:rsidRPr="002E745D">
        <w:rPr>
          <w:rStyle w:val="FootnoteReference"/>
          <w:sz w:val="16"/>
          <w:szCs w:val="16"/>
        </w:rPr>
        <w:tab/>
      </w:r>
      <w:r w:rsidRPr="002E745D">
        <w:rPr>
          <w:sz w:val="16"/>
          <w:szCs w:val="16"/>
        </w:rPr>
        <w:t xml:space="preserve">Von der UN-ECE in Englisch, Französisch und Russisch unter dem Aktenzeichen </w:t>
      </w:r>
      <w:r w:rsidR="00DC18BD">
        <w:rPr>
          <w:sz w:val="16"/>
          <w:szCs w:val="16"/>
        </w:rPr>
        <w:t>ECE/TRANS</w:t>
      </w:r>
      <w:r w:rsidRPr="002E745D">
        <w:rPr>
          <w:sz w:val="16"/>
          <w:szCs w:val="16"/>
        </w:rPr>
        <w:t>/WP.15/AC.2/2018/41 verteilt.</w:t>
      </w:r>
    </w:p>
  </w:footnote>
  <w:footnote w:id="2">
    <w:p w:rsidR="002E745D" w:rsidRPr="002E745D" w:rsidRDefault="002E745D" w:rsidP="002E745D">
      <w:pPr>
        <w:pStyle w:val="FootnoteText"/>
        <w:tabs>
          <w:tab w:val="left" w:pos="284"/>
        </w:tabs>
        <w:rPr>
          <w:sz w:val="16"/>
          <w:szCs w:val="16"/>
        </w:rPr>
      </w:pPr>
      <w:r w:rsidRPr="002E745D">
        <w:rPr>
          <w:rStyle w:val="FootnoteReference"/>
          <w:sz w:val="16"/>
          <w:szCs w:val="16"/>
          <w:lang w:eastAsia="en-US"/>
        </w:rPr>
        <w:t>**</w:t>
      </w:r>
      <w:r w:rsidRPr="002E745D">
        <w:rPr>
          <w:sz w:val="16"/>
          <w:szCs w:val="16"/>
        </w:rPr>
        <w:t xml:space="preserve"> </w:t>
      </w:r>
      <w:r w:rsidRPr="002E745D">
        <w:rPr>
          <w:sz w:val="16"/>
          <w:szCs w:val="16"/>
        </w:rPr>
        <w:tab/>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11545F" w:rsidRPr="000F4DD4">
      <w:rPr>
        <w:rFonts w:ascii="Arial" w:hAnsi="Arial"/>
        <w:snapToGrid w:val="0"/>
        <w:sz w:val="16"/>
        <w:szCs w:val="16"/>
        <w:lang w:val="en-US"/>
      </w:rPr>
      <w:t>2018</w:t>
    </w:r>
    <w:r w:rsidRPr="000F4DD4">
      <w:rPr>
        <w:rFonts w:ascii="Arial" w:hAnsi="Arial"/>
        <w:snapToGrid w:val="0"/>
        <w:sz w:val="16"/>
        <w:szCs w:val="16"/>
        <w:lang w:val="en-US"/>
      </w:rPr>
      <w:t>/</w:t>
    </w:r>
    <w:r w:rsidR="002E745D">
      <w:rPr>
        <w:rFonts w:ascii="Arial" w:hAnsi="Arial"/>
        <w:snapToGrid w:val="0"/>
        <w:sz w:val="16"/>
        <w:szCs w:val="16"/>
        <w:lang w:val="en-US"/>
      </w:rPr>
      <w:t>41</w:t>
    </w:r>
  </w:p>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rPr>
    </w:pPr>
    <w:r w:rsidRPr="000F4DD4">
      <w:rPr>
        <w:rFonts w:ascii="Arial" w:hAnsi="Arial"/>
        <w:snapToGrid w:val="0"/>
        <w:sz w:val="16"/>
        <w:szCs w:val="16"/>
      </w:rPr>
      <w:t xml:space="preserve">Seite </w:t>
    </w:r>
    <w:r w:rsidRPr="000F4DD4">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0F4DD4">
      <w:rPr>
        <w:rFonts w:ascii="Arial" w:hAnsi="Arial"/>
        <w:snapToGrid w:val="0"/>
        <w:sz w:val="16"/>
        <w:szCs w:val="16"/>
      </w:rPr>
      <w:fldChar w:fldCharType="separate"/>
    </w:r>
    <w:r w:rsidR="00982662">
      <w:rPr>
        <w:rFonts w:ascii="Arial" w:hAnsi="Arial"/>
        <w:noProof/>
        <w:snapToGrid w:val="0"/>
        <w:sz w:val="16"/>
        <w:szCs w:val="16"/>
      </w:rPr>
      <w:t>2</w:t>
    </w:r>
    <w:r w:rsidRPr="000F4DD4">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B9072B" w:rsidRPr="000F4DD4">
      <w:rPr>
        <w:rFonts w:ascii="Arial" w:hAnsi="Arial"/>
        <w:snapToGrid w:val="0"/>
        <w:sz w:val="16"/>
        <w:szCs w:val="16"/>
        <w:lang w:val="en-US"/>
      </w:rPr>
      <w:t>2018/</w:t>
    </w:r>
    <w:r w:rsidR="002E745D">
      <w:rPr>
        <w:rFonts w:ascii="Arial" w:hAnsi="Arial"/>
        <w:snapToGrid w:val="0"/>
        <w:sz w:val="16"/>
        <w:szCs w:val="16"/>
        <w:lang w:val="en-US"/>
      </w:rPr>
      <w:t>41</w:t>
    </w:r>
  </w:p>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rPr>
    </w:pPr>
    <w:r w:rsidRPr="000F4DD4">
      <w:rPr>
        <w:rFonts w:ascii="Arial" w:hAnsi="Arial"/>
        <w:snapToGrid w:val="0"/>
        <w:sz w:val="16"/>
        <w:szCs w:val="16"/>
      </w:rPr>
      <w:t xml:space="preserve">Seite </w:t>
    </w:r>
    <w:r w:rsidRPr="00404EC9">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404EC9">
      <w:rPr>
        <w:rFonts w:ascii="Arial" w:hAnsi="Arial"/>
        <w:snapToGrid w:val="0"/>
        <w:sz w:val="16"/>
        <w:szCs w:val="16"/>
      </w:rPr>
      <w:fldChar w:fldCharType="separate"/>
    </w:r>
    <w:r w:rsidR="00982662">
      <w:rPr>
        <w:rFonts w:ascii="Arial" w:hAnsi="Arial"/>
        <w:noProof/>
        <w:snapToGrid w:val="0"/>
        <w:sz w:val="16"/>
        <w:szCs w:val="16"/>
      </w:rPr>
      <w:t>3</w:t>
    </w:r>
    <w:r w:rsidRPr="00404EC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A64920"/>
    <w:multiLevelType w:val="hybridMultilevel"/>
    <w:tmpl w:val="355EDCA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5"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63CE"/>
    <w:rsid w:val="00047E84"/>
    <w:rsid w:val="00052E7E"/>
    <w:rsid w:val="000563D5"/>
    <w:rsid w:val="0005645F"/>
    <w:rsid w:val="00056B10"/>
    <w:rsid w:val="000625E5"/>
    <w:rsid w:val="00062E58"/>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2E49"/>
    <w:rsid w:val="000F4DD4"/>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368E3"/>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3FB6"/>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02D"/>
    <w:rsid w:val="0027414F"/>
    <w:rsid w:val="00283323"/>
    <w:rsid w:val="00291CB3"/>
    <w:rsid w:val="002A337E"/>
    <w:rsid w:val="002A53A6"/>
    <w:rsid w:val="002C0469"/>
    <w:rsid w:val="002C327D"/>
    <w:rsid w:val="002D1BFB"/>
    <w:rsid w:val="002E3745"/>
    <w:rsid w:val="002E3EB3"/>
    <w:rsid w:val="002E6A16"/>
    <w:rsid w:val="002E7227"/>
    <w:rsid w:val="002E745D"/>
    <w:rsid w:val="002F4FC6"/>
    <w:rsid w:val="00300790"/>
    <w:rsid w:val="003033DD"/>
    <w:rsid w:val="00310ECB"/>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400ADD"/>
    <w:rsid w:val="00401179"/>
    <w:rsid w:val="00404EC9"/>
    <w:rsid w:val="00406965"/>
    <w:rsid w:val="00410285"/>
    <w:rsid w:val="004176F9"/>
    <w:rsid w:val="00420664"/>
    <w:rsid w:val="00427609"/>
    <w:rsid w:val="00427804"/>
    <w:rsid w:val="00430CD0"/>
    <w:rsid w:val="00432779"/>
    <w:rsid w:val="00432E08"/>
    <w:rsid w:val="00441CD8"/>
    <w:rsid w:val="00446085"/>
    <w:rsid w:val="00466FB5"/>
    <w:rsid w:val="00472198"/>
    <w:rsid w:val="00476E9E"/>
    <w:rsid w:val="004819A4"/>
    <w:rsid w:val="0048292C"/>
    <w:rsid w:val="004836F9"/>
    <w:rsid w:val="004847DC"/>
    <w:rsid w:val="00492FA6"/>
    <w:rsid w:val="0049746A"/>
    <w:rsid w:val="004A0752"/>
    <w:rsid w:val="004A2AD6"/>
    <w:rsid w:val="004A3FE7"/>
    <w:rsid w:val="004A46B8"/>
    <w:rsid w:val="004B0D93"/>
    <w:rsid w:val="004B7EA6"/>
    <w:rsid w:val="004C18DE"/>
    <w:rsid w:val="004D4CA5"/>
    <w:rsid w:val="004D4E53"/>
    <w:rsid w:val="004E622A"/>
    <w:rsid w:val="004F274D"/>
    <w:rsid w:val="004F3058"/>
    <w:rsid w:val="004F4DE3"/>
    <w:rsid w:val="004F5608"/>
    <w:rsid w:val="0051476B"/>
    <w:rsid w:val="00534340"/>
    <w:rsid w:val="00540683"/>
    <w:rsid w:val="00547D68"/>
    <w:rsid w:val="005533B4"/>
    <w:rsid w:val="00561447"/>
    <w:rsid w:val="0056605A"/>
    <w:rsid w:val="00573D3E"/>
    <w:rsid w:val="00576E22"/>
    <w:rsid w:val="0057786D"/>
    <w:rsid w:val="00582B60"/>
    <w:rsid w:val="00583496"/>
    <w:rsid w:val="00583E9F"/>
    <w:rsid w:val="00585590"/>
    <w:rsid w:val="00585999"/>
    <w:rsid w:val="00586819"/>
    <w:rsid w:val="00591A7D"/>
    <w:rsid w:val="00592A89"/>
    <w:rsid w:val="00593E26"/>
    <w:rsid w:val="00595C5C"/>
    <w:rsid w:val="00596953"/>
    <w:rsid w:val="005A1A44"/>
    <w:rsid w:val="005A3CCA"/>
    <w:rsid w:val="005A5B6A"/>
    <w:rsid w:val="005B6280"/>
    <w:rsid w:val="005C1940"/>
    <w:rsid w:val="005C38B1"/>
    <w:rsid w:val="005C558D"/>
    <w:rsid w:val="005C7246"/>
    <w:rsid w:val="005C7902"/>
    <w:rsid w:val="005D3B31"/>
    <w:rsid w:val="005D6AB5"/>
    <w:rsid w:val="005E1804"/>
    <w:rsid w:val="005E5104"/>
    <w:rsid w:val="005E5EF7"/>
    <w:rsid w:val="005F26AD"/>
    <w:rsid w:val="005F58DF"/>
    <w:rsid w:val="0060269E"/>
    <w:rsid w:val="00603AD9"/>
    <w:rsid w:val="006047AC"/>
    <w:rsid w:val="00607B11"/>
    <w:rsid w:val="006111A3"/>
    <w:rsid w:val="00611C20"/>
    <w:rsid w:val="0061668A"/>
    <w:rsid w:val="00620982"/>
    <w:rsid w:val="006256AF"/>
    <w:rsid w:val="00626C86"/>
    <w:rsid w:val="006276DC"/>
    <w:rsid w:val="00630422"/>
    <w:rsid w:val="006373FA"/>
    <w:rsid w:val="00642215"/>
    <w:rsid w:val="00643AEA"/>
    <w:rsid w:val="00651386"/>
    <w:rsid w:val="00661FED"/>
    <w:rsid w:val="0066312D"/>
    <w:rsid w:val="00666284"/>
    <w:rsid w:val="00670028"/>
    <w:rsid w:val="00690A5F"/>
    <w:rsid w:val="0069164E"/>
    <w:rsid w:val="006924C5"/>
    <w:rsid w:val="006970A1"/>
    <w:rsid w:val="00697F7B"/>
    <w:rsid w:val="006A0959"/>
    <w:rsid w:val="006A507B"/>
    <w:rsid w:val="006A73AD"/>
    <w:rsid w:val="006A7F94"/>
    <w:rsid w:val="006B57B7"/>
    <w:rsid w:val="006B5A0A"/>
    <w:rsid w:val="006B6FC7"/>
    <w:rsid w:val="006B7C55"/>
    <w:rsid w:val="006D1972"/>
    <w:rsid w:val="006D78CA"/>
    <w:rsid w:val="006E498C"/>
    <w:rsid w:val="006F3C42"/>
    <w:rsid w:val="00702BE6"/>
    <w:rsid w:val="00706883"/>
    <w:rsid w:val="007225A1"/>
    <w:rsid w:val="007306F5"/>
    <w:rsid w:val="00742BD3"/>
    <w:rsid w:val="00751575"/>
    <w:rsid w:val="00754516"/>
    <w:rsid w:val="0075583E"/>
    <w:rsid w:val="00760FB2"/>
    <w:rsid w:val="0076252C"/>
    <w:rsid w:val="007652AB"/>
    <w:rsid w:val="007705CB"/>
    <w:rsid w:val="00773B7E"/>
    <w:rsid w:val="0079124E"/>
    <w:rsid w:val="00792E94"/>
    <w:rsid w:val="007A0E7B"/>
    <w:rsid w:val="007A19A7"/>
    <w:rsid w:val="007A584D"/>
    <w:rsid w:val="007B5D5A"/>
    <w:rsid w:val="007C1AA7"/>
    <w:rsid w:val="007C1EE8"/>
    <w:rsid w:val="007C5305"/>
    <w:rsid w:val="007D1EF9"/>
    <w:rsid w:val="007D2FA0"/>
    <w:rsid w:val="007D6265"/>
    <w:rsid w:val="007D7EEA"/>
    <w:rsid w:val="007E7F2A"/>
    <w:rsid w:val="00805AEB"/>
    <w:rsid w:val="00810504"/>
    <w:rsid w:val="0081450F"/>
    <w:rsid w:val="00826787"/>
    <w:rsid w:val="00831771"/>
    <w:rsid w:val="008329FF"/>
    <w:rsid w:val="00834438"/>
    <w:rsid w:val="00835551"/>
    <w:rsid w:val="00837FB8"/>
    <w:rsid w:val="00841328"/>
    <w:rsid w:val="00852BEF"/>
    <w:rsid w:val="00854209"/>
    <w:rsid w:val="0085713F"/>
    <w:rsid w:val="0086477D"/>
    <w:rsid w:val="00876F50"/>
    <w:rsid w:val="00880498"/>
    <w:rsid w:val="00894221"/>
    <w:rsid w:val="008957C7"/>
    <w:rsid w:val="00896081"/>
    <w:rsid w:val="008967B7"/>
    <w:rsid w:val="008A1D67"/>
    <w:rsid w:val="008B3106"/>
    <w:rsid w:val="008B5544"/>
    <w:rsid w:val="008B7C4B"/>
    <w:rsid w:val="008D3CEC"/>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6789B"/>
    <w:rsid w:val="009733A6"/>
    <w:rsid w:val="00975B09"/>
    <w:rsid w:val="009770C1"/>
    <w:rsid w:val="009771C0"/>
    <w:rsid w:val="009777E8"/>
    <w:rsid w:val="0098158C"/>
    <w:rsid w:val="00981925"/>
    <w:rsid w:val="00982662"/>
    <w:rsid w:val="00982F17"/>
    <w:rsid w:val="0099031A"/>
    <w:rsid w:val="00991BA0"/>
    <w:rsid w:val="00992863"/>
    <w:rsid w:val="009A2C98"/>
    <w:rsid w:val="009A4FC8"/>
    <w:rsid w:val="009B6F47"/>
    <w:rsid w:val="009C79C4"/>
    <w:rsid w:val="009D2885"/>
    <w:rsid w:val="009E1B51"/>
    <w:rsid w:val="009E281C"/>
    <w:rsid w:val="009E3EBD"/>
    <w:rsid w:val="009E795B"/>
    <w:rsid w:val="009F01B6"/>
    <w:rsid w:val="009F0973"/>
    <w:rsid w:val="009F2DD9"/>
    <w:rsid w:val="00A005D6"/>
    <w:rsid w:val="00A04A9E"/>
    <w:rsid w:val="00A0723D"/>
    <w:rsid w:val="00A1389E"/>
    <w:rsid w:val="00A17F67"/>
    <w:rsid w:val="00A21A7D"/>
    <w:rsid w:val="00A2645D"/>
    <w:rsid w:val="00A27409"/>
    <w:rsid w:val="00A349BD"/>
    <w:rsid w:val="00A410D7"/>
    <w:rsid w:val="00A44AF1"/>
    <w:rsid w:val="00A57CE8"/>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2952"/>
    <w:rsid w:val="00AC3059"/>
    <w:rsid w:val="00AC338A"/>
    <w:rsid w:val="00AD14D7"/>
    <w:rsid w:val="00AD59A0"/>
    <w:rsid w:val="00AD68F2"/>
    <w:rsid w:val="00AD69C2"/>
    <w:rsid w:val="00AE32E7"/>
    <w:rsid w:val="00AE33F4"/>
    <w:rsid w:val="00AE50D2"/>
    <w:rsid w:val="00AE73A7"/>
    <w:rsid w:val="00AE7E9E"/>
    <w:rsid w:val="00AF7C57"/>
    <w:rsid w:val="00AF7DC9"/>
    <w:rsid w:val="00B02145"/>
    <w:rsid w:val="00B041A6"/>
    <w:rsid w:val="00B07427"/>
    <w:rsid w:val="00B12922"/>
    <w:rsid w:val="00B155FC"/>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D6076"/>
    <w:rsid w:val="00BD7109"/>
    <w:rsid w:val="00BD77CE"/>
    <w:rsid w:val="00BE5065"/>
    <w:rsid w:val="00BF6A72"/>
    <w:rsid w:val="00BF7D16"/>
    <w:rsid w:val="00BF7DFC"/>
    <w:rsid w:val="00C01D3D"/>
    <w:rsid w:val="00C03ED4"/>
    <w:rsid w:val="00C04C77"/>
    <w:rsid w:val="00C05CED"/>
    <w:rsid w:val="00C1260A"/>
    <w:rsid w:val="00C161A1"/>
    <w:rsid w:val="00C16233"/>
    <w:rsid w:val="00C24FA8"/>
    <w:rsid w:val="00C27690"/>
    <w:rsid w:val="00C32E06"/>
    <w:rsid w:val="00C41906"/>
    <w:rsid w:val="00C4703A"/>
    <w:rsid w:val="00C509C1"/>
    <w:rsid w:val="00C532C5"/>
    <w:rsid w:val="00C6477E"/>
    <w:rsid w:val="00C64A71"/>
    <w:rsid w:val="00C7003A"/>
    <w:rsid w:val="00C72A39"/>
    <w:rsid w:val="00C75E20"/>
    <w:rsid w:val="00C8138A"/>
    <w:rsid w:val="00C82985"/>
    <w:rsid w:val="00C84D0A"/>
    <w:rsid w:val="00C90787"/>
    <w:rsid w:val="00C93A09"/>
    <w:rsid w:val="00C93E1E"/>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33176"/>
    <w:rsid w:val="00D33B77"/>
    <w:rsid w:val="00D35074"/>
    <w:rsid w:val="00D4056A"/>
    <w:rsid w:val="00D52AF0"/>
    <w:rsid w:val="00D52F95"/>
    <w:rsid w:val="00D6320C"/>
    <w:rsid w:val="00D64560"/>
    <w:rsid w:val="00D65991"/>
    <w:rsid w:val="00D7150D"/>
    <w:rsid w:val="00D80CB1"/>
    <w:rsid w:val="00D8467E"/>
    <w:rsid w:val="00D92E0F"/>
    <w:rsid w:val="00D94CED"/>
    <w:rsid w:val="00D97C9F"/>
    <w:rsid w:val="00D97D5B"/>
    <w:rsid w:val="00DA1F54"/>
    <w:rsid w:val="00DA28E2"/>
    <w:rsid w:val="00DA312C"/>
    <w:rsid w:val="00DA3AF6"/>
    <w:rsid w:val="00DA507E"/>
    <w:rsid w:val="00DA54C3"/>
    <w:rsid w:val="00DB57E7"/>
    <w:rsid w:val="00DB6161"/>
    <w:rsid w:val="00DC18BD"/>
    <w:rsid w:val="00DC66D9"/>
    <w:rsid w:val="00DF03F9"/>
    <w:rsid w:val="00DF3A4A"/>
    <w:rsid w:val="00DF3BC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3D21"/>
    <w:rsid w:val="00E8770E"/>
    <w:rsid w:val="00E93323"/>
    <w:rsid w:val="00E93819"/>
    <w:rsid w:val="00EA0422"/>
    <w:rsid w:val="00EA2C25"/>
    <w:rsid w:val="00EA7A70"/>
    <w:rsid w:val="00EB4ADF"/>
    <w:rsid w:val="00EB4D3D"/>
    <w:rsid w:val="00EC1F5D"/>
    <w:rsid w:val="00EC5B0D"/>
    <w:rsid w:val="00EC6139"/>
    <w:rsid w:val="00ED49D7"/>
    <w:rsid w:val="00ED557F"/>
    <w:rsid w:val="00EE4226"/>
    <w:rsid w:val="00EE457F"/>
    <w:rsid w:val="00EE5CAB"/>
    <w:rsid w:val="00EF00ED"/>
    <w:rsid w:val="00EF022A"/>
    <w:rsid w:val="00EF57CD"/>
    <w:rsid w:val="00EF7231"/>
    <w:rsid w:val="00F04331"/>
    <w:rsid w:val="00F07812"/>
    <w:rsid w:val="00F10631"/>
    <w:rsid w:val="00F10D47"/>
    <w:rsid w:val="00F12E99"/>
    <w:rsid w:val="00F265D6"/>
    <w:rsid w:val="00F31FEF"/>
    <w:rsid w:val="00F330E1"/>
    <w:rsid w:val="00F42407"/>
    <w:rsid w:val="00F42DC0"/>
    <w:rsid w:val="00F43A8C"/>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74D6F"/>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B56B7"/>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58D7BB86-D778-40E6-AE9B-13C6865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link w:val="HChGChar"/>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04EC9"/>
    <w:rPr>
      <w:lang w:eastAsia="fr-FR"/>
    </w:rPr>
  </w:style>
  <w:style w:type="character" w:customStyle="1" w:styleId="HChGChar">
    <w:name w:val="_ H _Ch_G Char"/>
    <w:link w:val="HChG"/>
    <w:locked/>
    <w:rsid w:val="002E745D"/>
    <w:rPr>
      <w:b/>
      <w:sz w:val="2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3AC5-2070-4442-A867-833F74A8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Office Word</Application>
  <DocSecurity>4</DocSecurity>
  <Lines>35</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CRP.3/A.8</cp:lastModifiedBy>
  <cp:revision>2</cp:revision>
  <cp:lastPrinted>2017-11-09T08:55:00Z</cp:lastPrinted>
  <dcterms:created xsi:type="dcterms:W3CDTF">2018-06-25T12:15:00Z</dcterms:created>
  <dcterms:modified xsi:type="dcterms:W3CDTF">2018-06-25T12:15:00Z</dcterms:modified>
</cp:coreProperties>
</file>