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DB170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DB1707" w:rsidP="00DB1707">
            <w:pPr>
              <w:jc w:val="right"/>
            </w:pPr>
            <w:r w:rsidRPr="00DB1707">
              <w:rPr>
                <w:sz w:val="40"/>
              </w:rPr>
              <w:t>ECE</w:t>
            </w:r>
            <w:r>
              <w:t>/TRANS/WP.15/AC.2/2018/34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DB1707" w:rsidP="00295CCA">
            <w:pPr>
              <w:spacing w:before="240"/>
            </w:pPr>
            <w:r>
              <w:t>Distr. générale</w:t>
            </w:r>
          </w:p>
          <w:p w:rsidR="00DB1707" w:rsidRDefault="00DB1707" w:rsidP="00DB1707">
            <w:pPr>
              <w:spacing w:line="240" w:lineRule="exact"/>
            </w:pPr>
            <w:r>
              <w:t>4 juin 2018</w:t>
            </w:r>
          </w:p>
          <w:p w:rsidR="00DB1707" w:rsidRDefault="00DB1707" w:rsidP="00DB1707">
            <w:pPr>
              <w:spacing w:line="240" w:lineRule="exact"/>
            </w:pPr>
            <w:r>
              <w:t>Français</w:t>
            </w:r>
          </w:p>
          <w:p w:rsidR="00DB1707" w:rsidRPr="00DB58B5" w:rsidRDefault="00DB1707" w:rsidP="00DB1707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66C5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DB1707" w:rsidRPr="00F0204E" w:rsidRDefault="00DB1707" w:rsidP="00DB1707">
      <w:pPr>
        <w:spacing w:before="120"/>
        <w:rPr>
          <w:sz w:val="40"/>
          <w:szCs w:val="28"/>
        </w:rPr>
      </w:pPr>
      <w:r w:rsidRPr="00F0204E">
        <w:rPr>
          <w:sz w:val="28"/>
          <w:lang w:val="fr-FR"/>
        </w:rPr>
        <w:t>Comité des transports intérieurs</w:t>
      </w:r>
    </w:p>
    <w:p w:rsidR="00DB1707" w:rsidRPr="00F0204E" w:rsidRDefault="00DB1707" w:rsidP="00DB1707">
      <w:pPr>
        <w:spacing w:before="120"/>
        <w:rPr>
          <w:b/>
          <w:sz w:val="24"/>
          <w:szCs w:val="24"/>
        </w:rPr>
      </w:pPr>
      <w:r w:rsidRPr="00F0204E">
        <w:rPr>
          <w:b/>
          <w:sz w:val="24"/>
          <w:szCs w:val="24"/>
          <w:lang w:val="fr-FR"/>
        </w:rPr>
        <w:t>G</w:t>
      </w:r>
      <w:r>
        <w:rPr>
          <w:b/>
          <w:sz w:val="24"/>
          <w:szCs w:val="24"/>
          <w:lang w:val="fr-FR"/>
        </w:rPr>
        <w:t>roupe de travail des transports</w:t>
      </w:r>
      <w:r w:rsidR="00F66C52">
        <w:rPr>
          <w:b/>
          <w:sz w:val="24"/>
          <w:szCs w:val="24"/>
          <w:lang w:val="fr-FR"/>
        </w:rPr>
        <w:t xml:space="preserve"> </w:t>
      </w:r>
      <w:r w:rsidRPr="00F0204E">
        <w:rPr>
          <w:b/>
          <w:sz w:val="24"/>
          <w:szCs w:val="24"/>
          <w:lang w:val="fr-FR"/>
        </w:rPr>
        <w:t>de marchandises dangereuses</w:t>
      </w:r>
    </w:p>
    <w:p w:rsidR="00DB1707" w:rsidRPr="00F0204E" w:rsidRDefault="00DB1707" w:rsidP="00DB1707">
      <w:pPr>
        <w:spacing w:before="120"/>
        <w:rPr>
          <w:b/>
        </w:rPr>
      </w:pPr>
      <w:r w:rsidRPr="00F0204E">
        <w:rPr>
          <w:b/>
          <w:lang w:val="fr-FR"/>
        </w:rPr>
        <w:t>Réunion commune d</w:t>
      </w:r>
      <w:r w:rsidR="00F66C52">
        <w:rPr>
          <w:b/>
          <w:lang w:val="fr-FR"/>
        </w:rPr>
        <w:t>’</w:t>
      </w:r>
      <w:r w:rsidRPr="00F0204E">
        <w:rPr>
          <w:b/>
          <w:lang w:val="fr-FR"/>
        </w:rPr>
        <w:t>experts sur le Règlement annexé à l</w:t>
      </w:r>
      <w:r w:rsidR="00F66C52">
        <w:rPr>
          <w:b/>
          <w:lang w:val="fr-FR"/>
        </w:rPr>
        <w:t>’</w:t>
      </w:r>
      <w:r w:rsidRPr="00F0204E">
        <w:rPr>
          <w:b/>
          <w:lang w:val="fr-FR"/>
        </w:rPr>
        <w:t xml:space="preserve">Accord européen </w:t>
      </w:r>
      <w:r>
        <w:rPr>
          <w:b/>
          <w:lang w:val="fr-FR"/>
        </w:rPr>
        <w:br/>
      </w:r>
      <w:r w:rsidRPr="00F0204E">
        <w:rPr>
          <w:b/>
          <w:lang w:val="fr-FR"/>
        </w:rPr>
        <w:t xml:space="preserve">relatif au transport international des marchandises dangereuses par voies </w:t>
      </w:r>
      <w:r>
        <w:rPr>
          <w:b/>
          <w:lang w:val="fr-FR"/>
        </w:rPr>
        <w:br/>
      </w:r>
      <w:r w:rsidRPr="00F0204E">
        <w:rPr>
          <w:b/>
          <w:lang w:val="fr-FR"/>
        </w:rPr>
        <w:t>de navigation intérieures (ADN) (Comité de sécurité de l</w:t>
      </w:r>
      <w:r w:rsidR="00F66C52">
        <w:rPr>
          <w:b/>
          <w:lang w:val="fr-FR"/>
        </w:rPr>
        <w:t>’</w:t>
      </w:r>
      <w:r w:rsidRPr="00F0204E">
        <w:rPr>
          <w:b/>
          <w:lang w:val="fr-FR"/>
        </w:rPr>
        <w:t>ADN)</w:t>
      </w:r>
    </w:p>
    <w:p w:rsidR="00DB1707" w:rsidRPr="00F0204E" w:rsidRDefault="00DB1707" w:rsidP="00DB1707">
      <w:pPr>
        <w:spacing w:before="120"/>
        <w:rPr>
          <w:b/>
        </w:rPr>
      </w:pPr>
      <w:r w:rsidRPr="00F0204E">
        <w:rPr>
          <w:b/>
          <w:lang w:val="fr-FR"/>
        </w:rPr>
        <w:t>Trente-troisième session</w:t>
      </w:r>
    </w:p>
    <w:p w:rsidR="00DB1707" w:rsidRDefault="00DB1707" w:rsidP="00DB1707">
      <w:pPr>
        <w:rPr>
          <w:lang w:val="fr-FR"/>
        </w:rPr>
      </w:pPr>
      <w:r>
        <w:rPr>
          <w:lang w:val="fr-FR"/>
        </w:rPr>
        <w:t>Genève, 27-31 août 2018</w:t>
      </w:r>
    </w:p>
    <w:p w:rsidR="00DB1707" w:rsidRPr="003134DF" w:rsidRDefault="00DB1707" w:rsidP="00DB1707">
      <w:r>
        <w:rPr>
          <w:lang w:val="fr-FR"/>
        </w:rPr>
        <w:t>Point 4 b) de l</w:t>
      </w:r>
      <w:r w:rsidR="00F66C52">
        <w:rPr>
          <w:lang w:val="fr-FR"/>
        </w:rPr>
        <w:t>’</w:t>
      </w:r>
      <w:r>
        <w:rPr>
          <w:lang w:val="fr-FR"/>
        </w:rPr>
        <w:t>ordre du jour provisoire</w:t>
      </w:r>
    </w:p>
    <w:p w:rsidR="00DB1707" w:rsidRPr="00721352" w:rsidRDefault="00DB1707" w:rsidP="00DB1707">
      <w:pPr>
        <w:rPr>
          <w:b/>
          <w:lang w:val="fr-FR"/>
        </w:rPr>
      </w:pPr>
      <w:r w:rsidRPr="00F0204E">
        <w:rPr>
          <w:b/>
          <w:lang w:val="fr-FR"/>
        </w:rPr>
        <w:t>Propositions d</w:t>
      </w:r>
      <w:r w:rsidR="00F66C52">
        <w:rPr>
          <w:b/>
          <w:lang w:val="fr-FR"/>
        </w:rPr>
        <w:t>’</w:t>
      </w:r>
      <w:r w:rsidRPr="00F0204E">
        <w:rPr>
          <w:b/>
          <w:lang w:val="fr-FR"/>
        </w:rPr>
        <w:t xml:space="preserve">amendements au Règlement </w:t>
      </w:r>
      <w:r w:rsidR="00F66C52">
        <w:rPr>
          <w:b/>
          <w:lang w:val="fr-FR"/>
        </w:rPr>
        <w:br/>
      </w:r>
      <w:r w:rsidRPr="00F0204E">
        <w:rPr>
          <w:b/>
          <w:lang w:val="fr-FR"/>
        </w:rPr>
        <w:t>annexé à l</w:t>
      </w:r>
      <w:r w:rsidR="00F66C52">
        <w:rPr>
          <w:b/>
          <w:lang w:val="fr-FR"/>
        </w:rPr>
        <w:t>’</w:t>
      </w:r>
      <w:r w:rsidRPr="00F0204E">
        <w:rPr>
          <w:b/>
          <w:lang w:val="fr-FR"/>
        </w:rPr>
        <w:t>ADN</w:t>
      </w:r>
      <w:r>
        <w:rPr>
          <w:b/>
          <w:lang w:val="fr-FR"/>
        </w:rPr>
        <w:t> </w:t>
      </w:r>
      <w:r w:rsidRPr="00F0204E">
        <w:rPr>
          <w:b/>
          <w:lang w:val="fr-FR"/>
        </w:rPr>
        <w:t>: autres propositions</w:t>
      </w:r>
    </w:p>
    <w:p w:rsidR="00275F82" w:rsidRPr="00DB1707" w:rsidRDefault="00A0723B" w:rsidP="00DB1707">
      <w:pPr>
        <w:pStyle w:val="HChG"/>
      </w:pPr>
      <w:r w:rsidRPr="00DB1707">
        <w:rPr>
          <w:lang w:val="fr-FR"/>
        </w:rPr>
        <w:tab/>
      </w:r>
      <w:r w:rsidRPr="00DB1707">
        <w:rPr>
          <w:lang w:val="fr-FR"/>
        </w:rPr>
        <w:tab/>
        <w:t>Critères d</w:t>
      </w:r>
      <w:r w:rsidR="00F66C52">
        <w:rPr>
          <w:lang w:val="fr-FR"/>
        </w:rPr>
        <w:t>’</w:t>
      </w:r>
      <w:r w:rsidRPr="00DB1707">
        <w:rPr>
          <w:lang w:val="fr-FR"/>
        </w:rPr>
        <w:t>affectation des matières dans le 3.2.4.3</w:t>
      </w:r>
    </w:p>
    <w:p w:rsidR="00275F82" w:rsidRPr="00DB1707" w:rsidRDefault="00A0723B" w:rsidP="00DB1707">
      <w:pPr>
        <w:pStyle w:val="H1G"/>
        <w:rPr>
          <w:bCs/>
          <w:vertAlign w:val="superscript"/>
        </w:rPr>
      </w:pPr>
      <w:r w:rsidRPr="00DB1707">
        <w:rPr>
          <w:lang w:val="fr-FR"/>
        </w:rPr>
        <w:tab/>
      </w:r>
      <w:r w:rsidRPr="00DB1707">
        <w:rPr>
          <w:lang w:val="fr-FR"/>
        </w:rPr>
        <w:tab/>
        <w:t xml:space="preserve">Communication de la Commission centrale pour la navigation </w:t>
      </w:r>
      <w:r w:rsidRPr="00DB1707">
        <w:rPr>
          <w:lang w:val="fr-FR"/>
        </w:rPr>
        <w:br/>
        <w:t>du Rhin (CCNR)</w:t>
      </w:r>
      <w:r w:rsidR="00F66C52" w:rsidRPr="00F66C5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F66C52" w:rsidRPr="00F66C52">
        <w:rPr>
          <w:b w:val="0"/>
          <w:bCs/>
          <w:vertAlign w:val="superscript"/>
          <w:lang w:val="fr-FR"/>
        </w:rPr>
        <w:t xml:space="preserve">, </w:t>
      </w:r>
      <w:r w:rsidR="00F66C52" w:rsidRPr="00F66C52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:rsidR="00275F82" w:rsidRPr="00DB1707" w:rsidRDefault="00A0723B" w:rsidP="00DB1707">
      <w:pPr>
        <w:pStyle w:val="HChG"/>
      </w:pPr>
      <w:r w:rsidRPr="00DB1707">
        <w:rPr>
          <w:lang w:val="fr-FR"/>
        </w:rPr>
        <w:tab/>
      </w:r>
      <w:r w:rsidRPr="00DB1707">
        <w:rPr>
          <w:lang w:val="fr-FR"/>
        </w:rPr>
        <w:tab/>
        <w:t>Introduction</w:t>
      </w:r>
    </w:p>
    <w:p w:rsidR="00275F82" w:rsidRPr="00DB1707" w:rsidRDefault="00A0723B" w:rsidP="00DB1707">
      <w:pPr>
        <w:pStyle w:val="SingleTxtG"/>
      </w:pPr>
      <w:r w:rsidRPr="00DB1707">
        <w:rPr>
          <w:lang w:val="fr-FR"/>
        </w:rPr>
        <w:t>1.</w:t>
      </w:r>
      <w:r w:rsidRPr="00DB1707">
        <w:rPr>
          <w:lang w:val="fr-FR"/>
        </w:rPr>
        <w:tab/>
        <w:t>Le secrétariat de la CCNR souhaite appeler l</w:t>
      </w:r>
      <w:r w:rsidR="00F66C52">
        <w:rPr>
          <w:lang w:val="fr-FR"/>
        </w:rPr>
        <w:t>’</w:t>
      </w:r>
      <w:r w:rsidRPr="00DB1707">
        <w:rPr>
          <w:lang w:val="fr-FR"/>
        </w:rPr>
        <w:t>attention du Comité de sécurité de l</w:t>
      </w:r>
      <w:r w:rsidR="00F66C52">
        <w:rPr>
          <w:lang w:val="fr-FR"/>
        </w:rPr>
        <w:t>’</w:t>
      </w:r>
      <w:r w:rsidRPr="00DB1707">
        <w:rPr>
          <w:lang w:val="fr-FR"/>
        </w:rPr>
        <w:t>ADN sur l</w:t>
      </w:r>
      <w:r w:rsidR="00F66C52">
        <w:rPr>
          <w:lang w:val="fr-FR"/>
        </w:rPr>
        <w:t>’</w:t>
      </w:r>
      <w:r w:rsidRPr="00DB1707">
        <w:rPr>
          <w:lang w:val="fr-FR"/>
        </w:rPr>
        <w:t>omission d</w:t>
      </w:r>
      <w:r w:rsidR="00F66C52">
        <w:rPr>
          <w:lang w:val="fr-FR"/>
        </w:rPr>
        <w:t>’</w:t>
      </w:r>
      <w:r w:rsidRPr="00DB1707">
        <w:rPr>
          <w:lang w:val="fr-FR"/>
        </w:rPr>
        <w:t>une référence au règlement (CE) n</w:t>
      </w:r>
      <w:r w:rsidRPr="00DB1707">
        <w:rPr>
          <w:vertAlign w:val="superscript"/>
          <w:lang w:val="fr-FR"/>
        </w:rPr>
        <w:t>o</w:t>
      </w:r>
      <w:r w:rsidR="00F66C52">
        <w:rPr>
          <w:lang w:val="fr-FR"/>
        </w:rPr>
        <w:t> </w:t>
      </w:r>
      <w:r w:rsidRPr="00DB1707">
        <w:rPr>
          <w:lang w:val="fr-FR"/>
        </w:rPr>
        <w:t>1272/2008 du Parlement européen et du Conseil dans la no</w:t>
      </w:r>
      <w:r w:rsidR="00F66C52">
        <w:rPr>
          <w:lang w:val="fr-FR"/>
        </w:rPr>
        <w:t>te de bas de page du paragraphe </w:t>
      </w:r>
      <w:r w:rsidRPr="00DB1707">
        <w:rPr>
          <w:lang w:val="fr-FR"/>
        </w:rPr>
        <w:t>J du 3.2.4.3 de l</w:t>
      </w:r>
      <w:r w:rsidR="00F66C52">
        <w:rPr>
          <w:lang w:val="fr-FR"/>
        </w:rPr>
        <w:t>’</w:t>
      </w:r>
      <w:r w:rsidRPr="00DB1707">
        <w:rPr>
          <w:lang w:val="fr-FR"/>
        </w:rPr>
        <w:t>ADN.</w:t>
      </w:r>
    </w:p>
    <w:p w:rsidR="00275F82" w:rsidRPr="00DB1707" w:rsidRDefault="00A0723B" w:rsidP="00DB1707">
      <w:pPr>
        <w:pStyle w:val="HChG"/>
      </w:pPr>
      <w:r w:rsidRPr="00DB1707">
        <w:rPr>
          <w:lang w:val="fr-FR"/>
        </w:rPr>
        <w:tab/>
      </w:r>
      <w:r w:rsidRPr="00DB1707">
        <w:rPr>
          <w:lang w:val="fr-FR"/>
        </w:rPr>
        <w:tab/>
        <w:t>Contexte</w:t>
      </w:r>
    </w:p>
    <w:p w:rsidR="00275F82" w:rsidRPr="00DB1707" w:rsidRDefault="00A0723B" w:rsidP="00DB1707">
      <w:pPr>
        <w:pStyle w:val="SingleTxtG"/>
      </w:pPr>
      <w:r w:rsidRPr="00DB1707">
        <w:rPr>
          <w:lang w:val="fr-FR"/>
        </w:rPr>
        <w:t>2.</w:t>
      </w:r>
      <w:r w:rsidRPr="00DB1707">
        <w:rPr>
          <w:lang w:val="fr-FR"/>
        </w:rPr>
        <w:tab/>
        <w:t>L</w:t>
      </w:r>
      <w:r w:rsidR="00F66C52">
        <w:rPr>
          <w:lang w:val="fr-FR"/>
        </w:rPr>
        <w:t>’</w:t>
      </w:r>
      <w:r w:rsidRPr="00DB1707">
        <w:rPr>
          <w:lang w:val="fr-FR"/>
        </w:rPr>
        <w:t>Allemagne a informé le secrétariat de la CCNR que le Comité de sécurité de l</w:t>
      </w:r>
      <w:r w:rsidR="00F66C52">
        <w:rPr>
          <w:lang w:val="fr-FR"/>
        </w:rPr>
        <w:t>’</w:t>
      </w:r>
      <w:r w:rsidRPr="00DB1707">
        <w:rPr>
          <w:lang w:val="fr-FR"/>
        </w:rPr>
        <w:t>ADN avait adopté, à sa trentième session, un amendement à l</w:t>
      </w:r>
      <w:r w:rsidR="00F66C52">
        <w:rPr>
          <w:lang w:val="fr-FR"/>
        </w:rPr>
        <w:t>’</w:t>
      </w:r>
      <w:r w:rsidR="00617477">
        <w:rPr>
          <w:lang w:val="fr-FR"/>
        </w:rPr>
        <w:t>alinéa </w:t>
      </w:r>
      <w:r w:rsidRPr="00DB1707">
        <w:rPr>
          <w:lang w:val="fr-FR"/>
        </w:rPr>
        <w:t>9 du 3.2.4.3 renvoyant au règlement (CE) n</w:t>
      </w:r>
      <w:r w:rsidRPr="00DB1707">
        <w:rPr>
          <w:vertAlign w:val="superscript"/>
          <w:lang w:val="fr-FR"/>
        </w:rPr>
        <w:t>o</w:t>
      </w:r>
      <w:r w:rsidR="00617477">
        <w:rPr>
          <w:lang w:val="fr-FR"/>
        </w:rPr>
        <w:t> </w:t>
      </w:r>
      <w:r w:rsidRPr="00DB1707">
        <w:rPr>
          <w:lang w:val="fr-FR"/>
        </w:rPr>
        <w:t>1272/2008 du Parlement européen et du Conseil.</w:t>
      </w:r>
    </w:p>
    <w:p w:rsidR="00275F82" w:rsidRPr="00DB1707" w:rsidRDefault="00A0723B" w:rsidP="00DB1707">
      <w:pPr>
        <w:pStyle w:val="SingleTxtG"/>
      </w:pPr>
      <w:r w:rsidRPr="00DB1707">
        <w:rPr>
          <w:lang w:val="fr-FR"/>
        </w:rPr>
        <w:t>3.</w:t>
      </w:r>
      <w:r w:rsidRPr="00DB1707">
        <w:rPr>
          <w:lang w:val="fr-FR"/>
        </w:rPr>
        <w:tab/>
        <w:t>L</w:t>
      </w:r>
      <w:r w:rsidR="00F66C52">
        <w:rPr>
          <w:lang w:val="fr-FR"/>
        </w:rPr>
        <w:t>’</w:t>
      </w:r>
      <w:r w:rsidRPr="00DB1707">
        <w:rPr>
          <w:lang w:val="fr-FR"/>
        </w:rPr>
        <w:t>Allemagne a ensuite appelé l</w:t>
      </w:r>
      <w:r w:rsidR="00F66C52">
        <w:rPr>
          <w:lang w:val="fr-FR"/>
        </w:rPr>
        <w:t>’</w:t>
      </w:r>
      <w:r w:rsidRPr="00DB1707">
        <w:rPr>
          <w:lang w:val="fr-FR"/>
        </w:rPr>
        <w:t>attention du secrétariat de la CCNR sur le fait qu</w:t>
      </w:r>
      <w:r w:rsidR="00F66C52">
        <w:rPr>
          <w:lang w:val="fr-FR"/>
        </w:rPr>
        <w:t>’</w:t>
      </w:r>
      <w:r w:rsidRPr="00DB1707">
        <w:rPr>
          <w:lang w:val="fr-FR"/>
        </w:rPr>
        <w:t>il était également nécessaire de modifier la note de bas de page</w:t>
      </w:r>
      <w:r w:rsidR="00617477">
        <w:rPr>
          <w:lang w:val="fr-FR"/>
        </w:rPr>
        <w:t xml:space="preserve"> du paragraphe </w:t>
      </w:r>
      <w:r w:rsidRPr="00DB1707">
        <w:rPr>
          <w:lang w:val="fr-FR"/>
        </w:rPr>
        <w:t>J du 3.2.4.3.</w:t>
      </w:r>
    </w:p>
    <w:p w:rsidR="00275F82" w:rsidRPr="00DB1707" w:rsidRDefault="00A0723B" w:rsidP="00F66C52">
      <w:pPr>
        <w:pStyle w:val="HChG"/>
      </w:pPr>
      <w:r w:rsidRPr="00DB1707">
        <w:rPr>
          <w:lang w:val="fr-FR"/>
        </w:rPr>
        <w:lastRenderedPageBreak/>
        <w:tab/>
      </w:r>
      <w:r w:rsidRPr="00DB1707">
        <w:rPr>
          <w:lang w:val="fr-FR"/>
        </w:rPr>
        <w:tab/>
        <w:t>Proposition</w:t>
      </w:r>
    </w:p>
    <w:p w:rsidR="00275F82" w:rsidRPr="00DB1707" w:rsidRDefault="00A0723B" w:rsidP="00F66C52">
      <w:pPr>
        <w:pStyle w:val="SingleTxtG"/>
        <w:keepNext/>
        <w:keepLines/>
      </w:pPr>
      <w:r w:rsidRPr="00DB1707">
        <w:rPr>
          <w:lang w:val="fr-FR"/>
        </w:rPr>
        <w:t>4.</w:t>
      </w:r>
      <w:r w:rsidRPr="00DB1707">
        <w:rPr>
          <w:lang w:val="fr-FR"/>
        </w:rPr>
        <w:tab/>
        <w:t>Proposition d</w:t>
      </w:r>
      <w:r w:rsidR="00F66C52">
        <w:rPr>
          <w:lang w:val="fr-FR"/>
        </w:rPr>
        <w:t>’</w:t>
      </w:r>
      <w:r w:rsidRPr="00DB1707">
        <w:rPr>
          <w:lang w:val="fr-FR"/>
        </w:rPr>
        <w:t xml:space="preserve">amendement : </w:t>
      </w:r>
    </w:p>
    <w:p w:rsidR="00275F82" w:rsidRPr="00DB1707" w:rsidRDefault="00AF4B62" w:rsidP="00AF4B62">
      <w:pPr>
        <w:pStyle w:val="SingleTxtG"/>
        <w:keepNext/>
        <w:keepLines/>
        <w:ind w:firstLine="567"/>
      </w:pPr>
      <w:r>
        <w:rPr>
          <w:lang w:val="fr-FR"/>
        </w:rPr>
        <w:t>3.2.4.3, paragraphe J </w:t>
      </w:r>
      <w:r w:rsidR="00A0723B" w:rsidRPr="00DB1707">
        <w:rPr>
          <w:lang w:val="fr-FR"/>
        </w:rPr>
        <w:t>: modifier la note de bas de page * comme suit</w:t>
      </w:r>
      <w:r w:rsidR="00F66C52">
        <w:rPr>
          <w:lang w:val="fr-FR"/>
        </w:rPr>
        <w:t> </w:t>
      </w:r>
      <w:r w:rsidR="00A0723B" w:rsidRPr="00DB1707">
        <w:rPr>
          <w:lang w:val="fr-FR"/>
        </w:rPr>
        <w:t>:</w:t>
      </w:r>
    </w:p>
    <w:p w:rsidR="00275F82" w:rsidRPr="00DB1707" w:rsidRDefault="00410898" w:rsidP="00B97D68">
      <w:pPr>
        <w:pStyle w:val="SingleTxtG"/>
        <w:keepNext/>
        <w:keepLines/>
        <w:rPr>
          <w:i/>
        </w:rPr>
      </w:pPr>
      <w:r>
        <w:rPr>
          <w:lang w:val="fr-FR"/>
        </w:rPr>
        <w:t>« </w:t>
      </w:r>
      <w:r w:rsidR="00A0723B" w:rsidRPr="00DB1707">
        <w:rPr>
          <w:i/>
          <w:lang w:val="fr-FR"/>
        </w:rPr>
        <w:t>*</w:t>
      </w:r>
      <w:r w:rsidR="00A0723B" w:rsidRPr="00DB1707">
        <w:rPr>
          <w:i/>
          <w:lang w:val="fr-FR"/>
        </w:rPr>
        <w:tab/>
        <w:t>Étant donné qu</w:t>
      </w:r>
      <w:r w:rsidR="00F66C52">
        <w:rPr>
          <w:i/>
          <w:lang w:val="fr-FR"/>
        </w:rPr>
        <w:t>’</w:t>
      </w:r>
      <w:r w:rsidR="00A0723B" w:rsidRPr="00DB1707">
        <w:rPr>
          <w:i/>
          <w:lang w:val="fr-FR"/>
        </w:rPr>
        <w:t>il n</w:t>
      </w:r>
      <w:r w:rsidR="00F66C52">
        <w:rPr>
          <w:i/>
          <w:lang w:val="fr-FR"/>
        </w:rPr>
        <w:t>’</w:t>
      </w:r>
      <w:r w:rsidR="00A0723B" w:rsidRPr="00DB1707">
        <w:rPr>
          <w:i/>
          <w:lang w:val="fr-FR"/>
        </w:rPr>
        <w:t>existe pas encore de liste internationale officielle des matières CMR des catégories 1A et 1B, en attendant qu</w:t>
      </w:r>
      <w:r w:rsidR="00F66C52">
        <w:rPr>
          <w:i/>
          <w:lang w:val="fr-FR"/>
        </w:rPr>
        <w:t>’</w:t>
      </w:r>
      <w:r w:rsidR="00A0723B" w:rsidRPr="00DB1707">
        <w:rPr>
          <w:i/>
          <w:lang w:val="fr-FR"/>
        </w:rPr>
        <w:t>une telle liste soit disponible, la liste des matières CMR des catégories 1A et 1B selon le Règlement (CE) n</w:t>
      </w:r>
      <w:r w:rsidR="00A0723B" w:rsidRPr="00DB1707">
        <w:rPr>
          <w:i/>
          <w:vertAlign w:val="superscript"/>
          <w:lang w:val="fr-FR"/>
        </w:rPr>
        <w:t>o</w:t>
      </w:r>
      <w:r w:rsidR="00AF4B62">
        <w:rPr>
          <w:i/>
          <w:lang w:val="fr-FR"/>
        </w:rPr>
        <w:t> </w:t>
      </w:r>
      <w:r w:rsidR="00A0723B" w:rsidRPr="00DB1707">
        <w:rPr>
          <w:i/>
          <w:lang w:val="fr-FR"/>
        </w:rPr>
        <w:t>1272/2008 du Parlement européen et du Conseil, tel que modifié, est applicable.</w:t>
      </w:r>
      <w:r>
        <w:rPr>
          <w:i/>
          <w:lang w:val="fr-FR"/>
        </w:rPr>
        <w:t> </w:t>
      </w:r>
      <w:r w:rsidR="00A0723B" w:rsidRPr="00DB1707">
        <w:rPr>
          <w:lang w:val="fr-FR"/>
        </w:rPr>
        <w:t>».</w:t>
      </w:r>
    </w:p>
    <w:p w:rsidR="00446FE5" w:rsidRPr="00DB1707" w:rsidRDefault="00DB1707" w:rsidP="00DB170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DB1707" w:rsidSect="00DB170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52" w:rsidRDefault="00927C52" w:rsidP="00F95C08">
      <w:pPr>
        <w:spacing w:line="240" w:lineRule="auto"/>
      </w:pPr>
    </w:p>
  </w:endnote>
  <w:endnote w:type="continuationSeparator" w:id="0">
    <w:p w:rsidR="00927C52" w:rsidRPr="00AC3823" w:rsidRDefault="00927C52" w:rsidP="00AC3823">
      <w:pPr>
        <w:pStyle w:val="Footer"/>
      </w:pPr>
    </w:p>
  </w:endnote>
  <w:endnote w:type="continuationNotice" w:id="1">
    <w:p w:rsidR="00927C52" w:rsidRDefault="00927C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07" w:rsidRPr="00DB1707" w:rsidRDefault="00DB1707" w:rsidP="00DB1707">
    <w:pPr>
      <w:pStyle w:val="Footer"/>
      <w:tabs>
        <w:tab w:val="right" w:pos="9638"/>
      </w:tabs>
    </w:pPr>
    <w:r w:rsidRPr="00DB1707">
      <w:rPr>
        <w:b/>
        <w:sz w:val="18"/>
      </w:rPr>
      <w:fldChar w:fldCharType="begin"/>
    </w:r>
    <w:r w:rsidRPr="00DB1707">
      <w:rPr>
        <w:b/>
        <w:sz w:val="18"/>
      </w:rPr>
      <w:instrText xml:space="preserve"> PAGE  \* MERGEFORMAT </w:instrText>
    </w:r>
    <w:r w:rsidRPr="00DB1707">
      <w:rPr>
        <w:b/>
        <w:sz w:val="18"/>
      </w:rPr>
      <w:fldChar w:fldCharType="separate"/>
    </w:r>
    <w:r w:rsidR="00824D1E">
      <w:rPr>
        <w:b/>
        <w:noProof/>
        <w:sz w:val="18"/>
      </w:rPr>
      <w:t>2</w:t>
    </w:r>
    <w:r w:rsidRPr="00DB1707">
      <w:rPr>
        <w:b/>
        <w:sz w:val="18"/>
      </w:rPr>
      <w:fldChar w:fldCharType="end"/>
    </w:r>
    <w:r>
      <w:rPr>
        <w:b/>
        <w:sz w:val="18"/>
      </w:rPr>
      <w:tab/>
    </w:r>
    <w:r>
      <w:t>GE.18-08854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07" w:rsidRPr="00DB1707" w:rsidRDefault="00DB1707" w:rsidP="00DB1707">
    <w:pPr>
      <w:pStyle w:val="Footer"/>
      <w:tabs>
        <w:tab w:val="right" w:pos="9638"/>
      </w:tabs>
      <w:rPr>
        <w:b/>
        <w:sz w:val="18"/>
      </w:rPr>
    </w:pPr>
    <w:r>
      <w:t>GE.18-08854</w:t>
    </w:r>
    <w:r>
      <w:tab/>
    </w:r>
    <w:r w:rsidRPr="00DB1707">
      <w:rPr>
        <w:b/>
        <w:sz w:val="18"/>
      </w:rPr>
      <w:fldChar w:fldCharType="begin"/>
    </w:r>
    <w:r w:rsidRPr="00DB1707">
      <w:rPr>
        <w:b/>
        <w:sz w:val="18"/>
      </w:rPr>
      <w:instrText xml:space="preserve"> PAGE  \* MERGEFORMAT </w:instrText>
    </w:r>
    <w:r w:rsidRPr="00DB1707">
      <w:rPr>
        <w:b/>
        <w:sz w:val="18"/>
      </w:rPr>
      <w:fldChar w:fldCharType="separate"/>
    </w:r>
    <w:r w:rsidR="00B97D68">
      <w:rPr>
        <w:b/>
        <w:noProof/>
        <w:sz w:val="18"/>
      </w:rPr>
      <w:t>2</w:t>
    </w:r>
    <w:r w:rsidRPr="00DB17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E9" w:rsidRPr="00DB1707" w:rsidRDefault="00DB1707" w:rsidP="00DB1707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18-08854  (F)</w:t>
    </w:r>
    <w:r w:rsidR="00F66C52">
      <w:rPr>
        <w:sz w:val="20"/>
      </w:rPr>
      <w:t xml:space="preserve">    130618    130718</w:t>
    </w:r>
    <w:r>
      <w:rPr>
        <w:sz w:val="20"/>
      </w:rPr>
      <w:br/>
    </w:r>
    <w:r w:rsidRPr="00DB1707">
      <w:rPr>
        <w:rFonts w:ascii="C39T30Lfz" w:hAnsi="C39T30Lfz"/>
        <w:sz w:val="56"/>
      </w:rPr>
      <w:t></w:t>
    </w:r>
    <w:r w:rsidRPr="00DB1707">
      <w:rPr>
        <w:rFonts w:ascii="C39T30Lfz" w:hAnsi="C39T30Lfz"/>
        <w:sz w:val="56"/>
      </w:rPr>
      <w:t></w:t>
    </w:r>
    <w:r w:rsidRPr="00DB1707">
      <w:rPr>
        <w:rFonts w:ascii="C39T30Lfz" w:hAnsi="C39T30Lfz"/>
        <w:sz w:val="56"/>
      </w:rPr>
      <w:t></w:t>
    </w:r>
    <w:r w:rsidRPr="00DB1707">
      <w:rPr>
        <w:rFonts w:ascii="C39T30Lfz" w:hAnsi="C39T30Lfz"/>
        <w:sz w:val="56"/>
      </w:rPr>
      <w:t></w:t>
    </w:r>
    <w:r w:rsidRPr="00DB1707">
      <w:rPr>
        <w:rFonts w:ascii="C39T30Lfz" w:hAnsi="C39T30Lfz"/>
        <w:sz w:val="56"/>
      </w:rPr>
      <w:t></w:t>
    </w:r>
    <w:r w:rsidRPr="00DB1707">
      <w:rPr>
        <w:rFonts w:ascii="C39T30Lfz" w:hAnsi="C39T30Lfz"/>
        <w:sz w:val="56"/>
      </w:rPr>
      <w:t></w:t>
    </w:r>
    <w:r w:rsidRPr="00DB1707">
      <w:rPr>
        <w:rFonts w:ascii="C39T30Lfz" w:hAnsi="C39T30Lfz"/>
        <w:sz w:val="56"/>
      </w:rPr>
      <w:t></w:t>
    </w:r>
    <w:r w:rsidRPr="00DB1707">
      <w:rPr>
        <w:rFonts w:ascii="C39T30Lfz" w:hAnsi="C39T30Lfz"/>
        <w:sz w:val="56"/>
      </w:rPr>
      <w:t></w:t>
    </w:r>
    <w:r w:rsidRPr="00DB170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15/AC.2/2018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52" w:rsidRPr="00AC3823" w:rsidRDefault="00927C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7C52" w:rsidRPr="00AC3823" w:rsidRDefault="00927C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7C52" w:rsidRPr="00AC3823" w:rsidRDefault="00927C52">
      <w:pPr>
        <w:spacing w:line="240" w:lineRule="auto"/>
        <w:rPr>
          <w:sz w:val="2"/>
          <w:szCs w:val="2"/>
        </w:rPr>
      </w:pPr>
    </w:p>
  </w:footnote>
  <w:footnote w:id="2">
    <w:p w:rsidR="00F66C52" w:rsidRPr="00F66C52" w:rsidRDefault="00F66C52">
      <w:pPr>
        <w:pStyle w:val="FootnoteText"/>
      </w:pPr>
      <w:r>
        <w:rPr>
          <w:rStyle w:val="FootnoteReference"/>
        </w:rPr>
        <w:tab/>
      </w:r>
      <w:r w:rsidRPr="00F66C5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 en langue allemande par la Commission centrale pour la navigation du Rhin sous la cote CCNR-ZKR/ADN/WP.15/AC.2/2018/34.</w:t>
      </w:r>
    </w:p>
  </w:footnote>
  <w:footnote w:id="3">
    <w:p w:rsidR="00F66C52" w:rsidRPr="00F66C52" w:rsidRDefault="00F66C52">
      <w:pPr>
        <w:pStyle w:val="FootnoteText"/>
      </w:pPr>
      <w:r>
        <w:rPr>
          <w:rStyle w:val="FootnoteReference"/>
        </w:rPr>
        <w:tab/>
      </w:r>
      <w:r w:rsidRPr="00F66C5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2018-2019 (ECE/TRANS/2018/21/Add.1, module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07" w:rsidRPr="00DB1707" w:rsidRDefault="00824D1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0723B">
      <w:t>ECE/TRANS/WP.15/AC.2/2018/34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07" w:rsidRPr="00DB1707" w:rsidRDefault="00824D1E" w:rsidP="00DB170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0723B">
      <w:t>ECE/TRANS/WP.15/AC.2/2018/34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2"/>
    <w:rsid w:val="00017F94"/>
    <w:rsid w:val="00023842"/>
    <w:rsid w:val="000334F9"/>
    <w:rsid w:val="0007796D"/>
    <w:rsid w:val="000B7790"/>
    <w:rsid w:val="000D3EE9"/>
    <w:rsid w:val="00111F2F"/>
    <w:rsid w:val="001433FD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410898"/>
    <w:rsid w:val="00441C3B"/>
    <w:rsid w:val="00446B0A"/>
    <w:rsid w:val="00446FE5"/>
    <w:rsid w:val="00452396"/>
    <w:rsid w:val="004E468C"/>
    <w:rsid w:val="00506BE1"/>
    <w:rsid w:val="005316B0"/>
    <w:rsid w:val="005505B7"/>
    <w:rsid w:val="00573BE5"/>
    <w:rsid w:val="00586ED3"/>
    <w:rsid w:val="00596AA9"/>
    <w:rsid w:val="005F2353"/>
    <w:rsid w:val="00617477"/>
    <w:rsid w:val="00706363"/>
    <w:rsid w:val="0071601D"/>
    <w:rsid w:val="0074674C"/>
    <w:rsid w:val="00776E24"/>
    <w:rsid w:val="007A62E6"/>
    <w:rsid w:val="007B75F3"/>
    <w:rsid w:val="0080684C"/>
    <w:rsid w:val="00824D1E"/>
    <w:rsid w:val="00871C75"/>
    <w:rsid w:val="008776DC"/>
    <w:rsid w:val="00927C52"/>
    <w:rsid w:val="009705C8"/>
    <w:rsid w:val="00995A2A"/>
    <w:rsid w:val="009C1CF4"/>
    <w:rsid w:val="00A0723B"/>
    <w:rsid w:val="00A30353"/>
    <w:rsid w:val="00AA113A"/>
    <w:rsid w:val="00AC3823"/>
    <w:rsid w:val="00AE323C"/>
    <w:rsid w:val="00AF4B62"/>
    <w:rsid w:val="00B00181"/>
    <w:rsid w:val="00B00B0D"/>
    <w:rsid w:val="00B765F7"/>
    <w:rsid w:val="00B97D68"/>
    <w:rsid w:val="00BA0CA9"/>
    <w:rsid w:val="00C02897"/>
    <w:rsid w:val="00D3439C"/>
    <w:rsid w:val="00DB1707"/>
    <w:rsid w:val="00DB1831"/>
    <w:rsid w:val="00DD3BFD"/>
    <w:rsid w:val="00DF6678"/>
    <w:rsid w:val="00EF2E22"/>
    <w:rsid w:val="00F660DF"/>
    <w:rsid w:val="00F66C52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8D6F96-965D-4E7F-85D5-2DB0DE92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ECE/TRANS/WP.15/AC.2/2018/34</vt:lpstr>
      <vt:lpstr>ECE/TRANS/WP.15/AC.2/2018/34</vt:lpstr>
    </vt:vector>
  </TitlesOfParts>
  <Company>DCM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ECE/TRANS/WP.15/AC.2/2018/34</dc:title>
  <dc:subject/>
  <dc:creator>ROY</dc:creator>
  <cp:keywords/>
  <cp:lastModifiedBy>Caillot</cp:lastModifiedBy>
  <cp:revision>2</cp:revision>
  <cp:lastPrinted>2018-07-13T07:57:00Z</cp:lastPrinted>
  <dcterms:created xsi:type="dcterms:W3CDTF">2018-07-23T15:12:00Z</dcterms:created>
  <dcterms:modified xsi:type="dcterms:W3CDTF">2018-07-23T15:12:00Z</dcterms:modified>
</cp:coreProperties>
</file>