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815" w:rsidRPr="004B1815" w:rsidRDefault="004B1815" w:rsidP="004B1815">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4B1815">
        <w:rPr>
          <w:rFonts w:ascii="Arial" w:eastAsia="Arial" w:hAnsi="Arial" w:cs="Arial"/>
          <w:bCs/>
          <w:noProof/>
          <w:szCs w:val="24"/>
          <w:lang w:eastAsia="de-DE"/>
        </w:rPr>
        <w:drawing>
          <wp:anchor distT="0" distB="0" distL="114300" distR="114300" simplePos="0" relativeHeight="251659264" behindDoc="0" locked="0" layoutInCell="1" allowOverlap="1" wp14:anchorId="302999F3" wp14:editId="4703CBB4">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3B4443">
        <w:rPr>
          <w:rFonts w:ascii="Arial" w:eastAsia="Arial" w:hAnsi="Arial" w:cs="Arial"/>
          <w:bCs/>
          <w:szCs w:val="24"/>
          <w:lang w:val="en-US" w:eastAsia="de-DE"/>
        </w:rPr>
        <w:t>CCNR-ZKR/ADN/WP.15/AC.2/2018/29</w:t>
      </w:r>
    </w:p>
    <w:p w:rsidR="004B1815" w:rsidRPr="004B1815" w:rsidRDefault="004B1815" w:rsidP="004B1815">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4B1815">
        <w:rPr>
          <w:rFonts w:ascii="Arial" w:hAnsi="Arial" w:cs="Arial"/>
          <w:sz w:val="16"/>
          <w:szCs w:val="24"/>
          <w:lang w:eastAsia="de-DE"/>
        </w:rPr>
        <w:t>Allgemeine Verteilung</w:t>
      </w:r>
    </w:p>
    <w:p w:rsidR="004B1815" w:rsidRPr="004B1815" w:rsidRDefault="003B4443" w:rsidP="004B1815">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4. Juni</w:t>
      </w:r>
      <w:r w:rsidR="004B1815" w:rsidRPr="004B1815">
        <w:rPr>
          <w:rFonts w:ascii="Arial" w:eastAsia="Arial" w:hAnsi="Arial" w:cs="Arial"/>
          <w:szCs w:val="24"/>
          <w:lang w:eastAsia="de-DE"/>
        </w:rPr>
        <w:t xml:space="preserve"> 2018</w:t>
      </w:r>
    </w:p>
    <w:p w:rsidR="004B1815" w:rsidRPr="004B1815" w:rsidRDefault="004B1815" w:rsidP="004B1815">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4B1815">
        <w:rPr>
          <w:rFonts w:ascii="Arial" w:eastAsia="Arial" w:hAnsi="Arial" w:cs="Arial"/>
          <w:sz w:val="16"/>
          <w:szCs w:val="24"/>
          <w:lang w:eastAsia="de-DE"/>
        </w:rPr>
        <w:t>Or</w:t>
      </w:r>
      <w:proofErr w:type="spellEnd"/>
      <w:r w:rsidRPr="004B1815">
        <w:rPr>
          <w:rFonts w:ascii="Arial" w:eastAsia="Arial" w:hAnsi="Arial" w:cs="Arial"/>
          <w:sz w:val="16"/>
          <w:szCs w:val="24"/>
          <w:lang w:eastAsia="de-DE"/>
        </w:rPr>
        <w:t>. DEUTSCH</w:t>
      </w:r>
    </w:p>
    <w:p w:rsidR="004B1815" w:rsidRPr="004B1815" w:rsidRDefault="004B1815" w:rsidP="004B1815">
      <w:pPr>
        <w:widowControl/>
        <w:overflowPunct/>
        <w:autoSpaceDE/>
        <w:autoSpaceDN/>
        <w:adjustRightInd/>
        <w:snapToGrid w:val="0"/>
        <w:ind w:left="0" w:firstLine="0"/>
        <w:jc w:val="left"/>
        <w:textAlignment w:val="auto"/>
        <w:rPr>
          <w:rFonts w:ascii="Arial" w:hAnsi="Arial" w:cs="Arial"/>
          <w:sz w:val="16"/>
          <w:szCs w:val="24"/>
          <w:lang w:eastAsia="de-DE"/>
        </w:rPr>
      </w:pPr>
    </w:p>
    <w:p w:rsidR="004B1815" w:rsidRPr="004B1815" w:rsidRDefault="004B1815" w:rsidP="004B1815">
      <w:pPr>
        <w:widowControl/>
        <w:overflowPunct/>
        <w:autoSpaceDE/>
        <w:autoSpaceDN/>
        <w:adjustRightInd/>
        <w:snapToGrid w:val="0"/>
        <w:ind w:left="0" w:firstLine="0"/>
        <w:jc w:val="left"/>
        <w:textAlignment w:val="auto"/>
        <w:rPr>
          <w:rFonts w:ascii="Arial" w:hAnsi="Arial" w:cs="Arial"/>
          <w:sz w:val="16"/>
          <w:szCs w:val="24"/>
          <w:lang w:eastAsia="de-DE"/>
        </w:rPr>
      </w:pPr>
    </w:p>
    <w:p w:rsidR="004B1815" w:rsidRPr="004B1815" w:rsidRDefault="004B1815" w:rsidP="004B1815">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4B1815">
        <w:rPr>
          <w:rFonts w:ascii="Arial" w:hAnsi="Arial"/>
          <w:noProof/>
          <w:sz w:val="16"/>
          <w:szCs w:val="24"/>
        </w:rPr>
        <w:t>GEMEINSAME EXPERTENTAGUNG FÜR DIE DEM</w:t>
      </w:r>
    </w:p>
    <w:p w:rsidR="004B1815" w:rsidRPr="004B1815" w:rsidRDefault="004B1815" w:rsidP="004B1815">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4B1815">
        <w:rPr>
          <w:rFonts w:ascii="Arial" w:hAnsi="Arial"/>
          <w:noProof/>
          <w:sz w:val="16"/>
          <w:szCs w:val="24"/>
        </w:rPr>
        <w:t>ÜBEREINKOMMEN ÜBER DIE INTERNATIONALE BEFÖRDERUNG</w:t>
      </w:r>
    </w:p>
    <w:p w:rsidR="004B1815" w:rsidRPr="004B1815" w:rsidRDefault="004B1815" w:rsidP="004B1815">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4B1815">
        <w:rPr>
          <w:rFonts w:ascii="Arial" w:hAnsi="Arial"/>
          <w:noProof/>
          <w:sz w:val="16"/>
          <w:szCs w:val="24"/>
        </w:rPr>
        <w:t>VON GEFÄHRLICHEN GÜTERN AUF BINNENWASSERSTRASSEN</w:t>
      </w:r>
    </w:p>
    <w:p w:rsidR="004B1815" w:rsidRPr="004B1815" w:rsidRDefault="004B1815" w:rsidP="004B1815">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4B1815">
        <w:rPr>
          <w:rFonts w:ascii="Arial" w:hAnsi="Arial"/>
          <w:noProof/>
          <w:sz w:val="16"/>
          <w:szCs w:val="24"/>
        </w:rPr>
        <w:t>BEIGEFÜGTE VERORDNUNG (ADN)</w:t>
      </w:r>
    </w:p>
    <w:p w:rsidR="004B1815" w:rsidRPr="004B1815" w:rsidRDefault="004B1815" w:rsidP="004B1815">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4B1815">
        <w:rPr>
          <w:rFonts w:ascii="Arial" w:hAnsi="Arial"/>
          <w:noProof/>
          <w:sz w:val="16"/>
          <w:szCs w:val="24"/>
        </w:rPr>
        <w:t>(SICHERHEITSAUSSCHUSS)</w:t>
      </w:r>
    </w:p>
    <w:p w:rsidR="004B1815" w:rsidRPr="004B1815" w:rsidRDefault="004B1815" w:rsidP="004B1815">
      <w:pPr>
        <w:widowControl/>
        <w:tabs>
          <w:tab w:val="left" w:pos="2977"/>
        </w:tabs>
        <w:overflowPunct/>
        <w:autoSpaceDE/>
        <w:autoSpaceDN/>
        <w:adjustRightInd/>
        <w:snapToGrid w:val="0"/>
        <w:ind w:left="3960" w:firstLine="0"/>
        <w:jc w:val="left"/>
        <w:textAlignment w:val="auto"/>
        <w:rPr>
          <w:rFonts w:ascii="Arial" w:hAnsi="Arial"/>
          <w:sz w:val="16"/>
          <w:szCs w:val="24"/>
        </w:rPr>
      </w:pPr>
      <w:r w:rsidRPr="004B1815">
        <w:rPr>
          <w:rFonts w:ascii="Arial" w:hAnsi="Arial"/>
          <w:sz w:val="16"/>
          <w:szCs w:val="24"/>
        </w:rPr>
        <w:t xml:space="preserve">(33. Tagung, Genf, </w:t>
      </w:r>
      <w:r w:rsidR="004400D3">
        <w:rPr>
          <w:rFonts w:ascii="Arial" w:hAnsi="Arial"/>
          <w:sz w:val="16"/>
          <w:szCs w:val="24"/>
        </w:rPr>
        <w:t>27. -31.</w:t>
      </w:r>
      <w:r w:rsidRPr="004B1815">
        <w:rPr>
          <w:rFonts w:ascii="Arial" w:hAnsi="Arial"/>
          <w:sz w:val="16"/>
          <w:szCs w:val="24"/>
        </w:rPr>
        <w:t xml:space="preserve"> August 2018)</w:t>
      </w:r>
    </w:p>
    <w:p w:rsidR="004B1815" w:rsidRPr="004B1815" w:rsidRDefault="004B1815" w:rsidP="004B1815">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4B1815">
        <w:rPr>
          <w:rFonts w:ascii="Arial" w:hAnsi="Arial" w:cs="Arial"/>
          <w:sz w:val="16"/>
          <w:szCs w:val="16"/>
          <w:lang w:eastAsia="en-US"/>
        </w:rPr>
        <w:t xml:space="preserve">Punkt </w:t>
      </w:r>
      <w:r w:rsidR="003B4443">
        <w:rPr>
          <w:rFonts w:ascii="Arial" w:hAnsi="Arial" w:cs="Arial"/>
          <w:sz w:val="16"/>
          <w:szCs w:val="16"/>
          <w:lang w:eastAsia="en-US"/>
        </w:rPr>
        <w:t>4 b)</w:t>
      </w:r>
      <w:r w:rsidRPr="004B1815">
        <w:rPr>
          <w:rFonts w:ascii="Arial" w:hAnsi="Arial" w:cs="Arial"/>
          <w:sz w:val="16"/>
          <w:szCs w:val="16"/>
          <w:lang w:eastAsia="en-US"/>
        </w:rPr>
        <w:t xml:space="preserve"> zur vorläufigen Tagesordnung</w:t>
      </w:r>
    </w:p>
    <w:p w:rsidR="004B1815" w:rsidRPr="004B1815" w:rsidRDefault="004B1815" w:rsidP="004B1815">
      <w:pPr>
        <w:tabs>
          <w:tab w:val="left" w:pos="2977"/>
        </w:tabs>
        <w:ind w:left="3960"/>
        <w:rPr>
          <w:rFonts w:ascii="Arial" w:hAnsi="Arial" w:cs="Arial"/>
          <w:b/>
          <w:sz w:val="16"/>
          <w:szCs w:val="16"/>
          <w:lang w:eastAsia="en-US"/>
        </w:rPr>
      </w:pPr>
      <w:r w:rsidRPr="004B1815">
        <w:rPr>
          <w:rFonts w:ascii="Arial" w:hAnsi="Arial" w:cs="Arial"/>
          <w:b/>
          <w:sz w:val="16"/>
          <w:szCs w:val="16"/>
          <w:lang w:eastAsia="en-US"/>
        </w:rPr>
        <w:tab/>
      </w:r>
      <w:r w:rsidRPr="004B1815">
        <w:rPr>
          <w:rFonts w:ascii="Arial" w:hAnsi="Arial" w:cs="Arial"/>
          <w:b/>
          <w:sz w:val="16"/>
          <w:szCs w:val="16"/>
          <w:lang w:eastAsia="en-US"/>
        </w:rPr>
        <w:tab/>
        <w:t>Vorschläge für Änderungen der dem ADN beigefügten Verordnung:</w:t>
      </w:r>
    </w:p>
    <w:p w:rsidR="004B1815" w:rsidRPr="004B1815" w:rsidRDefault="004B1815" w:rsidP="004B1815">
      <w:pPr>
        <w:tabs>
          <w:tab w:val="left" w:pos="2977"/>
        </w:tabs>
        <w:ind w:left="3960"/>
        <w:rPr>
          <w:rFonts w:ascii="Arial" w:hAnsi="Arial" w:cs="Arial"/>
          <w:b/>
          <w:sz w:val="16"/>
          <w:szCs w:val="16"/>
          <w:lang w:eastAsia="en-US"/>
        </w:rPr>
      </w:pPr>
      <w:r w:rsidRPr="004B1815">
        <w:rPr>
          <w:rFonts w:ascii="Arial" w:hAnsi="Arial" w:cs="Arial"/>
          <w:b/>
          <w:sz w:val="16"/>
          <w:szCs w:val="16"/>
          <w:lang w:eastAsia="en-US"/>
        </w:rPr>
        <w:tab/>
      </w:r>
      <w:r w:rsidRPr="004B1815">
        <w:rPr>
          <w:rFonts w:ascii="Arial" w:hAnsi="Arial" w:cs="Arial"/>
          <w:b/>
          <w:sz w:val="16"/>
          <w:szCs w:val="16"/>
          <w:lang w:eastAsia="en-US"/>
        </w:rPr>
        <w:tab/>
        <w:t>Weitere Vorschläge</w:t>
      </w:r>
    </w:p>
    <w:p w:rsidR="004B1815" w:rsidRPr="004B1815" w:rsidRDefault="004B1815" w:rsidP="004B1815">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4B1815" w:rsidRPr="004B1815" w:rsidRDefault="004B1815" w:rsidP="004B1815">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4B1815" w:rsidRPr="004B1815" w:rsidRDefault="004B1815" w:rsidP="004B1815">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4B1815" w:rsidRPr="004B1815" w:rsidRDefault="004B1815" w:rsidP="004B1815">
      <w:pPr>
        <w:pStyle w:val="HChG"/>
        <w:keepNext w:val="0"/>
        <w:keepLines w:val="0"/>
        <w:tabs>
          <w:tab w:val="clear" w:pos="851"/>
        </w:tabs>
        <w:spacing w:before="0" w:after="0" w:line="240" w:lineRule="auto"/>
        <w:ind w:left="0" w:right="0" w:firstLine="0"/>
        <w:jc w:val="both"/>
        <w:rPr>
          <w:bCs/>
          <w:szCs w:val="24"/>
          <w:lang w:val="de-DE"/>
        </w:rPr>
      </w:pPr>
      <w:r w:rsidRPr="004B1815">
        <w:rPr>
          <w:bCs/>
          <w:szCs w:val="24"/>
          <w:lang w:val="de-DE"/>
        </w:rPr>
        <w:t>Stoffnummer 9001 – Benennung und Beschreibung</w:t>
      </w:r>
    </w:p>
    <w:p w:rsidR="004B1815" w:rsidRPr="004B1815" w:rsidRDefault="004B1815" w:rsidP="004B1815">
      <w:pPr>
        <w:keepNext/>
        <w:keepLines/>
        <w:widowControl/>
        <w:suppressAutoHyphens/>
        <w:overflowPunct/>
        <w:autoSpaceDE/>
        <w:autoSpaceDN/>
        <w:adjustRightInd/>
        <w:snapToGrid w:val="0"/>
        <w:spacing w:before="360" w:after="240" w:line="270" w:lineRule="exact"/>
        <w:ind w:right="567"/>
        <w:jc w:val="left"/>
        <w:textAlignment w:val="auto"/>
        <w:rPr>
          <w:b/>
          <w:sz w:val="24"/>
        </w:rPr>
      </w:pPr>
      <w:r w:rsidRPr="004B1815">
        <w:rPr>
          <w:b/>
          <w:sz w:val="24"/>
        </w:rPr>
        <w:t>Vorgelegt von Deutschland</w:t>
      </w:r>
      <w:r w:rsidRPr="004B1815">
        <w:rPr>
          <w:b/>
          <w:sz w:val="18"/>
          <w:vertAlign w:val="superscript"/>
        </w:rPr>
        <w:footnoteReference w:id="1"/>
      </w:r>
      <w:r w:rsidRPr="004B1815">
        <w:rPr>
          <w:b/>
          <w:sz w:val="18"/>
          <w:vertAlign w:val="superscript"/>
        </w:rPr>
        <w:t>,</w:t>
      </w:r>
      <w:r w:rsidRPr="004B1815">
        <w:rPr>
          <w:b/>
          <w:sz w:val="18"/>
          <w:vertAlign w:val="superscript"/>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4B1815" w:rsidRPr="004B1815" w:rsidTr="00785B9A">
        <w:trPr>
          <w:jc w:val="center"/>
        </w:trPr>
        <w:tc>
          <w:tcPr>
            <w:tcW w:w="2330" w:type="dxa"/>
          </w:tcPr>
          <w:p w:rsidR="004B1815" w:rsidRPr="004B1815" w:rsidRDefault="004B1815" w:rsidP="00785B9A">
            <w:pPr>
              <w:tabs>
                <w:tab w:val="left" w:pos="284"/>
              </w:tabs>
              <w:spacing w:before="120" w:after="120"/>
              <w:rPr>
                <w:i/>
                <w:lang w:eastAsia="en-US"/>
              </w:rPr>
            </w:pPr>
            <w:r w:rsidRPr="004B1815">
              <w:rPr>
                <w:rFonts w:eastAsia="Arial"/>
                <w:i/>
                <w:lang w:eastAsia="en-US"/>
              </w:rPr>
              <w:t>Zusammenfassung</w:t>
            </w:r>
          </w:p>
        </w:tc>
        <w:tc>
          <w:tcPr>
            <w:tcW w:w="7309" w:type="dxa"/>
          </w:tcPr>
          <w:p w:rsidR="004B1815" w:rsidRPr="004B1815" w:rsidRDefault="004B1815" w:rsidP="00785B9A">
            <w:pPr>
              <w:spacing w:before="120" w:after="120"/>
              <w:rPr>
                <w:lang w:eastAsia="en-US"/>
              </w:rPr>
            </w:pPr>
          </w:p>
        </w:tc>
      </w:tr>
      <w:tr w:rsidR="004B1815" w:rsidRPr="004B1815" w:rsidTr="00785B9A">
        <w:trPr>
          <w:jc w:val="center"/>
        </w:trPr>
        <w:tc>
          <w:tcPr>
            <w:tcW w:w="2330" w:type="dxa"/>
            <w:tcBorders>
              <w:bottom w:val="single" w:sz="4" w:space="0" w:color="auto"/>
            </w:tcBorders>
          </w:tcPr>
          <w:p w:rsidR="004B1815" w:rsidRPr="004B1815" w:rsidRDefault="004B1815" w:rsidP="00785B9A">
            <w:pPr>
              <w:tabs>
                <w:tab w:val="left" w:pos="284"/>
              </w:tabs>
              <w:spacing w:before="120" w:after="120"/>
              <w:jc w:val="left"/>
              <w:rPr>
                <w:b/>
                <w:lang w:eastAsia="en-US"/>
              </w:rPr>
            </w:pPr>
            <w:r w:rsidRPr="004B1815">
              <w:rPr>
                <w:b/>
                <w:lang w:eastAsia="en-US"/>
              </w:rPr>
              <w:t>Analytische</w:t>
            </w:r>
          </w:p>
          <w:p w:rsidR="004B1815" w:rsidRPr="004B1815" w:rsidRDefault="004B1815" w:rsidP="00785B9A">
            <w:pPr>
              <w:tabs>
                <w:tab w:val="left" w:pos="284"/>
              </w:tabs>
              <w:spacing w:before="120" w:after="120"/>
              <w:jc w:val="left"/>
              <w:rPr>
                <w:b/>
                <w:lang w:eastAsia="en-US"/>
              </w:rPr>
            </w:pPr>
            <w:r w:rsidRPr="004B1815">
              <w:rPr>
                <w:b/>
                <w:lang w:eastAsia="en-US"/>
              </w:rPr>
              <w:t>Zusammenfassung:</w:t>
            </w:r>
          </w:p>
        </w:tc>
        <w:tc>
          <w:tcPr>
            <w:tcW w:w="7309" w:type="dxa"/>
            <w:tcBorders>
              <w:bottom w:val="single" w:sz="4" w:space="0" w:color="auto"/>
            </w:tcBorders>
          </w:tcPr>
          <w:p w:rsidR="004B1815" w:rsidRPr="004B1815" w:rsidRDefault="004B1815" w:rsidP="00785B9A">
            <w:pPr>
              <w:ind w:left="12" w:firstLine="0"/>
              <w:rPr>
                <w:rFonts w:cs="Arial"/>
              </w:rPr>
            </w:pPr>
            <w:r w:rsidRPr="004B1815">
              <w:rPr>
                <w:rFonts w:cs="Arial"/>
              </w:rPr>
              <w:t>Es ist aufgefallen, dass es bei der Stoffnummer 9001 und ihrer Benennung Unterschiede in den Tabellen A und C sowie zwischen den Sprachfassungen Französisch, Englisch Russisch und Deutsch des ADN 2017 gibt.</w:t>
            </w:r>
          </w:p>
          <w:p w:rsidR="004B1815" w:rsidRPr="004B1815" w:rsidRDefault="004B1815" w:rsidP="00785B9A">
            <w:pPr>
              <w:ind w:left="12" w:firstLine="0"/>
              <w:rPr>
                <w:rFonts w:cs="Arial"/>
              </w:rPr>
            </w:pPr>
            <w:r w:rsidRPr="004B1815">
              <w:rPr>
                <w:rFonts w:cs="Arial"/>
              </w:rPr>
              <w:t>Nach Auffassung Deutschlands ist die deutsche Benennung „STOFFE MIT EINEM FLAMMPUNKT ÜBER 60 °C, DIE IN EINEM BEREICH VON 15 K UNTERHALB DES FLAMMPUNKTS ERWÄRMT zur Beförderung aufgegeben oder befördert werden“ an allen 4 Fundstellen die richtige.</w:t>
            </w:r>
          </w:p>
        </w:tc>
      </w:tr>
      <w:tr w:rsidR="004B1815" w:rsidRPr="004B1815" w:rsidTr="00785B9A">
        <w:trPr>
          <w:jc w:val="center"/>
        </w:trPr>
        <w:tc>
          <w:tcPr>
            <w:tcW w:w="2330" w:type="dxa"/>
            <w:tcBorders>
              <w:bottom w:val="single" w:sz="4" w:space="0" w:color="auto"/>
            </w:tcBorders>
          </w:tcPr>
          <w:p w:rsidR="004B1815" w:rsidRPr="004B1815" w:rsidRDefault="004B1815" w:rsidP="00785B9A">
            <w:pPr>
              <w:spacing w:before="120" w:after="120"/>
              <w:ind w:left="0" w:firstLine="0"/>
              <w:jc w:val="left"/>
              <w:rPr>
                <w:b/>
                <w:lang w:eastAsia="en-US"/>
              </w:rPr>
            </w:pPr>
            <w:r w:rsidRPr="004B1815">
              <w:rPr>
                <w:b/>
                <w:lang w:eastAsia="en-US"/>
              </w:rPr>
              <w:t>Zu ergreifende Maßnahme:</w:t>
            </w:r>
          </w:p>
        </w:tc>
        <w:tc>
          <w:tcPr>
            <w:tcW w:w="7309" w:type="dxa"/>
            <w:tcBorders>
              <w:bottom w:val="single" w:sz="4" w:space="0" w:color="auto"/>
            </w:tcBorders>
          </w:tcPr>
          <w:p w:rsidR="004B1815" w:rsidRPr="004B1815" w:rsidRDefault="004B1815" w:rsidP="00785B9A">
            <w:pPr>
              <w:ind w:left="12" w:firstLine="0"/>
              <w:rPr>
                <w:rFonts w:cs="Arial"/>
              </w:rPr>
            </w:pPr>
            <w:r w:rsidRPr="004B1815">
              <w:rPr>
                <w:rFonts w:cs="Arial"/>
              </w:rPr>
              <w:t>Die anderen Sprachfassungen sollten dementsprechend geändert werden.</w:t>
            </w:r>
          </w:p>
        </w:tc>
      </w:tr>
      <w:tr w:rsidR="004B1815" w:rsidRPr="004B1815" w:rsidTr="00785B9A">
        <w:trPr>
          <w:jc w:val="center"/>
        </w:trPr>
        <w:tc>
          <w:tcPr>
            <w:tcW w:w="2330" w:type="dxa"/>
            <w:tcBorders>
              <w:top w:val="single" w:sz="4" w:space="0" w:color="auto"/>
            </w:tcBorders>
          </w:tcPr>
          <w:p w:rsidR="004B1815" w:rsidRPr="004B1815" w:rsidRDefault="004B1815" w:rsidP="00785B9A">
            <w:pPr>
              <w:tabs>
                <w:tab w:val="left" w:pos="284"/>
              </w:tabs>
              <w:jc w:val="left"/>
              <w:rPr>
                <w:b/>
                <w:lang w:eastAsia="en-US"/>
              </w:rPr>
            </w:pPr>
            <w:r w:rsidRPr="004B1815">
              <w:rPr>
                <w:b/>
                <w:lang w:eastAsia="en-US"/>
              </w:rPr>
              <w:t>Verbundene Dokumente:</w:t>
            </w:r>
          </w:p>
        </w:tc>
        <w:tc>
          <w:tcPr>
            <w:tcW w:w="7309" w:type="dxa"/>
            <w:tcBorders>
              <w:top w:val="single" w:sz="4" w:space="0" w:color="auto"/>
            </w:tcBorders>
          </w:tcPr>
          <w:p w:rsidR="004B1815" w:rsidRPr="004B1815" w:rsidRDefault="003B4443" w:rsidP="003B4443">
            <w:pPr>
              <w:ind w:left="11" w:firstLine="0"/>
              <w:rPr>
                <w:b/>
                <w:bCs/>
                <w:sz w:val="18"/>
                <w:szCs w:val="18"/>
              </w:rPr>
            </w:pPr>
            <w:r>
              <w:rPr>
                <w:b/>
                <w:bCs/>
                <w:sz w:val="18"/>
                <w:szCs w:val="18"/>
              </w:rPr>
              <w:t xml:space="preserve">Informelles Dokument </w:t>
            </w:r>
            <w:r w:rsidR="004B1815" w:rsidRPr="004B1815">
              <w:rPr>
                <w:b/>
                <w:bCs/>
                <w:sz w:val="18"/>
                <w:szCs w:val="18"/>
              </w:rPr>
              <w:t xml:space="preserve">INF.27 zur 32. Sitzung, ECE/TRANS/WP.15/AC.2/66, Nr. </w:t>
            </w:r>
            <w:r>
              <w:rPr>
                <w:b/>
                <w:bCs/>
                <w:sz w:val="18"/>
                <w:szCs w:val="18"/>
              </w:rPr>
              <w:t>73</w:t>
            </w:r>
          </w:p>
        </w:tc>
      </w:tr>
    </w:tbl>
    <w:p w:rsidR="004B1815" w:rsidRPr="004B1815" w:rsidRDefault="004B1815" w:rsidP="004B1815">
      <w:pPr>
        <w:tabs>
          <w:tab w:val="left" w:pos="1418"/>
        </w:tabs>
        <w:spacing w:line="240" w:lineRule="atLeast"/>
        <w:ind w:left="0" w:firstLine="0"/>
        <w:rPr>
          <w:rFonts w:cs="Arial"/>
        </w:rPr>
      </w:pPr>
    </w:p>
    <w:p w:rsidR="004B1815" w:rsidRPr="004B1815" w:rsidRDefault="004B1815" w:rsidP="004B1815">
      <w:pPr>
        <w:tabs>
          <w:tab w:val="left" w:pos="1418"/>
        </w:tabs>
        <w:spacing w:line="240" w:lineRule="atLeast"/>
        <w:ind w:left="0" w:firstLine="0"/>
        <w:rPr>
          <w:rFonts w:cs="Arial"/>
        </w:rPr>
      </w:pPr>
    </w:p>
    <w:p w:rsidR="00AF7511" w:rsidRDefault="00AF7511">
      <w:pPr>
        <w:widowControl/>
        <w:overflowPunct/>
        <w:autoSpaceDE/>
        <w:autoSpaceDN/>
        <w:adjustRightInd/>
        <w:ind w:left="0" w:firstLine="0"/>
        <w:jc w:val="left"/>
        <w:textAlignment w:val="auto"/>
        <w:rPr>
          <w:b/>
          <w:sz w:val="24"/>
          <w:szCs w:val="18"/>
        </w:rPr>
      </w:pPr>
      <w:r>
        <w:rPr>
          <w:b/>
          <w:sz w:val="24"/>
          <w:szCs w:val="18"/>
        </w:rPr>
        <w:br w:type="page"/>
      </w:r>
    </w:p>
    <w:p w:rsidR="004B1815" w:rsidRPr="004B1815" w:rsidRDefault="004B1815" w:rsidP="004B1815">
      <w:pPr>
        <w:tabs>
          <w:tab w:val="left" w:pos="567"/>
          <w:tab w:val="left" w:pos="1418"/>
        </w:tabs>
        <w:spacing w:line="240" w:lineRule="atLeast"/>
        <w:rPr>
          <w:b/>
          <w:sz w:val="24"/>
          <w:szCs w:val="18"/>
        </w:rPr>
      </w:pPr>
      <w:r w:rsidRPr="004B1815">
        <w:rPr>
          <w:b/>
          <w:sz w:val="24"/>
          <w:szCs w:val="18"/>
        </w:rPr>
        <w:lastRenderedPageBreak/>
        <w:t>I.</w:t>
      </w:r>
      <w:r w:rsidRPr="004B1815">
        <w:rPr>
          <w:b/>
          <w:sz w:val="24"/>
          <w:szCs w:val="18"/>
        </w:rPr>
        <w:tab/>
        <w:t>Einführung</w:t>
      </w:r>
    </w:p>
    <w:p w:rsidR="004B1815" w:rsidRPr="004B1815" w:rsidRDefault="004B1815" w:rsidP="004B1815">
      <w:pPr>
        <w:tabs>
          <w:tab w:val="left" w:pos="1418"/>
        </w:tabs>
        <w:spacing w:line="240" w:lineRule="atLeast"/>
        <w:ind w:left="0" w:firstLine="0"/>
        <w:rPr>
          <w:rFonts w:cs="Arial"/>
        </w:rPr>
      </w:pPr>
    </w:p>
    <w:p w:rsidR="004B1815" w:rsidRPr="004B1815" w:rsidRDefault="004B1815" w:rsidP="004B1815">
      <w:pPr>
        <w:tabs>
          <w:tab w:val="left" w:pos="567"/>
        </w:tabs>
        <w:spacing w:line="240" w:lineRule="atLeast"/>
        <w:ind w:left="0" w:firstLine="0"/>
        <w:rPr>
          <w:rFonts w:cs="Arial"/>
        </w:rPr>
      </w:pPr>
      <w:r w:rsidRPr="004B1815">
        <w:rPr>
          <w:rFonts w:cs="Arial"/>
        </w:rPr>
        <w:t>1.</w:t>
      </w:r>
      <w:r w:rsidRPr="004B1815">
        <w:rPr>
          <w:rFonts w:cs="Arial"/>
        </w:rPr>
        <w:tab/>
        <w:t>An folgenden Stellen im ADN ist das gefährliche Gut mit der Stoffnummer 9001 zusammen mit einer offiziellen Benennung und Beschreibung aufgeführt:</w:t>
      </w:r>
    </w:p>
    <w:p w:rsidR="004B1815" w:rsidRPr="004B1815" w:rsidRDefault="004B1815" w:rsidP="004B1815">
      <w:pPr>
        <w:tabs>
          <w:tab w:val="left" w:pos="567"/>
        </w:tabs>
        <w:spacing w:line="240" w:lineRule="atLeast"/>
        <w:ind w:left="0" w:firstLine="0"/>
        <w:rPr>
          <w:rFonts w:cs="Arial"/>
        </w:rPr>
      </w:pPr>
    </w:p>
    <w:p w:rsidR="004B1815" w:rsidRPr="004B1815" w:rsidRDefault="004B1815" w:rsidP="004B1815">
      <w:pPr>
        <w:tabs>
          <w:tab w:val="left" w:pos="567"/>
        </w:tabs>
        <w:spacing w:line="240" w:lineRule="atLeast"/>
        <w:ind w:left="0" w:firstLine="0"/>
        <w:rPr>
          <w:rFonts w:cs="Arial"/>
        </w:rPr>
      </w:pPr>
      <w:r w:rsidRPr="004B1815">
        <w:rPr>
          <w:rFonts w:cs="Arial"/>
        </w:rPr>
        <w:t>Unterabschnitt 2.2.3.3 (F4), Tabelle A, Tabelle B, Tabelle C.</w:t>
      </w:r>
    </w:p>
    <w:p w:rsidR="004B1815" w:rsidRPr="004B1815" w:rsidRDefault="004B1815" w:rsidP="004B1815">
      <w:pPr>
        <w:tabs>
          <w:tab w:val="left" w:pos="567"/>
        </w:tabs>
        <w:spacing w:line="240" w:lineRule="atLeast"/>
        <w:ind w:left="0" w:firstLine="0"/>
        <w:rPr>
          <w:rFonts w:cs="Arial"/>
        </w:rPr>
      </w:pPr>
    </w:p>
    <w:p w:rsidR="004B1815" w:rsidRPr="004B1815" w:rsidRDefault="004B1815" w:rsidP="004B1815">
      <w:pPr>
        <w:tabs>
          <w:tab w:val="left" w:pos="567"/>
        </w:tabs>
        <w:spacing w:line="240" w:lineRule="atLeast"/>
        <w:ind w:left="0" w:firstLine="0"/>
        <w:rPr>
          <w:rFonts w:cs="Arial"/>
        </w:rPr>
      </w:pPr>
      <w:r w:rsidRPr="004B1815">
        <w:rPr>
          <w:rFonts w:cs="Arial"/>
        </w:rPr>
        <w:t>2.</w:t>
      </w:r>
      <w:r w:rsidRPr="004B1815">
        <w:rPr>
          <w:rFonts w:cs="Arial"/>
        </w:rPr>
        <w:tab/>
        <w:t>In den vier Sprachfassungen des ADN 2017 (Französisch, Englisch, Russisch, Deutsch) weichen die Benennung und Beschreibung des Stoffes zum Teil erheblich voneinander ab.</w:t>
      </w:r>
    </w:p>
    <w:p w:rsidR="004B1815" w:rsidRPr="004B1815" w:rsidRDefault="004B1815" w:rsidP="004B1815">
      <w:pPr>
        <w:tabs>
          <w:tab w:val="left" w:pos="567"/>
        </w:tabs>
        <w:spacing w:line="240" w:lineRule="atLeast"/>
        <w:ind w:left="0" w:firstLine="0"/>
        <w:rPr>
          <w:rFonts w:cs="Arial"/>
        </w:rPr>
      </w:pPr>
    </w:p>
    <w:p w:rsidR="004B1815" w:rsidRPr="004B1815" w:rsidRDefault="004B1815" w:rsidP="004B1815">
      <w:pPr>
        <w:tabs>
          <w:tab w:val="left" w:pos="567"/>
        </w:tabs>
        <w:spacing w:line="240" w:lineRule="atLeast"/>
        <w:ind w:left="0" w:firstLine="0"/>
        <w:rPr>
          <w:rFonts w:cs="Arial"/>
        </w:rPr>
      </w:pPr>
      <w:r w:rsidRPr="004B1815">
        <w:rPr>
          <w:rFonts w:cs="Arial"/>
        </w:rPr>
        <w:t>3.</w:t>
      </w:r>
      <w:r w:rsidRPr="004B1815">
        <w:rPr>
          <w:rFonts w:cs="Arial"/>
        </w:rPr>
        <w:tab/>
        <w:t>Eine Analyse der deutschen Delegation hat ergeben, dass aus fachlicher Sicht in allen Fällen die Angabe der deutschen Sprachfassung des ADN zutreffend ist.</w:t>
      </w:r>
    </w:p>
    <w:p w:rsidR="004B1815" w:rsidRPr="004B1815" w:rsidRDefault="004B1815" w:rsidP="004B1815">
      <w:pPr>
        <w:tabs>
          <w:tab w:val="left" w:pos="567"/>
        </w:tabs>
        <w:spacing w:line="240" w:lineRule="atLeast"/>
        <w:ind w:left="0" w:firstLine="0"/>
        <w:rPr>
          <w:rFonts w:cs="Arial"/>
        </w:rPr>
      </w:pPr>
    </w:p>
    <w:p w:rsidR="004B1815" w:rsidRPr="004B1815" w:rsidRDefault="004B1815" w:rsidP="004B1815">
      <w:pPr>
        <w:tabs>
          <w:tab w:val="left" w:pos="567"/>
        </w:tabs>
        <w:spacing w:line="240" w:lineRule="atLeast"/>
        <w:ind w:left="0" w:firstLine="0"/>
        <w:rPr>
          <w:rFonts w:cs="Arial"/>
        </w:rPr>
      </w:pPr>
      <w:r w:rsidRPr="004B1815">
        <w:rPr>
          <w:rFonts w:cs="Arial"/>
        </w:rPr>
        <w:t>4.</w:t>
      </w:r>
      <w:r w:rsidRPr="004B1815">
        <w:rPr>
          <w:rFonts w:cs="Arial"/>
        </w:rPr>
        <w:tab/>
        <w:t xml:space="preserve">Die Angelegenheit wurde dem ADN-Sicherheitsausschuss bereits in der 32. Sitzung mit dem </w:t>
      </w:r>
      <w:r w:rsidR="003B4443">
        <w:rPr>
          <w:rFonts w:cs="Arial"/>
        </w:rPr>
        <w:t xml:space="preserve">informellen </w:t>
      </w:r>
      <w:r w:rsidRPr="004B1815">
        <w:rPr>
          <w:rFonts w:cs="Arial"/>
        </w:rPr>
        <w:t xml:space="preserve">Dokument INF.27 vorgelegt. Kommentare anderer Delegationen (ECE/TRANS/WP.15/AC.2/66, Nr. </w:t>
      </w:r>
      <w:r w:rsidR="003B4443">
        <w:rPr>
          <w:rFonts w:cs="Arial"/>
        </w:rPr>
        <w:t>73</w:t>
      </w:r>
      <w:r w:rsidRPr="004B1815">
        <w:rPr>
          <w:rFonts w:cs="Arial"/>
        </w:rPr>
        <w:t>) sind nicht eingegangen.</w:t>
      </w:r>
    </w:p>
    <w:p w:rsidR="004B1815" w:rsidRDefault="004B1815" w:rsidP="004B1815">
      <w:pPr>
        <w:tabs>
          <w:tab w:val="left" w:pos="567"/>
        </w:tabs>
        <w:spacing w:line="240" w:lineRule="atLeast"/>
        <w:ind w:left="0" w:firstLine="0"/>
        <w:rPr>
          <w:b/>
          <w:szCs w:val="18"/>
        </w:rPr>
      </w:pPr>
    </w:p>
    <w:p w:rsidR="00AF7511" w:rsidRPr="004B1815" w:rsidRDefault="00AF7511" w:rsidP="004B1815">
      <w:pPr>
        <w:tabs>
          <w:tab w:val="left" w:pos="567"/>
        </w:tabs>
        <w:spacing w:line="240" w:lineRule="atLeast"/>
        <w:ind w:left="0" w:firstLine="0"/>
        <w:rPr>
          <w:b/>
          <w:szCs w:val="18"/>
        </w:rPr>
      </w:pPr>
    </w:p>
    <w:p w:rsidR="004B1815" w:rsidRPr="004B1815" w:rsidRDefault="004B1815" w:rsidP="004B1815">
      <w:pPr>
        <w:tabs>
          <w:tab w:val="left" w:pos="567"/>
        </w:tabs>
        <w:spacing w:line="240" w:lineRule="atLeast"/>
        <w:ind w:left="0" w:firstLine="0"/>
        <w:rPr>
          <w:b/>
          <w:sz w:val="24"/>
          <w:szCs w:val="18"/>
        </w:rPr>
      </w:pPr>
      <w:r w:rsidRPr="004B1815">
        <w:rPr>
          <w:b/>
          <w:sz w:val="24"/>
          <w:szCs w:val="18"/>
        </w:rPr>
        <w:t>II.</w:t>
      </w:r>
      <w:r w:rsidRPr="004B1815">
        <w:rPr>
          <w:b/>
          <w:sz w:val="24"/>
          <w:szCs w:val="18"/>
        </w:rPr>
        <w:tab/>
        <w:t>Antrag</w:t>
      </w:r>
    </w:p>
    <w:p w:rsidR="004B1815" w:rsidRPr="004B1815" w:rsidRDefault="004B1815" w:rsidP="004B1815">
      <w:pPr>
        <w:tabs>
          <w:tab w:val="left" w:pos="567"/>
        </w:tabs>
        <w:spacing w:line="240" w:lineRule="atLeast"/>
        <w:ind w:left="0" w:firstLine="0"/>
        <w:rPr>
          <w:b/>
          <w:szCs w:val="18"/>
        </w:rPr>
      </w:pPr>
    </w:p>
    <w:p w:rsidR="004B1815" w:rsidRPr="004B1815" w:rsidRDefault="004B1815" w:rsidP="004B1815">
      <w:pPr>
        <w:tabs>
          <w:tab w:val="left" w:pos="567"/>
        </w:tabs>
        <w:spacing w:line="240" w:lineRule="atLeast"/>
        <w:ind w:left="0" w:firstLine="0"/>
        <w:rPr>
          <w:rFonts w:cs="Arial"/>
        </w:rPr>
      </w:pPr>
      <w:r w:rsidRPr="004B1815">
        <w:rPr>
          <w:rFonts w:cs="Arial"/>
        </w:rPr>
        <w:t>5.</w:t>
      </w:r>
      <w:r w:rsidRPr="004B1815">
        <w:rPr>
          <w:rFonts w:cs="Arial"/>
        </w:rPr>
        <w:tab/>
        <w:t>Die deutsche Delegation bittet den Sicherheitsausschuss darum, diesen Punkt auf der Grundlage dieses förmlichen Antragsdokuments abschließend zu beraten und schlägt vor, die folgenden Texte für die Benennung und Beschreibung der Stoffnummer 9001 zu verwenden.</w:t>
      </w:r>
    </w:p>
    <w:p w:rsidR="004B1815" w:rsidRPr="004B1815" w:rsidRDefault="004B1815" w:rsidP="004B1815">
      <w:pPr>
        <w:tabs>
          <w:tab w:val="left" w:pos="567"/>
        </w:tabs>
        <w:spacing w:line="240" w:lineRule="atLeast"/>
        <w:ind w:left="0" w:firstLine="0"/>
        <w:rPr>
          <w:rFonts w:cs="Arial"/>
        </w:rPr>
      </w:pPr>
    </w:p>
    <w:p w:rsidR="004B1815" w:rsidRPr="004B1815" w:rsidRDefault="004B1815" w:rsidP="004B1815">
      <w:pPr>
        <w:tabs>
          <w:tab w:val="left" w:pos="567"/>
        </w:tabs>
        <w:spacing w:line="240" w:lineRule="atLeast"/>
        <w:ind w:left="0" w:firstLine="0"/>
        <w:rPr>
          <w:rFonts w:cs="Arial"/>
        </w:rPr>
      </w:pPr>
      <w:r w:rsidRPr="00AF7511">
        <w:rPr>
          <w:rFonts w:cs="Arial"/>
        </w:rPr>
        <w:t>Fundstellen</w:t>
      </w:r>
      <w:r w:rsidRPr="004B1815">
        <w:rPr>
          <w:rFonts w:cs="Arial"/>
        </w:rPr>
        <w:t>: 2.2.3.3 (F4), Tabelle A, Tabelle B, Tabelle C</w:t>
      </w:r>
    </w:p>
    <w:p w:rsidR="004B1815" w:rsidRPr="004B1815" w:rsidRDefault="004B1815" w:rsidP="004B1815">
      <w:pPr>
        <w:tabs>
          <w:tab w:val="left" w:pos="567"/>
        </w:tabs>
        <w:spacing w:line="240" w:lineRule="atLeast"/>
        <w:ind w:left="0" w:firstLine="0"/>
        <w:rPr>
          <w:rFonts w:cs="Arial"/>
        </w:rPr>
      </w:pPr>
    </w:p>
    <w:tbl>
      <w:tblPr>
        <w:tblStyle w:val="TableGrid"/>
        <w:tblW w:w="0" w:type="auto"/>
        <w:jc w:val="center"/>
        <w:tblLook w:val="04A0" w:firstRow="1" w:lastRow="0" w:firstColumn="1" w:lastColumn="0" w:noHBand="0" w:noVBand="1"/>
      </w:tblPr>
      <w:tblGrid>
        <w:gridCol w:w="2099"/>
        <w:gridCol w:w="2099"/>
        <w:gridCol w:w="2100"/>
      </w:tblGrid>
      <w:tr w:rsidR="003B4443" w:rsidRPr="00AF7511" w:rsidTr="00AF7511">
        <w:trPr>
          <w:jc w:val="center"/>
        </w:trPr>
        <w:tc>
          <w:tcPr>
            <w:tcW w:w="2099" w:type="dxa"/>
          </w:tcPr>
          <w:p w:rsidR="003B4443" w:rsidRPr="00AF7511" w:rsidRDefault="003B4443" w:rsidP="00785B9A">
            <w:pPr>
              <w:jc w:val="center"/>
              <w:rPr>
                <w:rFonts w:ascii="Times New Roman" w:hAnsi="Times New Roman" w:cs="Times New Roman"/>
                <w:b/>
                <w:sz w:val="20"/>
                <w:szCs w:val="20"/>
              </w:rPr>
            </w:pPr>
            <w:r w:rsidRPr="00AF7511">
              <w:rPr>
                <w:rFonts w:ascii="Times New Roman" w:hAnsi="Times New Roman" w:cs="Times New Roman"/>
                <w:b/>
                <w:sz w:val="20"/>
                <w:szCs w:val="20"/>
              </w:rPr>
              <w:t>DE</w:t>
            </w:r>
          </w:p>
        </w:tc>
        <w:tc>
          <w:tcPr>
            <w:tcW w:w="2099" w:type="dxa"/>
          </w:tcPr>
          <w:p w:rsidR="003B4443" w:rsidRPr="00AF7511" w:rsidRDefault="003B4443" w:rsidP="00785B9A">
            <w:pPr>
              <w:jc w:val="center"/>
              <w:rPr>
                <w:rFonts w:ascii="Times New Roman" w:hAnsi="Times New Roman" w:cs="Times New Roman"/>
                <w:b/>
                <w:sz w:val="20"/>
                <w:szCs w:val="20"/>
              </w:rPr>
            </w:pPr>
            <w:r w:rsidRPr="00AF7511">
              <w:rPr>
                <w:rFonts w:ascii="Times New Roman" w:hAnsi="Times New Roman" w:cs="Times New Roman"/>
                <w:b/>
                <w:sz w:val="20"/>
                <w:szCs w:val="20"/>
              </w:rPr>
              <w:t>FR</w:t>
            </w:r>
          </w:p>
        </w:tc>
        <w:tc>
          <w:tcPr>
            <w:tcW w:w="2100" w:type="dxa"/>
          </w:tcPr>
          <w:p w:rsidR="003B4443" w:rsidRPr="00AF7511" w:rsidRDefault="003B4443" w:rsidP="00785B9A">
            <w:pPr>
              <w:jc w:val="center"/>
              <w:rPr>
                <w:rFonts w:ascii="Times New Roman" w:hAnsi="Times New Roman" w:cs="Times New Roman"/>
                <w:b/>
                <w:sz w:val="20"/>
                <w:szCs w:val="20"/>
              </w:rPr>
            </w:pPr>
            <w:r w:rsidRPr="00AF7511">
              <w:rPr>
                <w:rFonts w:ascii="Times New Roman" w:hAnsi="Times New Roman" w:cs="Times New Roman"/>
                <w:b/>
                <w:sz w:val="20"/>
                <w:szCs w:val="20"/>
              </w:rPr>
              <w:t>EN</w:t>
            </w:r>
          </w:p>
        </w:tc>
      </w:tr>
      <w:tr w:rsidR="003B4443" w:rsidRPr="00AF7511" w:rsidTr="00AF7511">
        <w:trPr>
          <w:jc w:val="center"/>
        </w:trPr>
        <w:tc>
          <w:tcPr>
            <w:tcW w:w="2099" w:type="dxa"/>
          </w:tcPr>
          <w:p w:rsidR="003B4443" w:rsidRPr="00AF7511" w:rsidRDefault="003B4443" w:rsidP="00785B9A">
            <w:pPr>
              <w:ind w:left="0" w:firstLine="0"/>
              <w:jc w:val="left"/>
              <w:rPr>
                <w:rFonts w:ascii="Times New Roman" w:hAnsi="Times New Roman" w:cs="Times New Roman"/>
                <w:sz w:val="20"/>
                <w:szCs w:val="20"/>
              </w:rPr>
            </w:pPr>
            <w:r w:rsidRPr="00AF7511">
              <w:rPr>
                <w:rFonts w:ascii="Times New Roman" w:hAnsi="Times New Roman" w:cs="Times New Roman"/>
                <w:sz w:val="20"/>
                <w:szCs w:val="20"/>
              </w:rPr>
              <w:t>STOFFE MIT EINEM FLAMMPUNKT ÜBER 60 °C, DIE IN EINEM BEREICH VON 15 K UNTERHALB DES FLAMMPUNKTS ERWÄRMT zur Beförderung aufgegeben oder befördert werden</w:t>
            </w:r>
          </w:p>
        </w:tc>
        <w:tc>
          <w:tcPr>
            <w:tcW w:w="2099" w:type="dxa"/>
          </w:tcPr>
          <w:p w:rsidR="003B4443" w:rsidRPr="00AF7511" w:rsidRDefault="003B4443" w:rsidP="00785B9A">
            <w:pPr>
              <w:ind w:left="0" w:firstLine="0"/>
              <w:jc w:val="left"/>
              <w:rPr>
                <w:rFonts w:ascii="Times New Roman" w:hAnsi="Times New Roman" w:cs="Times New Roman"/>
                <w:sz w:val="20"/>
                <w:szCs w:val="20"/>
                <w:lang w:val="fr-FR"/>
              </w:rPr>
            </w:pPr>
            <w:r w:rsidRPr="00AF7511">
              <w:rPr>
                <w:rFonts w:ascii="Times New Roman" w:hAnsi="Times New Roman" w:cs="Times New Roman"/>
                <w:sz w:val="20"/>
                <w:szCs w:val="20"/>
                <w:lang w:val="fr-FR"/>
              </w:rPr>
              <w:t xml:space="preserve">MATIÈRES DONT LE POINT D'ÉCLAIR EST SUPÉRIEUR À 60 °C, remises au transport ou transportées à chaud à une température </w:t>
            </w:r>
            <w:r w:rsidRPr="00AF7511">
              <w:rPr>
                <w:rFonts w:ascii="Times New Roman" w:eastAsia="Calibri" w:hAnsi="Times New Roman" w:cs="Times New Roman"/>
                <w:sz w:val="20"/>
                <w:szCs w:val="20"/>
                <w:lang w:val="fr-FR"/>
              </w:rPr>
              <w:t>SITUÉE</w:t>
            </w:r>
            <w:r w:rsidRPr="00AF7511">
              <w:rPr>
                <w:rFonts w:ascii="Times New Roman" w:eastAsia="Calibri" w:hAnsi="Times New Roman" w:cs="Times New Roman"/>
                <w:sz w:val="20"/>
                <w:szCs w:val="20"/>
                <w:lang w:val="fr-FR" w:eastAsia="en-US"/>
              </w:rPr>
              <w:t xml:space="preserve"> </w:t>
            </w:r>
            <w:r w:rsidRPr="00AF7511">
              <w:rPr>
                <w:rFonts w:ascii="Times New Roman" w:hAnsi="Times New Roman" w:cs="Times New Roman"/>
                <w:sz w:val="20"/>
                <w:szCs w:val="20"/>
                <w:lang w:val="fr-FR"/>
              </w:rPr>
              <w:t>DANS UNE PLAGE DE 15 K SOUS LEUR POINT D'ÉCLAIR</w:t>
            </w:r>
          </w:p>
        </w:tc>
        <w:tc>
          <w:tcPr>
            <w:tcW w:w="2100" w:type="dxa"/>
          </w:tcPr>
          <w:p w:rsidR="003B4443" w:rsidRPr="00AF7511" w:rsidRDefault="003B4443" w:rsidP="00785B9A">
            <w:pPr>
              <w:ind w:left="0" w:firstLine="0"/>
              <w:jc w:val="left"/>
              <w:rPr>
                <w:rFonts w:ascii="Times New Roman" w:hAnsi="Times New Roman" w:cs="Times New Roman"/>
                <w:sz w:val="20"/>
                <w:szCs w:val="20"/>
                <w:lang w:val="en-GB"/>
              </w:rPr>
            </w:pPr>
            <w:r w:rsidRPr="00AF7511">
              <w:rPr>
                <w:rFonts w:ascii="Times New Roman" w:hAnsi="Times New Roman" w:cs="Times New Roman"/>
                <w:sz w:val="20"/>
                <w:szCs w:val="20"/>
                <w:lang w:val="en-GB"/>
              </w:rPr>
              <w:t>SUBSTANCES WITH A FLASH-POINT ABOVE 60 °C which are handed over for carriage or which are carried heated to a TEMPERATURE WITHIN A RANGE OF 15 K BELOW THEIR FLASH-POINT</w:t>
            </w:r>
          </w:p>
        </w:tc>
      </w:tr>
    </w:tbl>
    <w:p w:rsidR="004B1815" w:rsidRPr="004B1815" w:rsidRDefault="004B1815" w:rsidP="004B1815">
      <w:pPr>
        <w:pStyle w:val="CommentText"/>
        <w:spacing w:line="240" w:lineRule="atLeast"/>
        <w:contextualSpacing/>
      </w:pPr>
    </w:p>
    <w:p w:rsidR="004B1815" w:rsidRPr="004B1815" w:rsidRDefault="004B1815" w:rsidP="004B1815">
      <w:pPr>
        <w:tabs>
          <w:tab w:val="left" w:pos="567"/>
        </w:tabs>
        <w:spacing w:line="240" w:lineRule="atLeast"/>
        <w:contextualSpacing/>
        <w:rPr>
          <w:b/>
          <w:sz w:val="24"/>
          <w:szCs w:val="18"/>
        </w:rPr>
      </w:pPr>
      <w:r w:rsidRPr="004B1815">
        <w:rPr>
          <w:b/>
          <w:sz w:val="24"/>
          <w:szCs w:val="18"/>
        </w:rPr>
        <w:t>III.</w:t>
      </w:r>
      <w:r w:rsidRPr="004B1815">
        <w:rPr>
          <w:b/>
          <w:sz w:val="24"/>
          <w:szCs w:val="18"/>
        </w:rPr>
        <w:tab/>
        <w:t>Begründung</w:t>
      </w:r>
    </w:p>
    <w:p w:rsidR="004B1815" w:rsidRPr="004B1815" w:rsidRDefault="004B1815" w:rsidP="004B1815">
      <w:pPr>
        <w:tabs>
          <w:tab w:val="left" w:pos="567"/>
        </w:tabs>
        <w:spacing w:line="240" w:lineRule="atLeast"/>
        <w:contextualSpacing/>
        <w:rPr>
          <w:b/>
          <w:sz w:val="28"/>
          <w:szCs w:val="18"/>
        </w:rPr>
      </w:pPr>
    </w:p>
    <w:p w:rsidR="004B1815" w:rsidRPr="004B1815" w:rsidRDefault="004B1815" w:rsidP="004B1815">
      <w:pPr>
        <w:tabs>
          <w:tab w:val="left" w:pos="567"/>
        </w:tabs>
        <w:spacing w:line="240" w:lineRule="atLeast"/>
        <w:ind w:left="0" w:firstLine="0"/>
        <w:contextualSpacing/>
        <w:rPr>
          <w:rFonts w:cs="Arial"/>
        </w:rPr>
      </w:pPr>
      <w:r w:rsidRPr="004B1815">
        <w:rPr>
          <w:rFonts w:cs="Arial"/>
        </w:rPr>
        <w:t>6.</w:t>
      </w:r>
      <w:r w:rsidRPr="004B1815">
        <w:rPr>
          <w:rFonts w:cs="Arial"/>
        </w:rPr>
        <w:tab/>
        <w:t>Wenn die vier Sprachfassungen des ADN so erheblich voneinander abweichen, wie unter Nummer 5. dargestellt, ist eine reibungslose Beförderung zwischen verschiedenen Vertragsparteien, die jeweils eine andere Sprachfassung verwenden, nicht möglich. Es besteht die Gefahr von Beanstandungen wegen falscher Angaben in den Beförderungsdokumenten, weil im Ausgangsland und im Zielland unterschiedliche Angaben im jeweiligen Regelwerk vorgeschrieben werden.</w:t>
      </w:r>
    </w:p>
    <w:p w:rsidR="004B1815" w:rsidRPr="004B1815" w:rsidRDefault="004B1815" w:rsidP="004B1815">
      <w:pPr>
        <w:tabs>
          <w:tab w:val="left" w:pos="567"/>
        </w:tabs>
        <w:spacing w:line="240" w:lineRule="atLeast"/>
        <w:ind w:left="0" w:firstLine="0"/>
        <w:contextualSpacing/>
        <w:rPr>
          <w:rFonts w:cs="Arial"/>
        </w:rPr>
      </w:pPr>
    </w:p>
    <w:p w:rsidR="004B1815" w:rsidRPr="004B1815" w:rsidRDefault="004B1815" w:rsidP="004B1815">
      <w:pPr>
        <w:tabs>
          <w:tab w:val="left" w:pos="567"/>
        </w:tabs>
        <w:spacing w:line="240" w:lineRule="atLeast"/>
        <w:ind w:left="0" w:firstLine="0"/>
        <w:contextualSpacing/>
        <w:rPr>
          <w:rFonts w:cs="Arial"/>
        </w:rPr>
      </w:pPr>
      <w:r w:rsidRPr="004B1815">
        <w:rPr>
          <w:rFonts w:cs="Arial"/>
        </w:rPr>
        <w:t>7.</w:t>
      </w:r>
      <w:r w:rsidRPr="004B1815">
        <w:rPr>
          <w:rFonts w:cs="Arial"/>
        </w:rPr>
        <w:tab/>
        <w:t>Zu den Änderungen im Einzelnen:</w:t>
      </w:r>
    </w:p>
    <w:p w:rsidR="004B1815" w:rsidRPr="004B1815" w:rsidRDefault="004B1815" w:rsidP="004B1815">
      <w:pPr>
        <w:tabs>
          <w:tab w:val="left" w:pos="567"/>
        </w:tabs>
        <w:spacing w:line="240" w:lineRule="atLeast"/>
        <w:ind w:left="0" w:firstLine="0"/>
        <w:contextualSpacing/>
        <w:rPr>
          <w:rFonts w:cs="Arial"/>
        </w:rPr>
      </w:pPr>
    </w:p>
    <w:p w:rsidR="004B1815" w:rsidRPr="004B1815" w:rsidRDefault="004B1815" w:rsidP="00AF7511">
      <w:pPr>
        <w:pStyle w:val="CommentText"/>
        <w:ind w:left="0" w:firstLine="0"/>
        <w:rPr>
          <w:rFonts w:cs="Arial"/>
        </w:rPr>
      </w:pPr>
      <w:r w:rsidRPr="004B1815">
        <w:rPr>
          <w:rFonts w:cs="Arial"/>
        </w:rPr>
        <w:t>2.2.2.3, zur französischen Sprachfassung: es fehlen gegenüber Deutsch und Englisch [und Russisch] der Ausdruck „zur Beförderung aufgegeben“ und „in einem Bereich von“.</w:t>
      </w:r>
    </w:p>
    <w:p w:rsidR="004B1815" w:rsidRPr="004B1815" w:rsidRDefault="004B1815" w:rsidP="004B1815">
      <w:pPr>
        <w:pStyle w:val="CommentText"/>
        <w:ind w:left="3119" w:hanging="3119"/>
        <w:rPr>
          <w:rFonts w:cs="Arial"/>
        </w:rPr>
      </w:pPr>
    </w:p>
    <w:p w:rsidR="004B1815" w:rsidRPr="004B1815" w:rsidRDefault="004B1815" w:rsidP="00AF7511">
      <w:pPr>
        <w:pStyle w:val="CommentText"/>
        <w:ind w:left="0" w:firstLine="0"/>
      </w:pPr>
      <w:r w:rsidRPr="004B1815">
        <w:t>2.2.2.3, zu englischen Sprachfassung: „HAVING“ wird mindestens seit dem ADN 2005 verwendet, weicht seit dem aber auch von den anderen Fundstellen ab. Wie in Tabellen A und B soll der Ausdruck „</w:t>
      </w:r>
      <w:proofErr w:type="spellStart"/>
      <w:r w:rsidRPr="004B1815">
        <w:t>limiting</w:t>
      </w:r>
      <w:proofErr w:type="spellEnd"/>
      <w:r w:rsidRPr="004B1815">
        <w:t xml:space="preserve"> </w:t>
      </w:r>
      <w:proofErr w:type="spellStart"/>
      <w:r w:rsidRPr="004B1815">
        <w:t>range</w:t>
      </w:r>
      <w:proofErr w:type="spellEnd"/>
      <w:r w:rsidRPr="004B1815">
        <w:t>“ anstatt nur „</w:t>
      </w:r>
      <w:proofErr w:type="spellStart"/>
      <w:r w:rsidRPr="004B1815">
        <w:t>range</w:t>
      </w:r>
      <w:proofErr w:type="spellEnd"/>
      <w:r w:rsidRPr="004B1815">
        <w:t>“ verwendet werden.</w:t>
      </w:r>
    </w:p>
    <w:p w:rsidR="004B1815" w:rsidRPr="004B1815" w:rsidRDefault="004B1815" w:rsidP="004B1815">
      <w:pPr>
        <w:pStyle w:val="CommentText"/>
      </w:pPr>
    </w:p>
    <w:p w:rsidR="00AF7511" w:rsidRDefault="00AF7511">
      <w:pPr>
        <w:widowControl/>
        <w:overflowPunct/>
        <w:autoSpaceDE/>
        <w:autoSpaceDN/>
        <w:adjustRightInd/>
        <w:ind w:left="0" w:firstLine="0"/>
        <w:jc w:val="left"/>
        <w:textAlignment w:val="auto"/>
        <w:rPr>
          <w:rFonts w:cs="Arial"/>
        </w:rPr>
      </w:pPr>
      <w:r>
        <w:rPr>
          <w:rFonts w:cs="Arial"/>
        </w:rPr>
        <w:br w:type="page"/>
      </w:r>
    </w:p>
    <w:p w:rsidR="004B1815" w:rsidRPr="004B1815" w:rsidRDefault="004B1815" w:rsidP="00AF7511">
      <w:pPr>
        <w:pStyle w:val="CommentText"/>
        <w:ind w:left="0" w:firstLine="0"/>
        <w:rPr>
          <w:rFonts w:cs="Arial"/>
        </w:rPr>
      </w:pPr>
      <w:r w:rsidRPr="004B1815">
        <w:rPr>
          <w:rFonts w:cs="Arial"/>
        </w:rPr>
        <w:lastRenderedPageBreak/>
        <w:t>Tabellen A und B, zur französischen Sprachfassung: es fehlen gegenüber Deutsch und Englisch [und Russisch] der Ausdruck „zur Beförderung aufgegeben“ und „in einem Bereich von“.</w:t>
      </w:r>
    </w:p>
    <w:p w:rsidR="004B1815" w:rsidRPr="004B1815" w:rsidRDefault="004B1815" w:rsidP="004B1815">
      <w:pPr>
        <w:pStyle w:val="CommentText"/>
        <w:ind w:left="3119" w:hanging="3119"/>
        <w:rPr>
          <w:rFonts w:cs="Arial"/>
        </w:rPr>
      </w:pPr>
    </w:p>
    <w:p w:rsidR="004B1815" w:rsidRPr="004B1815" w:rsidRDefault="004B1815" w:rsidP="00AF7511">
      <w:pPr>
        <w:pStyle w:val="CommentText"/>
        <w:ind w:left="0" w:firstLine="0"/>
        <w:rPr>
          <w:rFonts w:cs="Arial"/>
        </w:rPr>
      </w:pPr>
      <w:r w:rsidRPr="004B1815">
        <w:rPr>
          <w:rFonts w:cs="Arial"/>
        </w:rPr>
        <w:t>Tabellen A und B, zur englischen Sprachfassung: die Worte „</w:t>
      </w:r>
      <w:proofErr w:type="spellStart"/>
      <w:r w:rsidRPr="004B1815">
        <w:rPr>
          <w:rFonts w:cs="Arial"/>
        </w:rPr>
        <w:t>within</w:t>
      </w:r>
      <w:proofErr w:type="spellEnd"/>
      <w:r w:rsidRPr="004B1815">
        <w:rPr>
          <w:rFonts w:cs="Arial"/>
        </w:rPr>
        <w:t xml:space="preserve"> a </w:t>
      </w:r>
      <w:proofErr w:type="spellStart"/>
      <w:r w:rsidRPr="004B1815">
        <w:rPr>
          <w:rFonts w:cs="Arial"/>
        </w:rPr>
        <w:t>limiting</w:t>
      </w:r>
      <w:proofErr w:type="spellEnd"/>
      <w:r w:rsidRPr="004B1815">
        <w:rPr>
          <w:rFonts w:cs="Arial"/>
        </w:rPr>
        <w:t xml:space="preserve"> </w:t>
      </w:r>
      <w:proofErr w:type="spellStart"/>
      <w:r w:rsidRPr="004B1815">
        <w:rPr>
          <w:rFonts w:cs="Arial"/>
        </w:rPr>
        <w:t>range</w:t>
      </w:r>
      <w:proofErr w:type="spellEnd"/>
      <w:r w:rsidRPr="004B1815">
        <w:rPr>
          <w:rFonts w:cs="Arial"/>
        </w:rPr>
        <w:t xml:space="preserve"> </w:t>
      </w:r>
      <w:proofErr w:type="spellStart"/>
      <w:r w:rsidRPr="004B1815">
        <w:rPr>
          <w:rFonts w:cs="Arial"/>
        </w:rPr>
        <w:t>of</w:t>
      </w:r>
      <w:proofErr w:type="spellEnd"/>
      <w:r w:rsidRPr="004B1815">
        <w:rPr>
          <w:rFonts w:cs="Arial"/>
        </w:rPr>
        <w:t xml:space="preserve"> 15K </w:t>
      </w:r>
      <w:proofErr w:type="spellStart"/>
      <w:r w:rsidRPr="004B1815">
        <w:rPr>
          <w:rFonts w:cs="Arial"/>
        </w:rPr>
        <w:t>below</w:t>
      </w:r>
      <w:proofErr w:type="spellEnd"/>
      <w:r w:rsidRPr="004B1815">
        <w:rPr>
          <w:rFonts w:cs="Arial"/>
        </w:rPr>
        <w:t xml:space="preserve"> </w:t>
      </w:r>
      <w:proofErr w:type="spellStart"/>
      <w:r w:rsidRPr="004B1815">
        <w:rPr>
          <w:rFonts w:cs="Arial"/>
        </w:rPr>
        <w:t>their</w:t>
      </w:r>
      <w:proofErr w:type="spellEnd"/>
      <w:r w:rsidRPr="004B1815">
        <w:rPr>
          <w:rFonts w:cs="Arial"/>
        </w:rPr>
        <w:t xml:space="preserve"> flash-point” sind in Großbuchstaben zu schreiben, damit sie eindeutig zu </w:t>
      </w:r>
      <w:proofErr w:type="spellStart"/>
      <w:r w:rsidRPr="004B1815">
        <w:rPr>
          <w:rFonts w:cs="Arial"/>
        </w:rPr>
        <w:t>demi</w:t>
      </w:r>
      <w:proofErr w:type="spellEnd"/>
      <w:r w:rsidRPr="004B1815">
        <w:rPr>
          <w:rFonts w:cs="Arial"/>
        </w:rPr>
        <w:t xml:space="preserve"> m Beförderungspapier wiederzugebenden Text gehören, siehe Unterabschnitt 3.1.2.1 ADN.</w:t>
      </w:r>
    </w:p>
    <w:p w:rsidR="004B1815" w:rsidRPr="004B1815" w:rsidRDefault="004B1815" w:rsidP="004B1815">
      <w:pPr>
        <w:pStyle w:val="CommentText"/>
        <w:ind w:left="3119" w:hanging="3119"/>
        <w:rPr>
          <w:rFonts w:cs="Arial"/>
        </w:rPr>
      </w:pPr>
    </w:p>
    <w:p w:rsidR="004B1815" w:rsidRPr="004B1815" w:rsidRDefault="004B1815" w:rsidP="00AF7511">
      <w:pPr>
        <w:pStyle w:val="CommentText"/>
        <w:ind w:left="0" w:firstLine="0"/>
        <w:rPr>
          <w:rFonts w:cs="Arial"/>
        </w:rPr>
      </w:pPr>
      <w:r w:rsidRPr="004B1815">
        <w:rPr>
          <w:rFonts w:cs="Arial"/>
        </w:rPr>
        <w:t xml:space="preserve">Tabelle C, zur französischen Sprachfassung: Der Zusatz </w:t>
      </w:r>
      <w:r w:rsidRPr="004B1815">
        <w:rPr>
          <w:rFonts w:cs="Arial"/>
          <w:i/>
        </w:rPr>
        <w:t xml:space="preserve">MATIÈRES DONT </w:t>
      </w:r>
      <w:proofErr w:type="spellStart"/>
      <w:r w:rsidRPr="004B1815">
        <w:rPr>
          <w:rFonts w:cs="Arial"/>
          <w:i/>
        </w:rPr>
        <w:t>Pe</w:t>
      </w:r>
      <w:proofErr w:type="spellEnd"/>
      <w:r w:rsidRPr="004B1815">
        <w:rPr>
          <w:rFonts w:cs="Arial"/>
          <w:i/>
        </w:rPr>
        <w:t xml:space="preserve"> &gt; 60 °C, CHAUFFÉES PLUS PRÈS QUE 15 K DU </w:t>
      </w:r>
      <w:proofErr w:type="spellStart"/>
      <w:r w:rsidRPr="004B1815">
        <w:rPr>
          <w:rFonts w:cs="Arial"/>
          <w:i/>
        </w:rPr>
        <w:t>Pe</w:t>
      </w:r>
      <w:proofErr w:type="spellEnd"/>
      <w:r w:rsidRPr="004B1815">
        <w:rPr>
          <w:rFonts w:cs="Arial"/>
          <w:i/>
        </w:rPr>
        <w:t xml:space="preserve"> </w:t>
      </w:r>
      <w:r w:rsidRPr="004B1815">
        <w:rPr>
          <w:rFonts w:cs="Arial"/>
        </w:rPr>
        <w:t>stammt aus dem ADN</w:t>
      </w:r>
      <w:r w:rsidRPr="004B1815">
        <w:rPr>
          <w:rFonts w:cs="Arial"/>
          <w:b/>
        </w:rPr>
        <w:t>R</w:t>
      </w:r>
      <w:r w:rsidRPr="004B1815">
        <w:rPr>
          <w:rFonts w:cs="Arial"/>
        </w:rPr>
        <w:t xml:space="preserve"> und findet sich erstmals im ADN 2007 nur in der Tabelle C, ursprünglich mit der Angabe &gt; 61 °C. Der Grund für die Aufnahme in das ADN 2007 konnte nicht ermittelt werden.</w:t>
      </w:r>
    </w:p>
    <w:p w:rsidR="004B1815" w:rsidRPr="004B1815" w:rsidRDefault="004B1815" w:rsidP="004B1815">
      <w:pPr>
        <w:pStyle w:val="CommentText"/>
        <w:ind w:left="3119" w:hanging="3119"/>
        <w:rPr>
          <w:rFonts w:cs="Arial"/>
        </w:rPr>
      </w:pPr>
    </w:p>
    <w:p w:rsidR="004B1815" w:rsidRPr="004B1815" w:rsidRDefault="004B1815" w:rsidP="00AF7511">
      <w:pPr>
        <w:pStyle w:val="CommentText"/>
        <w:ind w:left="0" w:firstLine="0"/>
        <w:rPr>
          <w:rFonts w:cs="Arial"/>
        </w:rPr>
      </w:pPr>
      <w:r w:rsidRPr="004B1815">
        <w:rPr>
          <w:rFonts w:cs="Arial"/>
        </w:rPr>
        <w:t>Tabelle C, zur englischen Sprachfassung: Wie in Tabellen A und B soll der Ausdruck „</w:t>
      </w:r>
      <w:proofErr w:type="spellStart"/>
      <w:r w:rsidRPr="004B1815">
        <w:rPr>
          <w:rFonts w:cs="Arial"/>
        </w:rPr>
        <w:t>limiting</w:t>
      </w:r>
      <w:proofErr w:type="spellEnd"/>
      <w:r w:rsidRPr="004B1815">
        <w:rPr>
          <w:rFonts w:cs="Arial"/>
        </w:rPr>
        <w:t xml:space="preserve"> </w:t>
      </w:r>
      <w:proofErr w:type="spellStart"/>
      <w:r w:rsidRPr="004B1815">
        <w:rPr>
          <w:rFonts w:cs="Arial"/>
        </w:rPr>
        <w:t>range</w:t>
      </w:r>
      <w:proofErr w:type="spellEnd"/>
      <w:r w:rsidRPr="004B1815">
        <w:rPr>
          <w:rFonts w:cs="Arial"/>
        </w:rPr>
        <w:t>“ anstatt nur „</w:t>
      </w:r>
      <w:proofErr w:type="spellStart"/>
      <w:r w:rsidRPr="004B1815">
        <w:rPr>
          <w:rFonts w:cs="Arial"/>
        </w:rPr>
        <w:t>range</w:t>
      </w:r>
      <w:proofErr w:type="spellEnd"/>
      <w:r w:rsidRPr="004B1815">
        <w:rPr>
          <w:rFonts w:cs="Arial"/>
        </w:rPr>
        <w:t xml:space="preserve">“ verwendet werden. Der Zusatz </w:t>
      </w:r>
      <w:r w:rsidRPr="004B1815">
        <w:rPr>
          <w:rFonts w:cs="Arial"/>
          <w:i/>
        </w:rPr>
        <w:t xml:space="preserve">OR SUBSTANCES WITH A FLASH-POINT &gt; 60 °C, HEATED TO LESS THAN 15 K FROM THE FLASH-POINT </w:t>
      </w:r>
      <w:r w:rsidRPr="004B1815">
        <w:rPr>
          <w:rFonts w:cs="Arial"/>
        </w:rPr>
        <w:t>stammt aus dem ADN</w:t>
      </w:r>
      <w:r w:rsidRPr="004B1815">
        <w:rPr>
          <w:rFonts w:cs="Arial"/>
          <w:b/>
        </w:rPr>
        <w:t>R</w:t>
      </w:r>
      <w:r w:rsidRPr="004B1815">
        <w:rPr>
          <w:rFonts w:cs="Arial"/>
        </w:rPr>
        <w:t xml:space="preserve"> und findet sich erstmals im ADN 2007 nur in der Tabelle C, ursprünglich mit der Angabe &gt; 61 °C. Der Grund für die Aufnahme in das ADN 2007 konnte nicht ermittelt werden.</w:t>
      </w:r>
    </w:p>
    <w:p w:rsidR="000C29BE" w:rsidRDefault="000C29BE">
      <w:pPr>
        <w:widowControl/>
        <w:overflowPunct/>
        <w:autoSpaceDE/>
        <w:autoSpaceDN/>
        <w:adjustRightInd/>
        <w:ind w:left="0" w:firstLine="0"/>
        <w:jc w:val="left"/>
        <w:textAlignment w:val="auto"/>
        <w:rPr>
          <w:b/>
          <w:sz w:val="24"/>
          <w:szCs w:val="18"/>
        </w:rPr>
      </w:pPr>
    </w:p>
    <w:p w:rsidR="00AF7511" w:rsidRDefault="00AF7511">
      <w:pPr>
        <w:widowControl/>
        <w:overflowPunct/>
        <w:autoSpaceDE/>
        <w:autoSpaceDN/>
        <w:adjustRightInd/>
        <w:ind w:left="0" w:firstLine="0"/>
        <w:jc w:val="left"/>
        <w:textAlignment w:val="auto"/>
        <w:rPr>
          <w:b/>
          <w:sz w:val="24"/>
          <w:szCs w:val="18"/>
        </w:rPr>
      </w:pPr>
    </w:p>
    <w:p w:rsidR="004B1815" w:rsidRPr="004B1815" w:rsidRDefault="004B1815" w:rsidP="004B1815">
      <w:pPr>
        <w:tabs>
          <w:tab w:val="left" w:pos="567"/>
          <w:tab w:val="left" w:pos="1418"/>
        </w:tabs>
        <w:spacing w:line="240" w:lineRule="atLeast"/>
        <w:contextualSpacing/>
        <w:rPr>
          <w:b/>
          <w:sz w:val="24"/>
          <w:szCs w:val="18"/>
        </w:rPr>
      </w:pPr>
      <w:r w:rsidRPr="004B1815">
        <w:rPr>
          <w:b/>
          <w:sz w:val="24"/>
          <w:szCs w:val="18"/>
        </w:rPr>
        <w:t>IV.</w:t>
      </w:r>
      <w:r w:rsidRPr="004B1815">
        <w:rPr>
          <w:b/>
          <w:sz w:val="24"/>
          <w:szCs w:val="18"/>
        </w:rPr>
        <w:tab/>
        <w:t>Sicherheit</w:t>
      </w:r>
    </w:p>
    <w:p w:rsidR="004B1815" w:rsidRPr="004B1815" w:rsidRDefault="004B1815" w:rsidP="004B1815">
      <w:pPr>
        <w:tabs>
          <w:tab w:val="left" w:pos="567"/>
          <w:tab w:val="left" w:pos="1418"/>
        </w:tabs>
        <w:spacing w:line="240" w:lineRule="atLeast"/>
        <w:contextualSpacing/>
        <w:rPr>
          <w:b/>
          <w:sz w:val="28"/>
          <w:szCs w:val="18"/>
        </w:rPr>
      </w:pPr>
    </w:p>
    <w:p w:rsidR="004B1815" w:rsidRPr="004B1815" w:rsidRDefault="004B1815" w:rsidP="004B1815">
      <w:pPr>
        <w:tabs>
          <w:tab w:val="left" w:pos="567"/>
          <w:tab w:val="left" w:pos="1418"/>
        </w:tabs>
        <w:spacing w:line="240" w:lineRule="atLeast"/>
        <w:ind w:left="0" w:firstLine="0"/>
        <w:contextualSpacing/>
        <w:rPr>
          <w:rFonts w:cs="Arial"/>
        </w:rPr>
      </w:pPr>
      <w:r w:rsidRPr="004B1815">
        <w:rPr>
          <w:rFonts w:cs="Arial"/>
        </w:rPr>
        <w:t>8.</w:t>
      </w:r>
      <w:r w:rsidRPr="004B1815">
        <w:rPr>
          <w:rFonts w:cs="Arial"/>
        </w:rPr>
        <w:tab/>
        <w:t>Die Sicherheit der Beförderung wird verbessert, wenn stets die zutreffende Benennung und Beschreibung verwendet wird, die neben anderen Kriterien für die Ermittlung der richtigen Beförderungsbedingungen erforderlich ist.</w:t>
      </w:r>
    </w:p>
    <w:p w:rsidR="004B1815" w:rsidRDefault="004B1815" w:rsidP="004B1815">
      <w:pPr>
        <w:tabs>
          <w:tab w:val="left" w:pos="567"/>
          <w:tab w:val="left" w:pos="1418"/>
        </w:tabs>
        <w:spacing w:line="240" w:lineRule="atLeast"/>
        <w:contextualSpacing/>
        <w:rPr>
          <w:b/>
          <w:sz w:val="28"/>
          <w:szCs w:val="18"/>
        </w:rPr>
      </w:pPr>
    </w:p>
    <w:p w:rsidR="00AF7511" w:rsidRPr="004B1815" w:rsidRDefault="00AF7511" w:rsidP="004B1815">
      <w:pPr>
        <w:tabs>
          <w:tab w:val="left" w:pos="567"/>
          <w:tab w:val="left" w:pos="1418"/>
        </w:tabs>
        <w:spacing w:line="240" w:lineRule="atLeast"/>
        <w:contextualSpacing/>
        <w:rPr>
          <w:b/>
          <w:sz w:val="28"/>
          <w:szCs w:val="18"/>
        </w:rPr>
      </w:pPr>
    </w:p>
    <w:p w:rsidR="004B1815" w:rsidRPr="004B1815" w:rsidRDefault="004B1815" w:rsidP="004B1815">
      <w:pPr>
        <w:tabs>
          <w:tab w:val="left" w:pos="567"/>
          <w:tab w:val="left" w:pos="1418"/>
        </w:tabs>
        <w:spacing w:line="240" w:lineRule="atLeast"/>
        <w:contextualSpacing/>
        <w:rPr>
          <w:b/>
          <w:sz w:val="24"/>
          <w:szCs w:val="18"/>
        </w:rPr>
      </w:pPr>
      <w:r w:rsidRPr="004B1815">
        <w:rPr>
          <w:b/>
          <w:sz w:val="24"/>
          <w:szCs w:val="18"/>
        </w:rPr>
        <w:t>V.</w:t>
      </w:r>
      <w:r w:rsidRPr="004B1815">
        <w:rPr>
          <w:b/>
          <w:sz w:val="24"/>
          <w:szCs w:val="18"/>
        </w:rPr>
        <w:tab/>
        <w:t>Umsetzbarkeit</w:t>
      </w:r>
    </w:p>
    <w:p w:rsidR="004B1815" w:rsidRPr="004B1815" w:rsidRDefault="004B1815" w:rsidP="004B1815">
      <w:pPr>
        <w:tabs>
          <w:tab w:val="left" w:pos="1418"/>
        </w:tabs>
        <w:spacing w:line="240" w:lineRule="atLeast"/>
        <w:contextualSpacing/>
      </w:pPr>
    </w:p>
    <w:p w:rsidR="004B1815" w:rsidRPr="004B1815" w:rsidRDefault="004B1815" w:rsidP="004B1815">
      <w:pPr>
        <w:tabs>
          <w:tab w:val="left" w:pos="567"/>
          <w:tab w:val="left" w:pos="1418"/>
        </w:tabs>
        <w:spacing w:line="240" w:lineRule="atLeast"/>
        <w:ind w:left="0" w:firstLine="0"/>
        <w:contextualSpacing/>
      </w:pPr>
      <w:r w:rsidRPr="004B1815">
        <w:t>9.</w:t>
      </w:r>
      <w:r w:rsidRPr="004B1815">
        <w:tab/>
        <w:t>Es sind keine Investitionen erforderlich. Folgende verwaltungsmäßigen Maßnahmen sind erforderlich, aber auch verhältnismäßig: Bei den Absendern und Beförderern die Änderung der Einträge im Beförderungspapier für die Beförderung von Stoff-Nummer 9001. Bei den anerkannten Klassifikationsgesellschaften Änderung in der Schiffsstoffliste im Rahmen der regelmäßigen Aktualisierungen gemäß Absatz 1.16.1.2.5 ADN.</w:t>
      </w:r>
    </w:p>
    <w:p w:rsidR="004B1815" w:rsidRPr="004B1815" w:rsidRDefault="004B1815" w:rsidP="004B1815">
      <w:pPr>
        <w:tabs>
          <w:tab w:val="left" w:pos="567"/>
          <w:tab w:val="left" w:pos="1418"/>
        </w:tabs>
        <w:spacing w:line="240" w:lineRule="atLeast"/>
        <w:ind w:left="0" w:firstLine="0"/>
        <w:contextualSpacing/>
      </w:pPr>
    </w:p>
    <w:p w:rsidR="004B1815" w:rsidRPr="004B1815" w:rsidRDefault="004B1815" w:rsidP="004B1815">
      <w:pPr>
        <w:tabs>
          <w:tab w:val="left" w:pos="567"/>
          <w:tab w:val="left" w:pos="1418"/>
        </w:tabs>
        <w:spacing w:line="240" w:lineRule="atLeast"/>
        <w:ind w:left="0" w:firstLine="0"/>
        <w:contextualSpacing/>
      </w:pPr>
    </w:p>
    <w:p w:rsidR="00751575" w:rsidRPr="004B1815" w:rsidRDefault="004B1815" w:rsidP="004B1815">
      <w:pPr>
        <w:tabs>
          <w:tab w:val="left" w:pos="567"/>
          <w:tab w:val="left" w:pos="1418"/>
        </w:tabs>
        <w:spacing w:line="240" w:lineRule="atLeast"/>
        <w:ind w:left="0" w:firstLine="0"/>
        <w:contextualSpacing/>
        <w:jc w:val="center"/>
      </w:pPr>
      <w:r w:rsidRPr="004B1815">
        <w:t>***</w:t>
      </w:r>
    </w:p>
    <w:sectPr w:rsidR="00751575" w:rsidRPr="004B1815" w:rsidSect="00825624">
      <w:headerReference w:type="even" r:id="rId9"/>
      <w:headerReference w:type="default" r:id="rId10"/>
      <w:footerReference w:type="even" r:id="rId11"/>
      <w:footerReference w:type="default" r:id="rId12"/>
      <w:pgSz w:w="11906" w:h="16838"/>
      <w:pgMar w:top="1701"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740" w:rsidRDefault="00033740" w:rsidP="0011702A">
      <w:r>
        <w:separator/>
      </w:r>
    </w:p>
  </w:endnote>
  <w:endnote w:type="continuationSeparator" w:id="0">
    <w:p w:rsidR="00033740" w:rsidRDefault="00033740"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AB" w:rsidRDefault="00E40EAB" w:rsidP="00E40EAB">
    <w:pPr>
      <w:widowControl/>
      <w:suppressAutoHyphens/>
      <w:overflowPunct/>
      <w:autoSpaceDE/>
      <w:adjustRightInd/>
      <w:ind w:left="0" w:firstLine="0"/>
      <w:jc w:val="right"/>
      <w:textAlignment w:val="auto"/>
    </w:pPr>
    <w:r>
      <w:rPr>
        <w:rFonts w:ascii="Arial" w:hAnsi="Arial"/>
        <w:noProof/>
        <w:snapToGrid w:val="0"/>
        <w:sz w:val="12"/>
        <w:szCs w:val="24"/>
        <w:lang w:val="en-US"/>
      </w:rPr>
      <w:t>m</w:t>
    </w:r>
    <w:r w:rsidRPr="001829D8">
      <w:rPr>
        <w:rFonts w:ascii="Arial" w:hAnsi="Arial"/>
        <w:noProof/>
        <w:snapToGrid w:val="0"/>
        <w:sz w:val="12"/>
        <w:szCs w:val="24"/>
        <w:lang w:val="en-US"/>
      </w:rPr>
      <w:t>m/adn_wp15_ac2_201</w:t>
    </w:r>
    <w:r>
      <w:rPr>
        <w:rFonts w:ascii="Arial" w:hAnsi="Arial"/>
        <w:noProof/>
        <w:snapToGrid w:val="0"/>
        <w:sz w:val="12"/>
        <w:szCs w:val="24"/>
        <w:lang w:val="en-US"/>
      </w:rPr>
      <w:t>8</w:t>
    </w:r>
    <w:r w:rsidRPr="001829D8">
      <w:rPr>
        <w:rFonts w:ascii="Arial" w:hAnsi="Arial"/>
        <w:noProof/>
        <w:snapToGrid w:val="0"/>
        <w:sz w:val="12"/>
        <w:szCs w:val="24"/>
        <w:lang w:val="en-US"/>
      </w:rPr>
      <w:t>_</w:t>
    </w:r>
    <w:r w:rsidR="003B4443">
      <w:rPr>
        <w:rFonts w:ascii="Arial" w:hAnsi="Arial"/>
        <w:noProof/>
        <w:snapToGrid w:val="0"/>
        <w:sz w:val="12"/>
        <w:szCs w:val="24"/>
        <w:lang w:val="en-US"/>
      </w:rPr>
      <w:t>29</w:t>
    </w:r>
    <w:r>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815" w:rsidRPr="00E40EAB" w:rsidRDefault="00E40EAB" w:rsidP="00E40EAB">
    <w:pPr>
      <w:widowControl/>
      <w:suppressAutoHyphens/>
      <w:overflowPunct/>
      <w:autoSpaceDE/>
      <w:adjustRightInd/>
      <w:ind w:left="0" w:firstLine="0"/>
      <w:jc w:val="right"/>
      <w:textAlignment w:val="auto"/>
      <w:rPr>
        <w:lang w:val="en-US"/>
      </w:rPr>
    </w:pPr>
    <w:r>
      <w:rPr>
        <w:rFonts w:ascii="Arial" w:hAnsi="Arial"/>
        <w:noProof/>
        <w:snapToGrid w:val="0"/>
        <w:sz w:val="12"/>
        <w:szCs w:val="24"/>
        <w:lang w:val="en-US"/>
      </w:rPr>
      <w:t>m</w:t>
    </w:r>
    <w:r w:rsidRPr="001829D8">
      <w:rPr>
        <w:rFonts w:ascii="Arial" w:hAnsi="Arial"/>
        <w:noProof/>
        <w:snapToGrid w:val="0"/>
        <w:sz w:val="12"/>
        <w:szCs w:val="24"/>
        <w:lang w:val="en-US"/>
      </w:rPr>
      <w:t>m/adn_wp15_ac2_201</w:t>
    </w:r>
    <w:r>
      <w:rPr>
        <w:rFonts w:ascii="Arial" w:hAnsi="Arial"/>
        <w:noProof/>
        <w:snapToGrid w:val="0"/>
        <w:sz w:val="12"/>
        <w:szCs w:val="24"/>
        <w:lang w:val="en-US"/>
      </w:rPr>
      <w:t>8</w:t>
    </w:r>
    <w:r w:rsidRPr="001829D8">
      <w:rPr>
        <w:rFonts w:ascii="Arial" w:hAnsi="Arial"/>
        <w:noProof/>
        <w:snapToGrid w:val="0"/>
        <w:sz w:val="12"/>
        <w:szCs w:val="24"/>
        <w:lang w:val="en-US"/>
      </w:rPr>
      <w:t>_</w:t>
    </w:r>
    <w:r w:rsidR="003B4443">
      <w:rPr>
        <w:rFonts w:ascii="Arial" w:hAnsi="Arial"/>
        <w:noProof/>
        <w:snapToGrid w:val="0"/>
        <w:sz w:val="12"/>
        <w:szCs w:val="24"/>
        <w:lang w:val="en-US"/>
      </w:rPr>
      <w:t>29</w:t>
    </w:r>
    <w:r>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740" w:rsidRDefault="00033740" w:rsidP="0011702A">
      <w:r>
        <w:separator/>
      </w:r>
    </w:p>
  </w:footnote>
  <w:footnote w:type="continuationSeparator" w:id="0">
    <w:p w:rsidR="00033740" w:rsidRDefault="00033740" w:rsidP="0011702A">
      <w:r>
        <w:continuationSeparator/>
      </w:r>
    </w:p>
  </w:footnote>
  <w:footnote w:id="1">
    <w:p w:rsidR="004B1815" w:rsidRPr="004B1815" w:rsidRDefault="004B1815" w:rsidP="004B1815">
      <w:pPr>
        <w:pStyle w:val="FootnoteText"/>
        <w:ind w:left="284" w:hanging="284"/>
        <w:rPr>
          <w:sz w:val="16"/>
          <w:szCs w:val="16"/>
        </w:rPr>
      </w:pPr>
      <w:r w:rsidRPr="004B1815">
        <w:rPr>
          <w:rStyle w:val="FootnoteReference"/>
          <w:sz w:val="16"/>
          <w:szCs w:val="16"/>
        </w:rPr>
        <w:footnoteRef/>
      </w:r>
      <w:r w:rsidRPr="004B1815">
        <w:rPr>
          <w:sz w:val="16"/>
          <w:szCs w:val="16"/>
        </w:rPr>
        <w:t xml:space="preserve"> </w:t>
      </w:r>
      <w:r w:rsidRPr="004B1815">
        <w:rPr>
          <w:sz w:val="16"/>
          <w:szCs w:val="16"/>
        </w:rPr>
        <w:tab/>
        <w:t>Von der UN-ECE in Englisch, Französisch und Russisch unter dem Aktenzeichen ECE/TRANS/WP.15/AC.2/201</w:t>
      </w:r>
      <w:r w:rsidR="000C29BE">
        <w:rPr>
          <w:sz w:val="16"/>
          <w:szCs w:val="16"/>
        </w:rPr>
        <w:t>8</w:t>
      </w:r>
      <w:r w:rsidRPr="004B1815">
        <w:rPr>
          <w:sz w:val="16"/>
          <w:szCs w:val="16"/>
        </w:rPr>
        <w:t>/</w:t>
      </w:r>
      <w:r w:rsidR="003B4443">
        <w:rPr>
          <w:sz w:val="16"/>
          <w:szCs w:val="16"/>
        </w:rPr>
        <w:t>29</w:t>
      </w:r>
      <w:r w:rsidRPr="004B1815">
        <w:rPr>
          <w:sz w:val="16"/>
          <w:szCs w:val="16"/>
        </w:rPr>
        <w:t xml:space="preserve"> verteilt.</w:t>
      </w:r>
    </w:p>
  </w:footnote>
  <w:footnote w:id="2">
    <w:p w:rsidR="004B1815" w:rsidRPr="004B1815" w:rsidRDefault="004B1815" w:rsidP="004B1815">
      <w:pPr>
        <w:pStyle w:val="FootnoteText"/>
        <w:tabs>
          <w:tab w:val="left" w:pos="284"/>
        </w:tabs>
        <w:ind w:left="284" w:hanging="284"/>
        <w:rPr>
          <w:sz w:val="16"/>
          <w:szCs w:val="16"/>
        </w:rPr>
      </w:pPr>
      <w:r w:rsidRPr="004B1815">
        <w:rPr>
          <w:rStyle w:val="FootnoteReference"/>
          <w:sz w:val="16"/>
          <w:szCs w:val="16"/>
        </w:rPr>
        <w:footnoteRef/>
      </w:r>
      <w:r w:rsidRPr="004B1815">
        <w:rPr>
          <w:sz w:val="16"/>
          <w:szCs w:val="16"/>
        </w:rPr>
        <w:t xml:space="preserve"> </w:t>
      </w:r>
      <w:r w:rsidRPr="004B1815">
        <w:rPr>
          <w:sz w:val="16"/>
          <w:szCs w:val="16"/>
        </w:rPr>
        <w:tab/>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4B1815" w:rsidRDefault="00D4056A" w:rsidP="004B1815">
    <w:pPr>
      <w:widowControl/>
      <w:suppressAutoHyphens/>
      <w:overflowPunct/>
      <w:autoSpaceDE/>
      <w:autoSpaceDN/>
      <w:adjustRightInd/>
      <w:ind w:left="0" w:firstLine="0"/>
      <w:jc w:val="left"/>
      <w:textAlignment w:val="auto"/>
      <w:rPr>
        <w:rFonts w:ascii="Arial" w:hAnsi="Arial"/>
        <w:snapToGrid w:val="0"/>
        <w:sz w:val="16"/>
        <w:szCs w:val="16"/>
        <w:lang w:val="en-US"/>
      </w:rPr>
    </w:pPr>
    <w:r w:rsidRPr="004B1815">
      <w:rPr>
        <w:rFonts w:ascii="Arial" w:hAnsi="Arial"/>
        <w:snapToGrid w:val="0"/>
        <w:sz w:val="16"/>
        <w:szCs w:val="16"/>
        <w:lang w:val="en-US"/>
      </w:rPr>
      <w:t>CCNR-ZKR/ADN/WP.15/AC.2/</w:t>
    </w:r>
    <w:r w:rsidR="0011545F" w:rsidRPr="004B1815">
      <w:rPr>
        <w:rFonts w:ascii="Arial" w:hAnsi="Arial"/>
        <w:snapToGrid w:val="0"/>
        <w:sz w:val="16"/>
        <w:szCs w:val="16"/>
        <w:lang w:val="en-US"/>
      </w:rPr>
      <w:t>2018</w:t>
    </w:r>
    <w:r w:rsidRPr="004B1815">
      <w:rPr>
        <w:rFonts w:ascii="Arial" w:hAnsi="Arial"/>
        <w:snapToGrid w:val="0"/>
        <w:sz w:val="16"/>
        <w:szCs w:val="16"/>
        <w:lang w:val="en-US"/>
      </w:rPr>
      <w:t>/</w:t>
    </w:r>
    <w:r w:rsidR="003B4443">
      <w:rPr>
        <w:rFonts w:ascii="Arial" w:hAnsi="Arial"/>
        <w:snapToGrid w:val="0"/>
        <w:sz w:val="16"/>
        <w:szCs w:val="16"/>
        <w:lang w:val="en-US"/>
      </w:rPr>
      <w:t>29</w:t>
    </w:r>
  </w:p>
  <w:p w:rsidR="00D4056A" w:rsidRPr="004B1815" w:rsidRDefault="00D4056A" w:rsidP="004B1815">
    <w:pPr>
      <w:widowControl/>
      <w:suppressAutoHyphens/>
      <w:overflowPunct/>
      <w:autoSpaceDE/>
      <w:autoSpaceDN/>
      <w:adjustRightInd/>
      <w:ind w:left="0" w:firstLine="0"/>
      <w:jc w:val="left"/>
      <w:textAlignment w:val="auto"/>
      <w:rPr>
        <w:rFonts w:ascii="Arial" w:hAnsi="Arial"/>
        <w:snapToGrid w:val="0"/>
        <w:sz w:val="16"/>
        <w:szCs w:val="16"/>
      </w:rPr>
    </w:pPr>
    <w:r w:rsidRPr="004B1815">
      <w:rPr>
        <w:rFonts w:ascii="Arial" w:hAnsi="Arial"/>
        <w:snapToGrid w:val="0"/>
        <w:sz w:val="16"/>
        <w:szCs w:val="16"/>
      </w:rPr>
      <w:t xml:space="preserve">Seite </w:t>
    </w:r>
    <w:r w:rsidRPr="004B1815">
      <w:rPr>
        <w:rFonts w:ascii="Arial" w:hAnsi="Arial"/>
        <w:snapToGrid w:val="0"/>
        <w:sz w:val="16"/>
        <w:szCs w:val="16"/>
      </w:rPr>
      <w:fldChar w:fldCharType="begin"/>
    </w:r>
    <w:r w:rsidRPr="004B1815">
      <w:rPr>
        <w:rFonts w:ascii="Arial" w:hAnsi="Arial"/>
        <w:snapToGrid w:val="0"/>
        <w:sz w:val="16"/>
        <w:szCs w:val="16"/>
      </w:rPr>
      <w:instrText xml:space="preserve"> PAGE  \* MERGEFORMAT </w:instrText>
    </w:r>
    <w:r w:rsidRPr="004B1815">
      <w:rPr>
        <w:rFonts w:ascii="Arial" w:hAnsi="Arial"/>
        <w:snapToGrid w:val="0"/>
        <w:sz w:val="16"/>
        <w:szCs w:val="16"/>
      </w:rPr>
      <w:fldChar w:fldCharType="separate"/>
    </w:r>
    <w:r w:rsidR="00D3115D">
      <w:rPr>
        <w:rFonts w:ascii="Arial" w:hAnsi="Arial"/>
        <w:noProof/>
        <w:snapToGrid w:val="0"/>
        <w:sz w:val="16"/>
        <w:szCs w:val="16"/>
      </w:rPr>
      <w:t>2</w:t>
    </w:r>
    <w:r w:rsidRPr="004B1815">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56A" w:rsidRPr="004B1815" w:rsidRDefault="00D4056A" w:rsidP="004B1815">
    <w:pPr>
      <w:widowControl/>
      <w:suppressAutoHyphens/>
      <w:overflowPunct/>
      <w:autoSpaceDE/>
      <w:autoSpaceDN/>
      <w:adjustRightInd/>
      <w:ind w:left="0" w:firstLine="0"/>
      <w:jc w:val="right"/>
      <w:textAlignment w:val="auto"/>
      <w:rPr>
        <w:rFonts w:ascii="Arial" w:hAnsi="Arial"/>
        <w:snapToGrid w:val="0"/>
        <w:sz w:val="16"/>
        <w:szCs w:val="16"/>
        <w:lang w:val="en-US"/>
      </w:rPr>
    </w:pPr>
    <w:r w:rsidRPr="004B1815">
      <w:rPr>
        <w:rFonts w:ascii="Arial" w:hAnsi="Arial"/>
        <w:snapToGrid w:val="0"/>
        <w:sz w:val="16"/>
        <w:szCs w:val="16"/>
        <w:lang w:val="en-US"/>
      </w:rPr>
      <w:t>CCNR-ZKR/ADN/WP.15/AC.2/</w:t>
    </w:r>
    <w:r w:rsidR="005E1F81" w:rsidRPr="004B1815">
      <w:rPr>
        <w:rFonts w:ascii="Arial" w:hAnsi="Arial"/>
        <w:snapToGrid w:val="0"/>
        <w:sz w:val="16"/>
        <w:szCs w:val="16"/>
        <w:lang w:val="en-US"/>
      </w:rPr>
      <w:t>2018/</w:t>
    </w:r>
    <w:r w:rsidR="003B4443">
      <w:rPr>
        <w:rFonts w:ascii="Arial" w:hAnsi="Arial"/>
        <w:snapToGrid w:val="0"/>
        <w:sz w:val="16"/>
        <w:szCs w:val="16"/>
        <w:lang w:val="en-US"/>
      </w:rPr>
      <w:t>29</w:t>
    </w:r>
  </w:p>
  <w:p w:rsidR="00D4056A" w:rsidRPr="004B1815" w:rsidRDefault="00D4056A" w:rsidP="004B1815">
    <w:pPr>
      <w:widowControl/>
      <w:suppressAutoHyphens/>
      <w:overflowPunct/>
      <w:autoSpaceDE/>
      <w:autoSpaceDN/>
      <w:adjustRightInd/>
      <w:ind w:left="0" w:firstLine="0"/>
      <w:jc w:val="right"/>
      <w:textAlignment w:val="auto"/>
      <w:rPr>
        <w:rFonts w:ascii="Arial" w:hAnsi="Arial"/>
        <w:snapToGrid w:val="0"/>
        <w:sz w:val="16"/>
        <w:szCs w:val="16"/>
      </w:rPr>
    </w:pPr>
    <w:r w:rsidRPr="004B1815">
      <w:rPr>
        <w:rFonts w:ascii="Arial" w:hAnsi="Arial"/>
        <w:snapToGrid w:val="0"/>
        <w:sz w:val="16"/>
        <w:szCs w:val="16"/>
      </w:rPr>
      <w:t xml:space="preserve">Seite </w:t>
    </w:r>
    <w:r w:rsidRPr="004B1815">
      <w:rPr>
        <w:rFonts w:ascii="Arial" w:hAnsi="Arial"/>
        <w:snapToGrid w:val="0"/>
        <w:sz w:val="16"/>
        <w:szCs w:val="16"/>
      </w:rPr>
      <w:fldChar w:fldCharType="begin"/>
    </w:r>
    <w:r w:rsidRPr="004B1815">
      <w:rPr>
        <w:rFonts w:ascii="Arial" w:hAnsi="Arial"/>
        <w:snapToGrid w:val="0"/>
        <w:sz w:val="16"/>
        <w:szCs w:val="16"/>
      </w:rPr>
      <w:instrText xml:space="preserve"> PAGE  \* MERGEFORMAT </w:instrText>
    </w:r>
    <w:r w:rsidRPr="004B1815">
      <w:rPr>
        <w:rFonts w:ascii="Arial" w:hAnsi="Arial"/>
        <w:snapToGrid w:val="0"/>
        <w:sz w:val="16"/>
        <w:szCs w:val="16"/>
      </w:rPr>
      <w:fldChar w:fldCharType="separate"/>
    </w:r>
    <w:r w:rsidR="00D3115D">
      <w:rPr>
        <w:rFonts w:ascii="Arial" w:hAnsi="Arial"/>
        <w:noProof/>
        <w:snapToGrid w:val="0"/>
        <w:sz w:val="16"/>
        <w:szCs w:val="16"/>
      </w:rPr>
      <w:t>3</w:t>
    </w:r>
    <w:r w:rsidRPr="004B1815">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303049"/>
    <w:multiLevelType w:val="hybridMultilevel"/>
    <w:tmpl w:val="BEEAAB40"/>
    <w:lvl w:ilvl="0" w:tplc="195E699A">
      <w:start w:val="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049F5"/>
    <w:rsid w:val="00006820"/>
    <w:rsid w:val="000143A3"/>
    <w:rsid w:val="00014D4F"/>
    <w:rsid w:val="00016593"/>
    <w:rsid w:val="00026176"/>
    <w:rsid w:val="0003284B"/>
    <w:rsid w:val="00033740"/>
    <w:rsid w:val="00034828"/>
    <w:rsid w:val="0004134B"/>
    <w:rsid w:val="00043F97"/>
    <w:rsid w:val="00047E84"/>
    <w:rsid w:val="00050A41"/>
    <w:rsid w:val="00052E7E"/>
    <w:rsid w:val="000563D5"/>
    <w:rsid w:val="00056B10"/>
    <w:rsid w:val="00076F9A"/>
    <w:rsid w:val="00080275"/>
    <w:rsid w:val="00080F60"/>
    <w:rsid w:val="00085449"/>
    <w:rsid w:val="00090A58"/>
    <w:rsid w:val="0009215A"/>
    <w:rsid w:val="00097410"/>
    <w:rsid w:val="000A1A85"/>
    <w:rsid w:val="000A324C"/>
    <w:rsid w:val="000B3573"/>
    <w:rsid w:val="000C108A"/>
    <w:rsid w:val="000C29BE"/>
    <w:rsid w:val="000C6E63"/>
    <w:rsid w:val="000C72ED"/>
    <w:rsid w:val="000C754F"/>
    <w:rsid w:val="000C795B"/>
    <w:rsid w:val="000D3D4C"/>
    <w:rsid w:val="000D4406"/>
    <w:rsid w:val="000D5D27"/>
    <w:rsid w:val="000D7FD6"/>
    <w:rsid w:val="000E4620"/>
    <w:rsid w:val="000E6786"/>
    <w:rsid w:val="000F6242"/>
    <w:rsid w:val="000F79E4"/>
    <w:rsid w:val="001013D7"/>
    <w:rsid w:val="00106FC3"/>
    <w:rsid w:val="00113A60"/>
    <w:rsid w:val="00114102"/>
    <w:rsid w:val="0011545F"/>
    <w:rsid w:val="0011702A"/>
    <w:rsid w:val="0012236C"/>
    <w:rsid w:val="00126AA9"/>
    <w:rsid w:val="00127F24"/>
    <w:rsid w:val="00131CD7"/>
    <w:rsid w:val="00143354"/>
    <w:rsid w:val="00147172"/>
    <w:rsid w:val="00150377"/>
    <w:rsid w:val="00156782"/>
    <w:rsid w:val="00156903"/>
    <w:rsid w:val="00156ACE"/>
    <w:rsid w:val="0016790C"/>
    <w:rsid w:val="001729A2"/>
    <w:rsid w:val="001739E9"/>
    <w:rsid w:val="00176072"/>
    <w:rsid w:val="0017767A"/>
    <w:rsid w:val="001878DE"/>
    <w:rsid w:val="00190390"/>
    <w:rsid w:val="001A078E"/>
    <w:rsid w:val="001B4F22"/>
    <w:rsid w:val="001B7B3E"/>
    <w:rsid w:val="001C0E5C"/>
    <w:rsid w:val="001C1D1B"/>
    <w:rsid w:val="001C4ED8"/>
    <w:rsid w:val="001C680E"/>
    <w:rsid w:val="001D1B0A"/>
    <w:rsid w:val="001D7327"/>
    <w:rsid w:val="001E4D07"/>
    <w:rsid w:val="0020240A"/>
    <w:rsid w:val="00202E6D"/>
    <w:rsid w:val="00205465"/>
    <w:rsid w:val="002132D2"/>
    <w:rsid w:val="00223DF9"/>
    <w:rsid w:val="00235B56"/>
    <w:rsid w:val="002366BA"/>
    <w:rsid w:val="00240203"/>
    <w:rsid w:val="002431F2"/>
    <w:rsid w:val="00250FDB"/>
    <w:rsid w:val="00255192"/>
    <w:rsid w:val="00270CE7"/>
    <w:rsid w:val="0027414F"/>
    <w:rsid w:val="00283323"/>
    <w:rsid w:val="00291013"/>
    <w:rsid w:val="00291CB3"/>
    <w:rsid w:val="002A337E"/>
    <w:rsid w:val="002A53A6"/>
    <w:rsid w:val="002C0469"/>
    <w:rsid w:val="002D1BFB"/>
    <w:rsid w:val="002E3745"/>
    <w:rsid w:val="002E6A16"/>
    <w:rsid w:val="002E7227"/>
    <w:rsid w:val="002F4FC6"/>
    <w:rsid w:val="003033DD"/>
    <w:rsid w:val="00316D5A"/>
    <w:rsid w:val="0032045B"/>
    <w:rsid w:val="003233C8"/>
    <w:rsid w:val="00325D76"/>
    <w:rsid w:val="00326B14"/>
    <w:rsid w:val="00337284"/>
    <w:rsid w:val="003439FC"/>
    <w:rsid w:val="00344C19"/>
    <w:rsid w:val="00357412"/>
    <w:rsid w:val="00361725"/>
    <w:rsid w:val="00364E68"/>
    <w:rsid w:val="003702C7"/>
    <w:rsid w:val="0038428F"/>
    <w:rsid w:val="00387545"/>
    <w:rsid w:val="00397E52"/>
    <w:rsid w:val="003A2337"/>
    <w:rsid w:val="003B23DA"/>
    <w:rsid w:val="003B4443"/>
    <w:rsid w:val="003C61C4"/>
    <w:rsid w:val="003D3605"/>
    <w:rsid w:val="003E6E61"/>
    <w:rsid w:val="00400ADD"/>
    <w:rsid w:val="00401179"/>
    <w:rsid w:val="00406965"/>
    <w:rsid w:val="00410285"/>
    <w:rsid w:val="004176F9"/>
    <w:rsid w:val="00427609"/>
    <w:rsid w:val="00427804"/>
    <w:rsid w:val="00430CD0"/>
    <w:rsid w:val="00432779"/>
    <w:rsid w:val="004400D3"/>
    <w:rsid w:val="00446085"/>
    <w:rsid w:val="00466FB5"/>
    <w:rsid w:val="00472198"/>
    <w:rsid w:val="004819A4"/>
    <w:rsid w:val="0048292C"/>
    <w:rsid w:val="004847DC"/>
    <w:rsid w:val="00492FA6"/>
    <w:rsid w:val="004A0752"/>
    <w:rsid w:val="004A3FE7"/>
    <w:rsid w:val="004A46B8"/>
    <w:rsid w:val="004B0D93"/>
    <w:rsid w:val="004B1815"/>
    <w:rsid w:val="004B7EA6"/>
    <w:rsid w:val="004C18DE"/>
    <w:rsid w:val="004E622A"/>
    <w:rsid w:val="004F4DE3"/>
    <w:rsid w:val="004F5608"/>
    <w:rsid w:val="0051476B"/>
    <w:rsid w:val="00534340"/>
    <w:rsid w:val="00540683"/>
    <w:rsid w:val="005533B4"/>
    <w:rsid w:val="00561447"/>
    <w:rsid w:val="0056605A"/>
    <w:rsid w:val="0057214E"/>
    <w:rsid w:val="00573D3E"/>
    <w:rsid w:val="0057786D"/>
    <w:rsid w:val="00582B60"/>
    <w:rsid w:val="00583496"/>
    <w:rsid w:val="00585999"/>
    <w:rsid w:val="00586819"/>
    <w:rsid w:val="00591A7D"/>
    <w:rsid w:val="00593E26"/>
    <w:rsid w:val="00595C5C"/>
    <w:rsid w:val="00596953"/>
    <w:rsid w:val="005A1A44"/>
    <w:rsid w:val="005A5B6A"/>
    <w:rsid w:val="005B6280"/>
    <w:rsid w:val="005C558D"/>
    <w:rsid w:val="005C7246"/>
    <w:rsid w:val="005E1804"/>
    <w:rsid w:val="005E1F81"/>
    <w:rsid w:val="005E5EF7"/>
    <w:rsid w:val="005F26AD"/>
    <w:rsid w:val="005F58DF"/>
    <w:rsid w:val="0060269E"/>
    <w:rsid w:val="006047AC"/>
    <w:rsid w:val="00607B11"/>
    <w:rsid w:val="00611C20"/>
    <w:rsid w:val="00620982"/>
    <w:rsid w:val="006256AF"/>
    <w:rsid w:val="00626C86"/>
    <w:rsid w:val="00630422"/>
    <w:rsid w:val="00631EB7"/>
    <w:rsid w:val="00642215"/>
    <w:rsid w:val="00643AEA"/>
    <w:rsid w:val="00651386"/>
    <w:rsid w:val="0066312D"/>
    <w:rsid w:val="00666284"/>
    <w:rsid w:val="00670028"/>
    <w:rsid w:val="0069164E"/>
    <w:rsid w:val="006924C5"/>
    <w:rsid w:val="006970A1"/>
    <w:rsid w:val="006A0959"/>
    <w:rsid w:val="006A507B"/>
    <w:rsid w:val="006A73AD"/>
    <w:rsid w:val="006A7F94"/>
    <w:rsid w:val="006B57B7"/>
    <w:rsid w:val="006B7C55"/>
    <w:rsid w:val="006C1D01"/>
    <w:rsid w:val="006E7759"/>
    <w:rsid w:val="006F3C42"/>
    <w:rsid w:val="00702BE6"/>
    <w:rsid w:val="00706883"/>
    <w:rsid w:val="007225A1"/>
    <w:rsid w:val="00742BD3"/>
    <w:rsid w:val="00746CB1"/>
    <w:rsid w:val="00751575"/>
    <w:rsid w:val="00754516"/>
    <w:rsid w:val="00760FB2"/>
    <w:rsid w:val="007705CB"/>
    <w:rsid w:val="00773B7E"/>
    <w:rsid w:val="0079124E"/>
    <w:rsid w:val="00792E94"/>
    <w:rsid w:val="007A19A7"/>
    <w:rsid w:val="007A584D"/>
    <w:rsid w:val="007B5D5A"/>
    <w:rsid w:val="007B7D4F"/>
    <w:rsid w:val="007C1AA7"/>
    <w:rsid w:val="007D1EF9"/>
    <w:rsid w:val="007D2FA0"/>
    <w:rsid w:val="007D6265"/>
    <w:rsid w:val="007D7A33"/>
    <w:rsid w:val="007E7F2A"/>
    <w:rsid w:val="007F74C4"/>
    <w:rsid w:val="0080091C"/>
    <w:rsid w:val="00805AEB"/>
    <w:rsid w:val="00810504"/>
    <w:rsid w:val="0081450F"/>
    <w:rsid w:val="00825624"/>
    <w:rsid w:val="00826787"/>
    <w:rsid w:val="00834438"/>
    <w:rsid w:val="00835551"/>
    <w:rsid w:val="00837FB8"/>
    <w:rsid w:val="00841328"/>
    <w:rsid w:val="008503A3"/>
    <w:rsid w:val="00854209"/>
    <w:rsid w:val="0086477D"/>
    <w:rsid w:val="00876F50"/>
    <w:rsid w:val="00886245"/>
    <w:rsid w:val="00894221"/>
    <w:rsid w:val="00896081"/>
    <w:rsid w:val="008967B7"/>
    <w:rsid w:val="008B3106"/>
    <w:rsid w:val="008B7C4B"/>
    <w:rsid w:val="008D3CEC"/>
    <w:rsid w:val="008F4B57"/>
    <w:rsid w:val="00903D48"/>
    <w:rsid w:val="0090748A"/>
    <w:rsid w:val="00912A46"/>
    <w:rsid w:val="009422FA"/>
    <w:rsid w:val="00953866"/>
    <w:rsid w:val="00962E31"/>
    <w:rsid w:val="00965DC5"/>
    <w:rsid w:val="00966CE6"/>
    <w:rsid w:val="00975B09"/>
    <w:rsid w:val="009771C0"/>
    <w:rsid w:val="009777E8"/>
    <w:rsid w:val="0098158C"/>
    <w:rsid w:val="0099031A"/>
    <w:rsid w:val="00991BA0"/>
    <w:rsid w:val="009A4FC8"/>
    <w:rsid w:val="009C79C4"/>
    <w:rsid w:val="009E281C"/>
    <w:rsid w:val="009E3EBD"/>
    <w:rsid w:val="009E64F6"/>
    <w:rsid w:val="009E795B"/>
    <w:rsid w:val="009F2DD9"/>
    <w:rsid w:val="00A005D6"/>
    <w:rsid w:val="00A0723D"/>
    <w:rsid w:val="00A1389E"/>
    <w:rsid w:val="00A21A7D"/>
    <w:rsid w:val="00A2645D"/>
    <w:rsid w:val="00A27409"/>
    <w:rsid w:val="00A57CE8"/>
    <w:rsid w:val="00A62126"/>
    <w:rsid w:val="00A71FAE"/>
    <w:rsid w:val="00A77993"/>
    <w:rsid w:val="00A77C4E"/>
    <w:rsid w:val="00A81D2D"/>
    <w:rsid w:val="00A917C1"/>
    <w:rsid w:val="00A94B80"/>
    <w:rsid w:val="00AB23F2"/>
    <w:rsid w:val="00AB6055"/>
    <w:rsid w:val="00AC1577"/>
    <w:rsid w:val="00AC3059"/>
    <w:rsid w:val="00AD68F2"/>
    <w:rsid w:val="00AD69C2"/>
    <w:rsid w:val="00AE50D2"/>
    <w:rsid w:val="00AE73A7"/>
    <w:rsid w:val="00AE7E9E"/>
    <w:rsid w:val="00AF7511"/>
    <w:rsid w:val="00B02145"/>
    <w:rsid w:val="00B041A6"/>
    <w:rsid w:val="00B17A75"/>
    <w:rsid w:val="00B2269A"/>
    <w:rsid w:val="00B26810"/>
    <w:rsid w:val="00B30626"/>
    <w:rsid w:val="00B40836"/>
    <w:rsid w:val="00B45122"/>
    <w:rsid w:val="00B4533C"/>
    <w:rsid w:val="00B71545"/>
    <w:rsid w:val="00B737F6"/>
    <w:rsid w:val="00B87AB9"/>
    <w:rsid w:val="00B90EDB"/>
    <w:rsid w:val="00B92BF7"/>
    <w:rsid w:val="00B9368D"/>
    <w:rsid w:val="00B940F8"/>
    <w:rsid w:val="00B97E2E"/>
    <w:rsid w:val="00BA358B"/>
    <w:rsid w:val="00BA6693"/>
    <w:rsid w:val="00BC224B"/>
    <w:rsid w:val="00BD0235"/>
    <w:rsid w:val="00BD6076"/>
    <w:rsid w:val="00BD77CE"/>
    <w:rsid w:val="00BF6A72"/>
    <w:rsid w:val="00BF7D16"/>
    <w:rsid w:val="00C01D3D"/>
    <w:rsid w:val="00C05CED"/>
    <w:rsid w:val="00C161A1"/>
    <w:rsid w:val="00C16233"/>
    <w:rsid w:val="00C2127E"/>
    <w:rsid w:val="00C24FA8"/>
    <w:rsid w:val="00C27690"/>
    <w:rsid w:val="00C4175D"/>
    <w:rsid w:val="00C43765"/>
    <w:rsid w:val="00C4703A"/>
    <w:rsid w:val="00C509C1"/>
    <w:rsid w:val="00C532C5"/>
    <w:rsid w:val="00C64A71"/>
    <w:rsid w:val="00C7003A"/>
    <w:rsid w:val="00C72A39"/>
    <w:rsid w:val="00C82985"/>
    <w:rsid w:val="00C90787"/>
    <w:rsid w:val="00C93A09"/>
    <w:rsid w:val="00C945EC"/>
    <w:rsid w:val="00C95218"/>
    <w:rsid w:val="00C970DD"/>
    <w:rsid w:val="00CA2B03"/>
    <w:rsid w:val="00CA71CC"/>
    <w:rsid w:val="00CB129F"/>
    <w:rsid w:val="00CB17EE"/>
    <w:rsid w:val="00CB257D"/>
    <w:rsid w:val="00CC62F9"/>
    <w:rsid w:val="00CD7A4F"/>
    <w:rsid w:val="00CE1071"/>
    <w:rsid w:val="00CE1F32"/>
    <w:rsid w:val="00CE77BC"/>
    <w:rsid w:val="00CF2359"/>
    <w:rsid w:val="00CF3E33"/>
    <w:rsid w:val="00CF645B"/>
    <w:rsid w:val="00D03FC5"/>
    <w:rsid w:val="00D04647"/>
    <w:rsid w:val="00D064E0"/>
    <w:rsid w:val="00D067E8"/>
    <w:rsid w:val="00D12EA3"/>
    <w:rsid w:val="00D16A29"/>
    <w:rsid w:val="00D2514D"/>
    <w:rsid w:val="00D3115D"/>
    <w:rsid w:val="00D33B77"/>
    <w:rsid w:val="00D35074"/>
    <w:rsid w:val="00D4056A"/>
    <w:rsid w:val="00D52AF0"/>
    <w:rsid w:val="00D52F95"/>
    <w:rsid w:val="00D6320C"/>
    <w:rsid w:val="00D65991"/>
    <w:rsid w:val="00D660E4"/>
    <w:rsid w:val="00D7150D"/>
    <w:rsid w:val="00D80CB1"/>
    <w:rsid w:val="00D8142E"/>
    <w:rsid w:val="00D8467E"/>
    <w:rsid w:val="00D92E0F"/>
    <w:rsid w:val="00D97C9F"/>
    <w:rsid w:val="00DA1F54"/>
    <w:rsid w:val="00DA28E2"/>
    <w:rsid w:val="00DA312C"/>
    <w:rsid w:val="00DA3AF6"/>
    <w:rsid w:val="00DB178D"/>
    <w:rsid w:val="00DB57E7"/>
    <w:rsid w:val="00DC66D9"/>
    <w:rsid w:val="00DD05F5"/>
    <w:rsid w:val="00DE11A4"/>
    <w:rsid w:val="00DF426C"/>
    <w:rsid w:val="00E1103A"/>
    <w:rsid w:val="00E14568"/>
    <w:rsid w:val="00E22556"/>
    <w:rsid w:val="00E236E5"/>
    <w:rsid w:val="00E240AE"/>
    <w:rsid w:val="00E30C9D"/>
    <w:rsid w:val="00E40062"/>
    <w:rsid w:val="00E40EAB"/>
    <w:rsid w:val="00E45BA1"/>
    <w:rsid w:val="00E50373"/>
    <w:rsid w:val="00E521C8"/>
    <w:rsid w:val="00E568C0"/>
    <w:rsid w:val="00E619C6"/>
    <w:rsid w:val="00E61F76"/>
    <w:rsid w:val="00E626D1"/>
    <w:rsid w:val="00E66171"/>
    <w:rsid w:val="00E72B69"/>
    <w:rsid w:val="00E82CF7"/>
    <w:rsid w:val="00E8770E"/>
    <w:rsid w:val="00E93819"/>
    <w:rsid w:val="00EA0422"/>
    <w:rsid w:val="00EA2C25"/>
    <w:rsid w:val="00EA7A70"/>
    <w:rsid w:val="00EB4ADF"/>
    <w:rsid w:val="00EB4D3D"/>
    <w:rsid w:val="00ED49D7"/>
    <w:rsid w:val="00ED557F"/>
    <w:rsid w:val="00EE4226"/>
    <w:rsid w:val="00EE457F"/>
    <w:rsid w:val="00EE5CAB"/>
    <w:rsid w:val="00EF00ED"/>
    <w:rsid w:val="00EF022A"/>
    <w:rsid w:val="00EF7231"/>
    <w:rsid w:val="00F07812"/>
    <w:rsid w:val="00F10D47"/>
    <w:rsid w:val="00F12E99"/>
    <w:rsid w:val="00F2054D"/>
    <w:rsid w:val="00F31FEF"/>
    <w:rsid w:val="00F330E1"/>
    <w:rsid w:val="00F42DC0"/>
    <w:rsid w:val="00F4792F"/>
    <w:rsid w:val="00F524CA"/>
    <w:rsid w:val="00F52E19"/>
    <w:rsid w:val="00F5474C"/>
    <w:rsid w:val="00F54B5E"/>
    <w:rsid w:val="00F55DD3"/>
    <w:rsid w:val="00F607DC"/>
    <w:rsid w:val="00F70B1D"/>
    <w:rsid w:val="00F70D98"/>
    <w:rsid w:val="00F736DE"/>
    <w:rsid w:val="00F74646"/>
    <w:rsid w:val="00F801E0"/>
    <w:rsid w:val="00F8608C"/>
    <w:rsid w:val="00F87B83"/>
    <w:rsid w:val="00F92BF9"/>
    <w:rsid w:val="00F93402"/>
    <w:rsid w:val="00FA3884"/>
    <w:rsid w:val="00FA712F"/>
    <w:rsid w:val="00FB305A"/>
    <w:rsid w:val="00FC032F"/>
    <w:rsid w:val="00FC2D7D"/>
    <w:rsid w:val="00FC5E77"/>
    <w:rsid w:val="00FD17D7"/>
    <w:rsid w:val="00FD4BC8"/>
    <w:rsid w:val="00FE0EB5"/>
    <w:rsid w:val="00FE2EF4"/>
    <w:rsid w:val="00FE78E8"/>
    <w:rsid w:val="00FE7C92"/>
    <w:rsid w:val="00FF23C9"/>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521ADE6-8C1E-40D5-9C14-C768D54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table" w:styleId="TableGrid">
    <w:name w:val="Table Grid"/>
    <w:basedOn w:val="TableNormal"/>
    <w:uiPriority w:val="59"/>
    <w:rsid w:val="00631E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48467550">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419C-DBB6-45A3-BC8A-BF690846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Office Word</Application>
  <DocSecurity>4</DocSecurity>
  <Lines>39</Lines>
  <Paragraphs>11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ECE-ADN-45 eng</cp:lastModifiedBy>
  <cp:revision>2</cp:revision>
  <cp:lastPrinted>2017-06-06T08:16:00Z</cp:lastPrinted>
  <dcterms:created xsi:type="dcterms:W3CDTF">2018-06-19T10:58:00Z</dcterms:created>
  <dcterms:modified xsi:type="dcterms:W3CDTF">2018-06-19T10:58:00Z</dcterms:modified>
</cp:coreProperties>
</file>