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A8674A">
            <w:pPr>
              <w:jc w:val="right"/>
              <w:rPr>
                <w:lang w:val="en-GB"/>
              </w:rPr>
            </w:pPr>
            <w:r w:rsidRPr="00171EA3">
              <w:rPr>
                <w:sz w:val="40"/>
                <w:lang w:val="en-GB"/>
              </w:rPr>
              <w:t>ECE</w:t>
            </w:r>
            <w:r w:rsidR="00A86837">
              <w:rPr>
                <w:lang w:val="en-GB"/>
              </w:rPr>
              <w:t>/TRANS/WP.15/AC.2</w:t>
            </w:r>
            <w:r w:rsidRPr="00171EA3">
              <w:rPr>
                <w:lang w:val="en-GB"/>
              </w:rPr>
              <w:t>/201</w:t>
            </w:r>
            <w:r w:rsidR="004C5F55">
              <w:rPr>
                <w:lang w:val="en-GB"/>
              </w:rPr>
              <w:t>8</w:t>
            </w:r>
            <w:r w:rsidRPr="00171EA3">
              <w:rPr>
                <w:lang w:val="en-GB"/>
              </w:rPr>
              <w:t>/</w:t>
            </w:r>
            <w:r w:rsidR="00B30CFB">
              <w:rPr>
                <w:lang w:val="en-GB"/>
              </w:rPr>
              <w:t>2</w:t>
            </w:r>
            <w:r w:rsidR="004C5F55">
              <w:rPr>
                <w:lang w:val="en-GB"/>
              </w:rPr>
              <w:t>4</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US"/>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proofErr w:type="spellStart"/>
            <w:r>
              <w:rPr>
                <w:lang w:val="fr-FR"/>
              </w:rPr>
              <w:t>Distr</w:t>
            </w:r>
            <w:proofErr w:type="spellEnd"/>
            <w:r>
              <w:rPr>
                <w:lang w:val="fr-FR"/>
              </w:rPr>
              <w:t>. générale</w:t>
            </w:r>
          </w:p>
          <w:p w:rsidR="00C4302B" w:rsidRDefault="002658A4" w:rsidP="00C4302B">
            <w:pPr>
              <w:spacing w:line="240" w:lineRule="exact"/>
              <w:rPr>
                <w:lang w:val="fr-FR"/>
              </w:rPr>
            </w:pPr>
            <w:r w:rsidRPr="002658A4">
              <w:rPr>
                <w:lang w:val="fr-FR"/>
              </w:rPr>
              <w:t>13 juin</w:t>
            </w:r>
            <w:r w:rsidR="00B30CFB" w:rsidRPr="002658A4">
              <w:rPr>
                <w:lang w:val="fr-FR"/>
              </w:rPr>
              <w:t xml:space="preserve"> 201</w:t>
            </w:r>
            <w:r w:rsidR="004C5F55" w:rsidRPr="002658A4">
              <w:rPr>
                <w:lang w:val="fr-FR"/>
              </w:rPr>
              <w:t>8</w:t>
            </w:r>
          </w:p>
          <w:p w:rsidR="00C4302B" w:rsidRDefault="002575AC" w:rsidP="00C4302B">
            <w:pPr>
              <w:spacing w:line="240" w:lineRule="exact"/>
              <w:rPr>
                <w:lang w:val="fr-FR"/>
              </w:rPr>
            </w:pPr>
            <w:r>
              <w:rPr>
                <w:lang w:val="fr-FR"/>
              </w:rPr>
              <w:t>Français</w:t>
            </w:r>
          </w:p>
          <w:p w:rsidR="00C4302B" w:rsidRPr="00367E6A" w:rsidRDefault="00C4302B" w:rsidP="00B30CFB">
            <w:pPr>
              <w:spacing w:line="240" w:lineRule="exact"/>
              <w:rPr>
                <w:lang w:val="fr-FR"/>
              </w:rPr>
            </w:pPr>
            <w:r>
              <w:rPr>
                <w:lang w:val="fr-FR"/>
              </w:rPr>
              <w:t xml:space="preserve">Original: </w:t>
            </w:r>
            <w:r w:rsidR="00A8674A">
              <w:rPr>
                <w:lang w:val="fr-FR"/>
              </w:rPr>
              <w:t>anglais et français</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634795" w:rsidRPr="00234E40" w:rsidRDefault="00634795" w:rsidP="00634795">
      <w:pPr>
        <w:spacing w:before="120"/>
        <w:rPr>
          <w:b/>
        </w:rPr>
      </w:pPr>
      <w:r>
        <w:rPr>
          <w:b/>
        </w:rPr>
        <w:t xml:space="preserve">Trente-troisième </w:t>
      </w:r>
      <w:r w:rsidRPr="00234E40">
        <w:rPr>
          <w:b/>
        </w:rPr>
        <w:t>session</w:t>
      </w:r>
    </w:p>
    <w:p w:rsidR="00634795" w:rsidRDefault="00634795" w:rsidP="00634795">
      <w:r>
        <w:t>Genève, 27-31 août 2018</w:t>
      </w:r>
    </w:p>
    <w:p w:rsidR="0049374F" w:rsidRDefault="0049374F" w:rsidP="0049374F">
      <w:r w:rsidRPr="00B93E72">
        <w:t xml:space="preserve">Point </w:t>
      </w:r>
      <w:r w:rsidR="0013653F" w:rsidRPr="0013653F">
        <w:t>4</w:t>
      </w:r>
      <w:r w:rsidRPr="0013653F">
        <w:t xml:space="preserve"> </w:t>
      </w:r>
      <w:r w:rsidR="00B44F0F">
        <w:t>a</w:t>
      </w:r>
      <w:r w:rsidRPr="0013653F">
        <w:t>)</w:t>
      </w:r>
      <w:r w:rsidRPr="00B93E72">
        <w:t xml:space="preserve"> de l</w:t>
      </w:r>
      <w:r>
        <w:t>’</w:t>
      </w:r>
      <w:r w:rsidRPr="00B93E72">
        <w:t>ordre du jour provisoire</w:t>
      </w:r>
    </w:p>
    <w:p w:rsidR="00B30CFB" w:rsidRPr="00B30CFB" w:rsidRDefault="00B30CFB" w:rsidP="00B30CFB">
      <w:pPr>
        <w:rPr>
          <w:b/>
          <w:lang w:val="fr-FR"/>
        </w:rPr>
      </w:pPr>
      <w:r w:rsidRPr="00B30CFB">
        <w:rPr>
          <w:b/>
          <w:lang w:val="fr-FR"/>
        </w:rPr>
        <w:t xml:space="preserve">Propositions </w:t>
      </w:r>
      <w:r w:rsidR="0013653F">
        <w:rPr>
          <w:b/>
          <w:lang w:val="fr-FR"/>
        </w:rPr>
        <w:t>d'amendement</w:t>
      </w:r>
      <w:r w:rsidR="005669DD">
        <w:rPr>
          <w:b/>
          <w:lang w:val="fr-FR"/>
        </w:rPr>
        <w:t>s</w:t>
      </w:r>
      <w:r w:rsidR="0013653F">
        <w:rPr>
          <w:b/>
          <w:lang w:val="fr-FR"/>
        </w:rPr>
        <w:t xml:space="preserve"> au R</w:t>
      </w:r>
      <w:r w:rsidR="008901C1">
        <w:rPr>
          <w:b/>
          <w:lang w:val="fr-FR"/>
        </w:rPr>
        <w:t>èglement annexé à l'ADN</w:t>
      </w:r>
      <w:r w:rsidRPr="00B30CFB">
        <w:rPr>
          <w:b/>
          <w:lang w:val="fr-FR"/>
        </w:rPr>
        <w:t>:</w:t>
      </w:r>
    </w:p>
    <w:p w:rsidR="0049374F" w:rsidRPr="00091D54" w:rsidRDefault="00091D54" w:rsidP="00B30CFB">
      <w:pPr>
        <w:rPr>
          <w:b/>
        </w:rPr>
      </w:pPr>
      <w:r w:rsidRPr="00091D54">
        <w:rPr>
          <w:b/>
          <w:lang w:val="fr-FR"/>
        </w:rPr>
        <w:t>travaux de la Réunion commune RID/ADR/ADN</w:t>
      </w:r>
    </w:p>
    <w:p w:rsidR="00A86837" w:rsidRPr="00EA0C87" w:rsidRDefault="0049374F" w:rsidP="002B61F2">
      <w:pPr>
        <w:pStyle w:val="HChG"/>
      </w:pPr>
      <w:r w:rsidRPr="00C63AC1">
        <w:tab/>
      </w:r>
      <w:r w:rsidR="00A86837" w:rsidRPr="00C63AC1">
        <w:tab/>
      </w:r>
      <w:r w:rsidR="00502CA8">
        <w:rPr>
          <w:lang w:val="fr-FR"/>
        </w:rPr>
        <w:t xml:space="preserve">Accord européen relatif au transport </w:t>
      </w:r>
      <w:r w:rsidR="00502CA8" w:rsidRPr="002B61F2">
        <w:t>international</w:t>
      </w:r>
      <w:r w:rsidR="00502CA8">
        <w:rPr>
          <w:lang w:val="fr-FR"/>
        </w:rPr>
        <w:t xml:space="preserve"> des marchandises dangereuses par voies de navigation intérieures </w:t>
      </w:r>
      <w:r w:rsidR="00502CA8" w:rsidRPr="00502CA8">
        <w:t>(ADN)</w:t>
      </w:r>
    </w:p>
    <w:p w:rsidR="00502CA8" w:rsidRPr="00502CA8" w:rsidRDefault="00A86837" w:rsidP="002658A4">
      <w:pPr>
        <w:pStyle w:val="H1G"/>
      </w:pPr>
      <w:r w:rsidRPr="00EA0C87">
        <w:tab/>
      </w:r>
      <w:r w:rsidRPr="00EA0C87">
        <w:tab/>
      </w:r>
      <w:r w:rsidR="00502CA8">
        <w:rPr>
          <w:lang w:val="fr-FR"/>
        </w:rPr>
        <w:t xml:space="preserve">Projet </w:t>
      </w:r>
      <w:r w:rsidR="00502CA8">
        <w:t>d'amendements</w:t>
      </w:r>
      <w:r w:rsidR="00502CA8">
        <w:rPr>
          <w:lang w:val="fr-FR"/>
        </w:rPr>
        <w:t xml:space="preserve"> au </w:t>
      </w:r>
      <w:r w:rsidR="00502CA8" w:rsidRPr="002B61F2">
        <w:t>Règlement</w:t>
      </w:r>
      <w:r w:rsidR="00502CA8">
        <w:rPr>
          <w:lang w:val="fr-FR"/>
        </w:rPr>
        <w:t xml:space="preserve"> annexé à l'ADN</w:t>
      </w:r>
    </w:p>
    <w:p w:rsidR="00A86837" w:rsidRPr="004D0EB7" w:rsidRDefault="00502CA8" w:rsidP="00CE5404">
      <w:pPr>
        <w:pStyle w:val="H1G"/>
      </w:pPr>
      <w:r w:rsidRPr="00502CA8">
        <w:tab/>
      </w:r>
      <w:r w:rsidRPr="00502CA8">
        <w:tab/>
        <w:t xml:space="preserve">Note </w:t>
      </w:r>
      <w:r>
        <w:t>du</w:t>
      </w:r>
      <w:r w:rsidRPr="00502CA8">
        <w:t xml:space="preserve"> </w:t>
      </w:r>
      <w:r w:rsidR="002658A4" w:rsidRPr="00502CA8">
        <w:t>secrétariat</w:t>
      </w:r>
      <w:proofErr w:type="gramStart"/>
      <w:r w:rsidR="00CE5404" w:rsidRPr="00CE5404">
        <w:rPr>
          <w:bCs/>
          <w:vertAlign w:val="superscript"/>
        </w:rPr>
        <w:footnoteReference w:customMarkFollows="1" w:id="2"/>
        <w:t>*</w:t>
      </w:r>
      <w:r w:rsidR="00CE5404" w:rsidRPr="00CE5404">
        <w:rPr>
          <w:bCs/>
          <w:vertAlign w:val="superscript"/>
          <w:lang w:val="fr-FR"/>
        </w:rPr>
        <w:t>,</w:t>
      </w:r>
      <w:r w:rsidR="00CE5404" w:rsidRPr="00CE5404">
        <w:rPr>
          <w:bCs/>
          <w:vertAlign w:val="superscript"/>
        </w:rPr>
        <w:footnoteReference w:customMarkFollows="1" w:id="3"/>
        <w:t>*</w:t>
      </w:r>
      <w:proofErr w:type="gramEnd"/>
      <w:r w:rsidR="00CE5404" w:rsidRPr="00CE5404">
        <w:rPr>
          <w:bCs/>
          <w:vertAlign w:val="superscript"/>
        </w:rPr>
        <w:t>*</w:t>
      </w:r>
    </w:p>
    <w:p w:rsidR="00FF1E43" w:rsidRPr="00FF1E43" w:rsidRDefault="00FF1E43" w:rsidP="00FF1E43">
      <w:pPr>
        <w:pStyle w:val="HChG"/>
        <w:rPr>
          <w:lang w:val="fr-FR"/>
        </w:rPr>
      </w:pPr>
      <w:r>
        <w:rPr>
          <w:lang w:val="fr-FR"/>
        </w:rPr>
        <w:tab/>
      </w:r>
      <w:r w:rsidR="000B1105">
        <w:rPr>
          <w:lang w:val="fr-FR"/>
        </w:rPr>
        <w:tab/>
      </w:r>
      <w:r w:rsidR="000B1105" w:rsidRPr="000B1105">
        <w:t>Introduction</w:t>
      </w:r>
    </w:p>
    <w:p w:rsidR="000B1105" w:rsidRPr="0041433B" w:rsidRDefault="000B1105" w:rsidP="002B61F2">
      <w:pPr>
        <w:pStyle w:val="SingleTxtG"/>
      </w:pPr>
      <w:r w:rsidRPr="0041433B">
        <w:t>1.</w:t>
      </w:r>
      <w:r w:rsidRPr="0041433B">
        <w:tab/>
      </w:r>
      <w:r>
        <w:t>Le Comité de sécurité souhaitera peut-être examiner les travaux réalisés par la Réunion commune RID/ADR/ADN à sa session de printemps 201</w:t>
      </w:r>
      <w:r w:rsidR="004C5F55">
        <w:t>8</w:t>
      </w:r>
      <w:r>
        <w:t xml:space="preserve"> </w:t>
      </w:r>
      <w:r w:rsidRPr="0041433B">
        <w:t>(ECE/TR</w:t>
      </w:r>
      <w:r>
        <w:t>ANS/WP.15/AC.1/</w:t>
      </w:r>
      <w:r w:rsidR="004C5F55">
        <w:t>150</w:t>
      </w:r>
      <w:r>
        <w:t>).</w:t>
      </w:r>
    </w:p>
    <w:p w:rsidR="00FF1E43" w:rsidRPr="000B1105" w:rsidRDefault="000B1105" w:rsidP="002B61F2">
      <w:pPr>
        <w:pStyle w:val="SingleTxtG"/>
      </w:pPr>
      <w:r w:rsidRPr="000B1105">
        <w:t>2.</w:t>
      </w:r>
      <w:r w:rsidRPr="000B1105">
        <w:tab/>
        <w:t xml:space="preserve">À sa </w:t>
      </w:r>
      <w:r w:rsidR="004C5F55">
        <w:t>10</w:t>
      </w:r>
      <w:r w:rsidR="001C1259">
        <w:t>4</w:t>
      </w:r>
      <w:r w:rsidR="002658A4">
        <w:t>e</w:t>
      </w:r>
      <w:r>
        <w:rPr>
          <w:lang w:val="fr-FR"/>
        </w:rPr>
        <w:t xml:space="preserve"> session en mai 201</w:t>
      </w:r>
      <w:r w:rsidR="004C5F55">
        <w:rPr>
          <w:lang w:val="fr-FR"/>
        </w:rPr>
        <w:t>8</w:t>
      </w:r>
      <w:r>
        <w:rPr>
          <w:lang w:val="fr-FR"/>
        </w:rPr>
        <w:t>, le Groupe de travail des transports de marchandises dangereuses</w:t>
      </w:r>
      <w:r w:rsidR="00B64B1C">
        <w:rPr>
          <w:lang w:val="fr-FR"/>
        </w:rPr>
        <w:t xml:space="preserve"> (WP.15)</w:t>
      </w:r>
      <w:r>
        <w:rPr>
          <w:lang w:val="fr-FR"/>
        </w:rPr>
        <w:t xml:space="preserve"> a adopté</w:t>
      </w:r>
      <w:r>
        <w:t xml:space="preserve"> </w:t>
      </w:r>
      <w:r>
        <w:rPr>
          <w:lang w:val="fr-FR"/>
        </w:rPr>
        <w:t xml:space="preserve">une liste supplémentaire d'amendements à l'ADR </w:t>
      </w:r>
      <w:r>
        <w:t>dont l’entrée en vigueur est prévue le 1er janvier 201</w:t>
      </w:r>
      <w:r w:rsidR="004C5F55">
        <w:t>9</w:t>
      </w:r>
      <w:r>
        <w:t xml:space="preserve"> </w:t>
      </w:r>
      <w:r w:rsidRPr="004D630E">
        <w:t>(ECE/TRANS/WP.15/</w:t>
      </w:r>
      <w:r w:rsidR="004C5F55">
        <w:t>240</w:t>
      </w:r>
      <w:r w:rsidRPr="004D630E">
        <w:t>/Add.1)</w:t>
      </w:r>
      <w:r>
        <w:t>.</w:t>
      </w:r>
    </w:p>
    <w:p w:rsidR="00FF1E43" w:rsidRPr="000B1105" w:rsidRDefault="000B1105" w:rsidP="000B1105">
      <w:pPr>
        <w:pStyle w:val="SingleTxtG"/>
      </w:pPr>
      <w:r w:rsidRPr="004D630E">
        <w:lastRenderedPageBreak/>
        <w:t>3.</w:t>
      </w:r>
      <w:r w:rsidRPr="004D630E">
        <w:tab/>
      </w:r>
      <w:r>
        <w:rPr>
          <w:bCs/>
          <w:lang w:val="fr-FR"/>
        </w:rPr>
        <w:t>Le présent document contient les amendements qui sont aussi pertinents pour l'ADN.</w:t>
      </w:r>
    </w:p>
    <w:p w:rsidR="001474C1" w:rsidRDefault="001474C1" w:rsidP="001474C1">
      <w:pPr>
        <w:pStyle w:val="H1G"/>
        <w:rPr>
          <w:lang w:val="fr-FR"/>
        </w:rPr>
      </w:pPr>
      <w:r w:rsidRPr="00F26F19">
        <w:rPr>
          <w:lang w:val="fr-FR"/>
        </w:rPr>
        <w:tab/>
      </w:r>
      <w:r w:rsidRPr="00F26F19">
        <w:rPr>
          <w:lang w:val="fr-FR"/>
        </w:rPr>
        <w:tab/>
        <w:t xml:space="preserve">Chapitre </w:t>
      </w:r>
      <w:r w:rsidR="009F32AB">
        <w:rPr>
          <w:lang w:val="fr-FR"/>
        </w:rPr>
        <w:t>1.2</w:t>
      </w:r>
    </w:p>
    <w:p w:rsidR="009F32AB" w:rsidRDefault="009F32AB" w:rsidP="009F32AB">
      <w:pPr>
        <w:pStyle w:val="SingleTxtG"/>
        <w:rPr>
          <w:lang w:val="fr-FR"/>
        </w:rPr>
      </w:pPr>
      <w:r>
        <w:rPr>
          <w:lang w:val="fr-FR"/>
        </w:rPr>
        <w:t>1.2.1</w:t>
      </w:r>
      <w:r>
        <w:rPr>
          <w:lang w:val="fr-FR"/>
        </w:rPr>
        <w:tab/>
        <w:t xml:space="preserve">Ajouter la définition </w:t>
      </w:r>
      <w:proofErr w:type="gramStart"/>
      <w:r>
        <w:rPr>
          <w:lang w:val="fr-FR"/>
        </w:rPr>
        <w:t>suivante:</w:t>
      </w:r>
      <w:proofErr w:type="gramEnd"/>
    </w:p>
    <w:p w:rsidR="009F32AB" w:rsidRDefault="00EA0EA5" w:rsidP="009F32AB">
      <w:pPr>
        <w:pStyle w:val="SingleTxtG"/>
        <w:rPr>
          <w:lang w:val="fr-FR"/>
        </w:rPr>
      </w:pPr>
      <w:proofErr w:type="gramStart"/>
      <w:r>
        <w:rPr>
          <w:i/>
          <w:lang w:val="fr-FR"/>
        </w:rPr>
        <w:t>«</w:t>
      </w:r>
      <w:r w:rsidRPr="005A1925">
        <w:rPr>
          <w:i/>
          <w:lang w:val="fr-FR"/>
        </w:rPr>
        <w:t>Règlement</w:t>
      </w:r>
      <w:proofErr w:type="gramEnd"/>
      <w:r w:rsidRPr="005A1925">
        <w:rPr>
          <w:i/>
          <w:lang w:val="fr-FR"/>
        </w:rPr>
        <w:t xml:space="preserve"> </w:t>
      </w:r>
      <w:r>
        <w:rPr>
          <w:i/>
          <w:lang w:val="fr-FR"/>
        </w:rPr>
        <w:t>ONU:</w:t>
      </w:r>
      <w:r w:rsidRPr="005A1925">
        <w:rPr>
          <w:i/>
          <w:lang w:val="fr-FR"/>
        </w:rPr>
        <w:t xml:space="preserve"> </w:t>
      </w:r>
      <w:r w:rsidRPr="005A1925">
        <w:rPr>
          <w:lang w:val="fr-FR"/>
        </w:rPr>
        <w:t>un Règlement annexé à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(Accord de 1958, tel que modifié);</w:t>
      </w:r>
      <w:r>
        <w:rPr>
          <w:lang w:val="fr-FR"/>
        </w:rPr>
        <w:t>».</w:t>
      </w:r>
    </w:p>
    <w:p w:rsidR="00EA0EA5" w:rsidRPr="00EA0EA5" w:rsidRDefault="00EA0EA5" w:rsidP="00EA0EA5">
      <w:pPr>
        <w:pStyle w:val="SingleTxtG"/>
        <w:rPr>
          <w:i/>
          <w:iCs/>
          <w:lang w:eastAsia="zh-CN"/>
        </w:rPr>
      </w:pPr>
      <w:r w:rsidRPr="00EA0EA5">
        <w:rPr>
          <w:i/>
          <w:iCs/>
          <w:lang w:val="fr-FR" w:eastAsia="zh-CN"/>
        </w:rPr>
        <w:t>(Proposition du secrétariat en tant qu'amendement corollaire. Le terme "Règlement ONU" est utilisé dans le texte de la disposition spéciale 392 et la définition existe déjà dans l'ADR)</w:t>
      </w:r>
    </w:p>
    <w:p w:rsidR="001474C1" w:rsidRDefault="001474C1" w:rsidP="001474C1">
      <w:pPr>
        <w:pStyle w:val="H1G"/>
        <w:rPr>
          <w:lang w:val="fr-FR"/>
        </w:rPr>
      </w:pPr>
      <w:r w:rsidRPr="00F26F19">
        <w:rPr>
          <w:lang w:val="fr-FR"/>
        </w:rPr>
        <w:tab/>
      </w:r>
      <w:r w:rsidRPr="00F26F19">
        <w:rPr>
          <w:lang w:val="fr-FR"/>
        </w:rPr>
        <w:tab/>
        <w:t xml:space="preserve">Chapitre </w:t>
      </w:r>
      <w:r w:rsidR="00612805">
        <w:rPr>
          <w:lang w:val="fr-FR"/>
        </w:rPr>
        <w:t>1.6</w:t>
      </w:r>
    </w:p>
    <w:p w:rsidR="00612805" w:rsidRPr="00612805" w:rsidRDefault="00612805" w:rsidP="00612805">
      <w:pPr>
        <w:pStyle w:val="SingleTxtG"/>
        <w:rPr>
          <w:lang w:val="fr-FR"/>
        </w:rPr>
      </w:pPr>
      <w:r w:rsidRPr="00612805">
        <w:rPr>
          <w:lang w:val="fr-FR"/>
        </w:rPr>
        <w:t>1.6.1</w:t>
      </w:r>
      <w:r w:rsidRPr="00612805">
        <w:rPr>
          <w:lang w:val="fr-FR"/>
        </w:rPr>
        <w:tab/>
        <w:t>Ajouter la nouvelle mesure transitoire suivante :</w:t>
      </w:r>
    </w:p>
    <w:p w:rsidR="00612805" w:rsidRPr="00612805" w:rsidRDefault="006C4D17" w:rsidP="00612805">
      <w:pPr>
        <w:pStyle w:val="SingleTxtG"/>
        <w:rPr>
          <w:lang w:val="fr-FR"/>
        </w:rPr>
      </w:pPr>
      <w:r>
        <w:rPr>
          <w:lang w:val="fr-FR"/>
        </w:rPr>
        <w:t>«</w:t>
      </w:r>
      <w:r w:rsidR="00612805" w:rsidRPr="00612805">
        <w:rPr>
          <w:lang w:val="fr-FR"/>
        </w:rPr>
        <w:t>1.6.1.47</w:t>
      </w:r>
      <w:r w:rsidR="00612805" w:rsidRPr="00612805">
        <w:rPr>
          <w:lang w:val="fr-FR"/>
        </w:rPr>
        <w:tab/>
        <w:t>Les piles et batteries au lithium ne répondant pas aux prescriptions du 2.2.9.1.7 g) peuvent encore être transportées jusqu’au 31 décembre 2019</w:t>
      </w:r>
      <w:proofErr w:type="gramStart"/>
      <w:r w:rsidR="00612805" w:rsidRPr="00612805">
        <w:rPr>
          <w:lang w:val="fr-FR"/>
        </w:rPr>
        <w:t>.»</w:t>
      </w:r>
      <w:proofErr w:type="gramEnd"/>
      <w:r w:rsidR="00612805" w:rsidRPr="00612805">
        <w:rPr>
          <w:lang w:val="fr-FR"/>
        </w:rPr>
        <w:t>.</w:t>
      </w:r>
    </w:p>
    <w:p w:rsidR="00612805" w:rsidRPr="00612805" w:rsidRDefault="00612805" w:rsidP="00612805">
      <w:pPr>
        <w:pStyle w:val="SingleTxtG"/>
        <w:rPr>
          <w:i/>
          <w:lang w:val="fr-FR"/>
        </w:rPr>
      </w:pPr>
      <w:r w:rsidRPr="00612805">
        <w:rPr>
          <w:i/>
          <w:lang w:val="fr-FR"/>
        </w:rPr>
        <w:t xml:space="preserve">(Document de </w:t>
      </w:r>
      <w:proofErr w:type="gramStart"/>
      <w:r w:rsidRPr="00612805">
        <w:rPr>
          <w:i/>
          <w:lang w:val="fr-FR"/>
        </w:rPr>
        <w:t>référence:</w:t>
      </w:r>
      <w:proofErr w:type="gramEnd"/>
      <w:r w:rsidRPr="00612805">
        <w:rPr>
          <w:i/>
          <w:lang w:val="fr-FR"/>
        </w:rPr>
        <w:t xml:space="preserve"> ECE/TRANS/WP.15/AC.1/150, Annexe II)</w:t>
      </w:r>
    </w:p>
    <w:p w:rsidR="00612805" w:rsidRPr="00612805" w:rsidRDefault="00612805" w:rsidP="00612805">
      <w:pPr>
        <w:pStyle w:val="SingleTxtG"/>
        <w:tabs>
          <w:tab w:val="left" w:pos="1985"/>
        </w:tabs>
        <w:rPr>
          <w:iCs/>
          <w:lang w:val="fr-FR"/>
        </w:rPr>
      </w:pPr>
      <w:r w:rsidRPr="00612805">
        <w:rPr>
          <w:iCs/>
          <w:lang w:val="fr-FR"/>
        </w:rPr>
        <w:t>1.6.7.4.2</w:t>
      </w:r>
      <w:r w:rsidRPr="00612805">
        <w:rPr>
          <w:iCs/>
          <w:lang w:val="fr-FR"/>
        </w:rPr>
        <w:tab/>
        <w:t xml:space="preserve">Supprimer et ajouter </w:t>
      </w:r>
      <w:r w:rsidR="0057730C">
        <w:rPr>
          <w:iCs/>
          <w:lang w:val="fr-FR"/>
        </w:rPr>
        <w:t>«</w:t>
      </w:r>
      <w:r w:rsidRPr="00612805">
        <w:rPr>
          <w:iCs/>
          <w:lang w:val="fr-FR"/>
        </w:rPr>
        <w:t>1.6.7.4.2</w:t>
      </w:r>
      <w:r w:rsidRPr="00612805">
        <w:rPr>
          <w:iCs/>
          <w:lang w:val="fr-FR"/>
        </w:rPr>
        <w:tab/>
      </w:r>
      <w:r w:rsidR="0057730C" w:rsidRPr="0057730C">
        <w:rPr>
          <w:i/>
          <w:lang w:val="fr-FR"/>
        </w:rPr>
        <w:t>(Supprimé</w:t>
      </w:r>
      <w:proofErr w:type="gramStart"/>
      <w:r w:rsidR="0057730C" w:rsidRPr="0057730C">
        <w:rPr>
          <w:i/>
          <w:lang w:val="fr-FR"/>
        </w:rPr>
        <w:t>)</w:t>
      </w:r>
      <w:r w:rsidR="0057730C">
        <w:rPr>
          <w:iCs/>
          <w:lang w:val="fr-FR"/>
        </w:rPr>
        <w:t>»</w:t>
      </w:r>
      <w:proofErr w:type="gramEnd"/>
      <w:r w:rsidRPr="00612805">
        <w:rPr>
          <w:iCs/>
          <w:lang w:val="fr-FR"/>
        </w:rPr>
        <w:t>.</w:t>
      </w:r>
    </w:p>
    <w:p w:rsidR="00612805" w:rsidRPr="00612805" w:rsidRDefault="00612805" w:rsidP="00612805">
      <w:pPr>
        <w:pStyle w:val="SingleTxtG"/>
        <w:rPr>
          <w:lang w:val="fr-FR"/>
        </w:rPr>
      </w:pPr>
      <w:r w:rsidRPr="00612805">
        <w:rPr>
          <w:i/>
          <w:lang w:val="fr-FR"/>
        </w:rPr>
        <w:t xml:space="preserve">(Document de </w:t>
      </w:r>
      <w:proofErr w:type="gramStart"/>
      <w:r w:rsidRPr="00612805">
        <w:rPr>
          <w:i/>
          <w:lang w:val="fr-FR"/>
        </w:rPr>
        <w:t>référence:</w:t>
      </w:r>
      <w:proofErr w:type="gramEnd"/>
      <w:r w:rsidRPr="00612805">
        <w:rPr>
          <w:i/>
          <w:iCs/>
          <w:lang w:val="fr-FR"/>
        </w:rPr>
        <w:t xml:space="preserve"> ECE/TRANS/WP.15/AC.2/2018/30, </w:t>
      </w:r>
      <w:r w:rsidRPr="00EA0EA5">
        <w:rPr>
          <w:i/>
          <w:iCs/>
          <w:lang w:val="fr-FR" w:eastAsia="zh-CN"/>
        </w:rPr>
        <w:t>amendement corollaire</w:t>
      </w:r>
      <w:r w:rsidRPr="00612805">
        <w:rPr>
          <w:i/>
          <w:iCs/>
          <w:lang w:val="fr-FR"/>
        </w:rPr>
        <w:t>)</w:t>
      </w:r>
    </w:p>
    <w:p w:rsidR="001474C1" w:rsidRDefault="001474C1" w:rsidP="001474C1">
      <w:pPr>
        <w:pStyle w:val="H1G"/>
        <w:rPr>
          <w:lang w:val="fr-FR"/>
        </w:rPr>
      </w:pPr>
      <w:r w:rsidRPr="00612805">
        <w:rPr>
          <w:lang w:val="fr-FR"/>
        </w:rPr>
        <w:tab/>
      </w:r>
      <w:r w:rsidRPr="00612805">
        <w:rPr>
          <w:lang w:val="fr-FR"/>
        </w:rPr>
        <w:tab/>
        <w:t xml:space="preserve">Chapitre </w:t>
      </w:r>
      <w:r w:rsidR="00D509C5">
        <w:rPr>
          <w:lang w:val="fr-FR"/>
        </w:rPr>
        <w:t>2.1</w:t>
      </w:r>
    </w:p>
    <w:p w:rsidR="00D509C5" w:rsidRDefault="001969E8" w:rsidP="001969E8">
      <w:pPr>
        <w:pStyle w:val="SingleTxtG"/>
        <w:rPr>
          <w:lang w:val="fr-FR"/>
        </w:rPr>
      </w:pPr>
      <w:r>
        <w:rPr>
          <w:lang w:val="fr-FR"/>
        </w:rPr>
        <w:t>2.1.5</w:t>
      </w:r>
      <w:r>
        <w:rPr>
          <w:lang w:val="fr-FR"/>
        </w:rPr>
        <w:tab/>
        <w:t xml:space="preserve">Ajouter le Nota suivant au </w:t>
      </w:r>
      <w:proofErr w:type="gramStart"/>
      <w:r>
        <w:rPr>
          <w:lang w:val="fr-FR"/>
        </w:rPr>
        <w:t>début:</w:t>
      </w:r>
      <w:proofErr w:type="gramEnd"/>
    </w:p>
    <w:p w:rsidR="001969E8" w:rsidRDefault="001969E8" w:rsidP="001969E8">
      <w:pPr>
        <w:pStyle w:val="SingleTxtG"/>
        <w:rPr>
          <w:i/>
        </w:rPr>
      </w:pPr>
      <w:proofErr w:type="gramStart"/>
      <w:r>
        <w:rPr>
          <w:b/>
          <w:i/>
        </w:rPr>
        <w:t>«</w:t>
      </w:r>
      <w:r w:rsidRPr="00EF0480">
        <w:rPr>
          <w:b/>
          <w:i/>
        </w:rPr>
        <w:t>NOTA</w:t>
      </w:r>
      <w:proofErr w:type="gramEnd"/>
      <w:r w:rsidRPr="00EF0480">
        <w:rPr>
          <w:b/>
          <w:i/>
        </w:rPr>
        <w:t>:</w:t>
      </w:r>
      <w:r>
        <w:rPr>
          <w:b/>
          <w:i/>
        </w:rPr>
        <w:t xml:space="preserve"> </w:t>
      </w:r>
      <w:r w:rsidRPr="00EF0480">
        <w:rPr>
          <w:i/>
        </w:rPr>
        <w:t xml:space="preserve">Pour les objets qui n’ont pas de désignation officielle de transport, autre que les Nos ONU 3537 </w:t>
      </w:r>
      <w:r>
        <w:rPr>
          <w:i/>
        </w:rPr>
        <w:t>à</w:t>
      </w:r>
      <w:r w:rsidRPr="00EF0480">
        <w:rPr>
          <w:i/>
        </w:rPr>
        <w:t xml:space="preserve"> 3548, et qui contiennent seulement des marchandises dangereuses en quantités ne dépassant pas celles fixées à la colonne (7a) du tableau A du chapitre 3.2, voir le No ONU 3363 et les dispositions spéciales 301 et 672 du chapitre 3.3.</w:t>
      </w:r>
      <w:r>
        <w:rPr>
          <w:i/>
        </w:rPr>
        <w:t>».</w:t>
      </w:r>
    </w:p>
    <w:p w:rsidR="008C663F" w:rsidRPr="00D509C5" w:rsidRDefault="008C663F" w:rsidP="001969E8">
      <w:pPr>
        <w:pStyle w:val="SingleTxtG"/>
        <w:rPr>
          <w:lang w:val="fr-FR"/>
        </w:rPr>
      </w:pPr>
      <w:r w:rsidRPr="00612805">
        <w:rPr>
          <w:i/>
          <w:lang w:val="fr-FR"/>
        </w:rPr>
        <w:t xml:space="preserve">(Document de </w:t>
      </w:r>
      <w:proofErr w:type="gramStart"/>
      <w:r w:rsidRPr="00612805">
        <w:rPr>
          <w:i/>
          <w:lang w:val="fr-FR"/>
        </w:rPr>
        <w:t>référence:</w:t>
      </w:r>
      <w:proofErr w:type="gramEnd"/>
      <w:r w:rsidRPr="00612805">
        <w:rPr>
          <w:i/>
          <w:lang w:val="fr-FR"/>
        </w:rPr>
        <w:t xml:space="preserve"> ECE/TRANS/WP.15/</w:t>
      </w:r>
      <w:r>
        <w:rPr>
          <w:i/>
          <w:lang w:val="fr-FR"/>
        </w:rPr>
        <w:t>239</w:t>
      </w:r>
      <w:r w:rsidRPr="00612805">
        <w:rPr>
          <w:i/>
          <w:lang w:val="fr-FR"/>
        </w:rPr>
        <w:t>)</w:t>
      </w:r>
    </w:p>
    <w:p w:rsidR="001474C1" w:rsidRDefault="001474C1" w:rsidP="008C663F">
      <w:pPr>
        <w:pStyle w:val="H1G"/>
        <w:keepNext w:val="0"/>
        <w:keepLines w:val="0"/>
        <w:rPr>
          <w:lang w:val="fr-FR"/>
        </w:rPr>
      </w:pPr>
      <w:r w:rsidRPr="00F26F19">
        <w:rPr>
          <w:lang w:val="fr-FR"/>
        </w:rPr>
        <w:tab/>
      </w:r>
      <w:r w:rsidRPr="00F26F19">
        <w:rPr>
          <w:lang w:val="fr-FR"/>
        </w:rPr>
        <w:tab/>
        <w:t xml:space="preserve">Chapitre </w:t>
      </w:r>
      <w:r w:rsidR="008C663F">
        <w:rPr>
          <w:lang w:val="fr-FR"/>
        </w:rPr>
        <w:t>2.2</w:t>
      </w:r>
    </w:p>
    <w:p w:rsidR="008C663F" w:rsidRDefault="008C663F" w:rsidP="008C663F">
      <w:pPr>
        <w:pStyle w:val="SingleTxtG"/>
        <w:rPr>
          <w:lang w:val="fr-FR"/>
        </w:rPr>
      </w:pPr>
      <w:r>
        <w:rPr>
          <w:lang w:val="fr-FR"/>
        </w:rPr>
        <w:t>2.2.9.2</w:t>
      </w:r>
      <w:r w:rsidR="006C4D17">
        <w:rPr>
          <w:lang w:val="fr-FR"/>
        </w:rPr>
        <w:tab/>
      </w:r>
      <w:r w:rsidR="006C4D17">
        <w:rPr>
          <w:lang w:val="fr-FR"/>
        </w:rPr>
        <w:tab/>
        <w:t>Au premier tiret, remplacer</w:t>
      </w:r>
      <w:proofErr w:type="gramStart"/>
      <w:r w:rsidR="006C4D17">
        <w:rPr>
          <w:lang w:val="fr-FR"/>
        </w:rPr>
        <w:t xml:space="preserve"> «</w:t>
      </w:r>
      <w:r>
        <w:rPr>
          <w:lang w:val="fr-FR"/>
        </w:rPr>
        <w:t>des</w:t>
      </w:r>
      <w:proofErr w:type="gramEnd"/>
      <w:r>
        <w:rPr>
          <w:lang w:val="fr-FR"/>
        </w:rPr>
        <w:t xml:space="preserve"> dispositions spéciales 188, 230, </w:t>
      </w:r>
      <w:r w:rsidR="006C4D17">
        <w:rPr>
          <w:lang w:val="fr-FR"/>
        </w:rPr>
        <w:t>310 ou 636 du chapitre 3.3» par «</w:t>
      </w:r>
      <w:r>
        <w:rPr>
          <w:lang w:val="fr-FR"/>
        </w:rPr>
        <w:t xml:space="preserve">des dispositions spéciales 188, 230, </w:t>
      </w:r>
      <w:r w:rsidR="006C4D17">
        <w:rPr>
          <w:lang w:val="fr-FR"/>
        </w:rPr>
        <w:t>310, 636 ou 670 du chapitre 3.3</w:t>
      </w:r>
      <w:r>
        <w:rPr>
          <w:lang w:val="fr-FR"/>
        </w:rPr>
        <w:t>».</w:t>
      </w:r>
    </w:p>
    <w:p w:rsidR="008C663F" w:rsidRPr="008C663F" w:rsidRDefault="008C663F" w:rsidP="008C663F">
      <w:pPr>
        <w:pStyle w:val="SingleTxtG"/>
        <w:rPr>
          <w:lang w:val="fr-FR"/>
        </w:rPr>
      </w:pPr>
      <w:r w:rsidRPr="00612805">
        <w:rPr>
          <w:i/>
          <w:lang w:val="fr-FR"/>
        </w:rPr>
        <w:t xml:space="preserve">(Document de </w:t>
      </w:r>
      <w:proofErr w:type="gramStart"/>
      <w:r w:rsidRPr="00612805">
        <w:rPr>
          <w:i/>
          <w:lang w:val="fr-FR"/>
        </w:rPr>
        <w:t>référence:</w:t>
      </w:r>
      <w:proofErr w:type="gramEnd"/>
      <w:r w:rsidRPr="00612805">
        <w:rPr>
          <w:i/>
          <w:lang w:val="fr-FR"/>
        </w:rPr>
        <w:t xml:space="preserve"> ECE/TRANS/WP.15/</w:t>
      </w:r>
      <w:r>
        <w:rPr>
          <w:i/>
          <w:lang w:val="fr-FR"/>
        </w:rPr>
        <w:t>242</w:t>
      </w:r>
      <w:r w:rsidRPr="00612805">
        <w:rPr>
          <w:i/>
          <w:lang w:val="fr-FR"/>
        </w:rPr>
        <w:t>)</w:t>
      </w:r>
    </w:p>
    <w:p w:rsidR="001474C1" w:rsidRDefault="001474C1" w:rsidP="001C1259">
      <w:pPr>
        <w:pStyle w:val="H1G"/>
        <w:keepNext w:val="0"/>
        <w:keepLines w:val="0"/>
        <w:pageBreakBefore/>
        <w:rPr>
          <w:lang w:val="fr-FR"/>
        </w:rPr>
      </w:pPr>
      <w:r w:rsidRPr="00F26F19">
        <w:rPr>
          <w:lang w:val="fr-FR"/>
        </w:rPr>
        <w:lastRenderedPageBreak/>
        <w:tab/>
      </w:r>
      <w:r w:rsidRPr="00F26F19">
        <w:rPr>
          <w:lang w:val="fr-FR"/>
        </w:rPr>
        <w:tab/>
        <w:t xml:space="preserve">Chapitre </w:t>
      </w:r>
      <w:r w:rsidR="008C663F">
        <w:rPr>
          <w:lang w:val="fr-FR"/>
        </w:rPr>
        <w:t>3.2, Tableau A</w:t>
      </w:r>
    </w:p>
    <w:p w:rsidR="008C663F" w:rsidRDefault="008C663F" w:rsidP="008C663F">
      <w:pPr>
        <w:pStyle w:val="SingleTxtG"/>
        <w:rPr>
          <w:lang w:val="fr-FR"/>
        </w:rPr>
      </w:pPr>
      <w:r w:rsidRPr="00D1751A">
        <w:rPr>
          <w:lang w:val="fr-FR"/>
        </w:rPr>
        <w:t>Pour les Nos ONU 1002, 1006, 1013, 1046, 1056, 1058, 1065, 1066, 1080, 1952, 1956, 2036, 3070, 316</w:t>
      </w:r>
      <w:r w:rsidR="001C1259">
        <w:rPr>
          <w:lang w:val="fr-FR"/>
        </w:rPr>
        <w:t>3, 3297, 3298 et 3299 insérer «</w:t>
      </w:r>
      <w:proofErr w:type="gramStart"/>
      <w:r w:rsidR="001C1259">
        <w:rPr>
          <w:lang w:val="fr-FR"/>
        </w:rPr>
        <w:t>660</w:t>
      </w:r>
      <w:r w:rsidRPr="00D1751A">
        <w:rPr>
          <w:lang w:val="fr-FR"/>
        </w:rPr>
        <w:t>»</w:t>
      </w:r>
      <w:proofErr w:type="gramEnd"/>
      <w:r w:rsidRPr="00D1751A">
        <w:rPr>
          <w:lang w:val="fr-FR"/>
        </w:rPr>
        <w:t xml:space="preserve"> dans la colonne (6)</w:t>
      </w:r>
      <w:r>
        <w:rPr>
          <w:lang w:val="fr-FR"/>
        </w:rPr>
        <w:t>.</w:t>
      </w:r>
    </w:p>
    <w:p w:rsidR="00C05575" w:rsidRDefault="00C05575" w:rsidP="008C663F">
      <w:pPr>
        <w:pStyle w:val="SingleTxtG"/>
        <w:rPr>
          <w:lang w:val="fr-FR"/>
        </w:rPr>
      </w:pPr>
      <w:r w:rsidRPr="00612805">
        <w:rPr>
          <w:i/>
          <w:lang w:val="fr-FR"/>
        </w:rPr>
        <w:t xml:space="preserve">(Document de </w:t>
      </w:r>
      <w:proofErr w:type="gramStart"/>
      <w:r w:rsidRPr="00612805">
        <w:rPr>
          <w:i/>
          <w:lang w:val="fr-FR"/>
        </w:rPr>
        <w:t>référence:</w:t>
      </w:r>
      <w:proofErr w:type="gramEnd"/>
      <w:r w:rsidRPr="00612805">
        <w:rPr>
          <w:i/>
          <w:lang w:val="fr-FR"/>
        </w:rPr>
        <w:t xml:space="preserve"> ECE/TRANS/WP.15/</w:t>
      </w:r>
      <w:r>
        <w:rPr>
          <w:i/>
          <w:lang w:val="fr-FR"/>
        </w:rPr>
        <w:t>2</w:t>
      </w:r>
      <w:r w:rsidR="00D330C2">
        <w:rPr>
          <w:i/>
          <w:lang w:val="fr-FR"/>
        </w:rPr>
        <w:t>39</w:t>
      </w:r>
      <w:r w:rsidRPr="00612805">
        <w:rPr>
          <w:i/>
          <w:lang w:val="fr-FR"/>
        </w:rPr>
        <w:t>)</w:t>
      </w:r>
    </w:p>
    <w:p w:rsidR="00C05575" w:rsidRPr="00F26F19" w:rsidRDefault="00C05575" w:rsidP="00C05575">
      <w:pPr>
        <w:pStyle w:val="H1G"/>
        <w:keepNext w:val="0"/>
        <w:keepLines w:val="0"/>
        <w:rPr>
          <w:lang w:val="fr-FR"/>
        </w:rPr>
      </w:pPr>
      <w:r w:rsidRPr="00F26F19">
        <w:rPr>
          <w:lang w:val="fr-FR"/>
        </w:rPr>
        <w:tab/>
      </w:r>
      <w:r w:rsidRPr="00F26F19">
        <w:rPr>
          <w:lang w:val="fr-FR"/>
        </w:rPr>
        <w:tab/>
        <w:t xml:space="preserve">Chapitre </w:t>
      </w:r>
      <w:r>
        <w:rPr>
          <w:lang w:val="fr-FR"/>
        </w:rPr>
        <w:t>5.2</w:t>
      </w:r>
    </w:p>
    <w:p w:rsidR="00C05575" w:rsidRPr="00361536" w:rsidRDefault="00C05575" w:rsidP="00C05575">
      <w:pPr>
        <w:pStyle w:val="SingleTxtG"/>
        <w:tabs>
          <w:tab w:val="left" w:pos="2268"/>
        </w:tabs>
        <w:rPr>
          <w:lang w:val="fr-FR"/>
        </w:rPr>
      </w:pPr>
      <w:r w:rsidRPr="00361536">
        <w:rPr>
          <w:lang w:val="fr-FR"/>
        </w:rPr>
        <w:t>5.2.1.5</w:t>
      </w:r>
      <w:r w:rsidRPr="00361536">
        <w:rPr>
          <w:lang w:val="fr-FR"/>
        </w:rPr>
        <w:tab/>
        <w:t>Modifier la deuxième phrase comme suit :</w:t>
      </w:r>
    </w:p>
    <w:p w:rsidR="00C05575" w:rsidRDefault="00C05575" w:rsidP="00C05575">
      <w:pPr>
        <w:pStyle w:val="SingleTxtG"/>
        <w:rPr>
          <w:lang w:val="fr-FR"/>
        </w:rPr>
      </w:pPr>
      <w:proofErr w:type="gramStart"/>
      <w:r w:rsidRPr="00361536">
        <w:rPr>
          <w:lang w:val="fr-FR"/>
        </w:rPr>
        <w:t>«La</w:t>
      </w:r>
      <w:proofErr w:type="gramEnd"/>
      <w:r w:rsidRPr="00361536">
        <w:rPr>
          <w:lang w:val="fr-FR"/>
        </w:rPr>
        <w:t xml:space="preserve"> marque bien lisible et indélébile doit être rédigée dans une ou plusieurs langue(s), dont l’une doit être le français, l’allemand ou l’anglais, à moins que des accords conclus entre les pays intéressés au transport n’en disposent autrement</w:t>
      </w:r>
      <w:r>
        <w:rPr>
          <w:lang w:val="fr-FR"/>
        </w:rPr>
        <w:t>.</w:t>
      </w:r>
      <w:r w:rsidRPr="00361536">
        <w:rPr>
          <w:lang w:val="fr-FR"/>
        </w:rPr>
        <w:t>».</w:t>
      </w:r>
    </w:p>
    <w:p w:rsidR="00D330C2" w:rsidRDefault="00D330C2" w:rsidP="00C05575">
      <w:pPr>
        <w:pStyle w:val="SingleTxtG"/>
        <w:rPr>
          <w:lang w:val="fr-FR"/>
        </w:rPr>
      </w:pPr>
      <w:r w:rsidRPr="00612805">
        <w:rPr>
          <w:i/>
          <w:lang w:val="fr-FR"/>
        </w:rPr>
        <w:t xml:space="preserve">(Document de </w:t>
      </w:r>
      <w:proofErr w:type="gramStart"/>
      <w:r w:rsidRPr="00612805">
        <w:rPr>
          <w:i/>
          <w:lang w:val="fr-FR"/>
        </w:rPr>
        <w:t>référence:</w:t>
      </w:r>
      <w:proofErr w:type="gramEnd"/>
      <w:r w:rsidRPr="00612805">
        <w:rPr>
          <w:i/>
          <w:lang w:val="fr-FR"/>
        </w:rPr>
        <w:t xml:space="preserve"> ECE/TRANS/WP.15/AC.1/150, Annexe II)</w:t>
      </w:r>
    </w:p>
    <w:p w:rsidR="008A54AE" w:rsidRDefault="008A54AE" w:rsidP="00C05575">
      <w:pPr>
        <w:pStyle w:val="SingleTxtG"/>
        <w:rPr>
          <w:lang w:val="fr-FR"/>
        </w:rPr>
      </w:pPr>
      <w:r w:rsidRPr="009D7EFD">
        <w:rPr>
          <w:lang w:val="fr-FR"/>
        </w:rPr>
        <w:t>5.2.2.2.1.1.2</w:t>
      </w:r>
      <w:r w:rsidRPr="009D7EFD">
        <w:rPr>
          <w:lang w:val="fr-FR"/>
        </w:rPr>
        <w:tab/>
      </w:r>
      <w:r w:rsidRPr="003714FD">
        <w:rPr>
          <w:lang w:val="fr-FR"/>
        </w:rPr>
        <w:t xml:space="preserve">Remplacer les deuxième et troisième phrases </w:t>
      </w:r>
      <w:proofErr w:type="gramStart"/>
      <w:r w:rsidRPr="009D7EFD">
        <w:rPr>
          <w:lang w:val="fr-FR"/>
        </w:rPr>
        <w:t>par</w:t>
      </w:r>
      <w:r>
        <w:rPr>
          <w:lang w:val="fr-FR"/>
        </w:rPr>
        <w:t>:</w:t>
      </w:r>
      <w:proofErr w:type="gramEnd"/>
      <w:r>
        <w:rPr>
          <w:lang w:val="fr-FR"/>
        </w:rPr>
        <w:t xml:space="preserve"> «</w:t>
      </w:r>
      <w:r w:rsidRPr="009D7EFD">
        <w:rPr>
          <w:lang w:val="fr-FR"/>
        </w:rPr>
        <w:t xml:space="preserve">Les dimensions minimales doivent être de 100 mm x 100 </w:t>
      </w:r>
      <w:proofErr w:type="spellStart"/>
      <w:r w:rsidRPr="009D7EFD">
        <w:rPr>
          <w:lang w:val="fr-FR"/>
        </w:rPr>
        <w:t>mm.</w:t>
      </w:r>
      <w:proofErr w:type="spellEnd"/>
      <w:r w:rsidRPr="009D7EFD">
        <w:rPr>
          <w:lang w:val="fr-FR"/>
        </w:rPr>
        <w:t xml:space="preserve"> Il doit y avoir une ligne à l’intérieur du carré qui doit être parallèle au bord de l’étiquette et située approximativement</w:t>
      </w:r>
      <w:r>
        <w:rPr>
          <w:lang w:val="fr-FR"/>
        </w:rPr>
        <w:t xml:space="preserve"> à 5 mm de distance de ce bord</w:t>
      </w:r>
      <w:proofErr w:type="gramStart"/>
      <w:r>
        <w:rPr>
          <w:lang w:val="fr-FR"/>
        </w:rPr>
        <w:t>.</w:t>
      </w:r>
      <w:r w:rsidRPr="009D7EFD">
        <w:rPr>
          <w:lang w:val="fr-FR"/>
        </w:rPr>
        <w:t>»</w:t>
      </w:r>
      <w:proofErr w:type="gramEnd"/>
      <w:r w:rsidR="00D330C2">
        <w:rPr>
          <w:lang w:val="fr-FR"/>
        </w:rPr>
        <w:t>.</w:t>
      </w:r>
    </w:p>
    <w:p w:rsidR="00D330C2" w:rsidRPr="00361536" w:rsidRDefault="00D330C2" w:rsidP="00C05575">
      <w:pPr>
        <w:pStyle w:val="SingleTxtG"/>
        <w:rPr>
          <w:lang w:val="fr-FR"/>
        </w:rPr>
      </w:pPr>
      <w:r w:rsidRPr="00612805">
        <w:rPr>
          <w:i/>
          <w:lang w:val="fr-FR"/>
        </w:rPr>
        <w:t xml:space="preserve">(Document de </w:t>
      </w:r>
      <w:proofErr w:type="gramStart"/>
      <w:r w:rsidRPr="00612805">
        <w:rPr>
          <w:i/>
          <w:lang w:val="fr-FR"/>
        </w:rPr>
        <w:t>référence:</w:t>
      </w:r>
      <w:proofErr w:type="gramEnd"/>
      <w:r w:rsidRPr="00612805">
        <w:rPr>
          <w:i/>
          <w:lang w:val="fr-FR"/>
        </w:rPr>
        <w:t xml:space="preserve"> ECE/TRANS/WP.15/AC.1/</w:t>
      </w:r>
      <w:r>
        <w:rPr>
          <w:i/>
          <w:lang w:val="fr-FR"/>
        </w:rPr>
        <w:t xml:space="preserve">148/Add.1 tel que modifié par </w:t>
      </w:r>
      <w:r w:rsidRPr="00D330C2">
        <w:rPr>
          <w:i/>
          <w:iCs/>
        </w:rPr>
        <w:t>ECE/TRANS/WP.15/239</w:t>
      </w:r>
      <w:r w:rsidRPr="00612805">
        <w:rPr>
          <w:i/>
          <w:lang w:val="fr-FR"/>
        </w:rPr>
        <w:t>)</w:t>
      </w:r>
    </w:p>
    <w:p w:rsidR="001474C1" w:rsidRDefault="00C05575" w:rsidP="00C05575">
      <w:pPr>
        <w:pStyle w:val="SingleTxtG"/>
        <w:rPr>
          <w:lang w:val="fr-FR"/>
        </w:rPr>
      </w:pPr>
      <w:r w:rsidRPr="00B7234A">
        <w:rPr>
          <w:rStyle w:val="SingleTxtGChar"/>
        </w:rPr>
        <w:t>5.2.2.2.1.6 d)</w:t>
      </w:r>
      <w:r w:rsidRPr="009B7198">
        <w:rPr>
          <w:rStyle w:val="SingleTxtGChar"/>
        </w:rPr>
        <w:tab/>
      </w:r>
      <w:r w:rsidRPr="009B7198">
        <w:rPr>
          <w:lang w:val="fr-FR"/>
        </w:rPr>
        <w:t>Remplacer</w:t>
      </w:r>
      <w:proofErr w:type="gramStart"/>
      <w:r w:rsidRPr="009B7198">
        <w:rPr>
          <w:lang w:val="fr-FR"/>
        </w:rPr>
        <w:t xml:space="preserve"> «pour</w:t>
      </w:r>
      <w:proofErr w:type="gramEnd"/>
      <w:r w:rsidRPr="009B7198">
        <w:rPr>
          <w:lang w:val="fr-FR"/>
        </w:rPr>
        <w:t xml:space="preserve"> les gaz </w:t>
      </w:r>
      <w:proofErr w:type="spellStart"/>
      <w:r w:rsidRPr="009B7198">
        <w:rPr>
          <w:lang w:val="fr-FR"/>
        </w:rPr>
        <w:t>des</w:t>
      </w:r>
      <w:proofErr w:type="spellEnd"/>
      <w:r w:rsidRPr="009B7198">
        <w:rPr>
          <w:lang w:val="fr-FR"/>
        </w:rPr>
        <w:t xml:space="preserve"> Nos ONU 1011, 1075, 1965 et 1978» par «pour les gaz de pétrole liquéfiés».</w:t>
      </w:r>
    </w:p>
    <w:p w:rsidR="00D330C2" w:rsidRDefault="00D330C2" w:rsidP="00C05575">
      <w:pPr>
        <w:pStyle w:val="SingleTxtG"/>
        <w:rPr>
          <w:lang w:val="fr-FR"/>
        </w:rPr>
      </w:pPr>
      <w:r w:rsidRPr="00612805">
        <w:rPr>
          <w:i/>
          <w:lang w:val="fr-FR"/>
        </w:rPr>
        <w:t xml:space="preserve">(Document de </w:t>
      </w:r>
      <w:proofErr w:type="gramStart"/>
      <w:r w:rsidRPr="00612805">
        <w:rPr>
          <w:i/>
          <w:lang w:val="fr-FR"/>
        </w:rPr>
        <w:t>référence:</w:t>
      </w:r>
      <w:proofErr w:type="gramEnd"/>
      <w:r w:rsidRPr="00612805">
        <w:rPr>
          <w:i/>
          <w:lang w:val="fr-FR"/>
        </w:rPr>
        <w:t xml:space="preserve"> ECE/TRANS/WP.15/</w:t>
      </w:r>
      <w:r>
        <w:rPr>
          <w:i/>
          <w:lang w:val="fr-FR"/>
        </w:rPr>
        <w:t>242</w:t>
      </w:r>
      <w:r w:rsidRPr="00612805">
        <w:rPr>
          <w:i/>
          <w:lang w:val="fr-FR"/>
        </w:rPr>
        <w:t>)</w:t>
      </w:r>
    </w:p>
    <w:p w:rsidR="00C17FB0" w:rsidRPr="0008534C" w:rsidRDefault="00C17FB0" w:rsidP="00C17FB0">
      <w:pPr>
        <w:pStyle w:val="H1G"/>
      </w:pPr>
      <w:r>
        <w:tab/>
      </w:r>
      <w:r>
        <w:tab/>
      </w:r>
      <w:r w:rsidRPr="00361536">
        <w:t>Chapitre 5.3</w:t>
      </w:r>
    </w:p>
    <w:p w:rsidR="00C17FB0" w:rsidRDefault="00C17FB0" w:rsidP="00C17FB0">
      <w:pPr>
        <w:pStyle w:val="SingleTxtG"/>
        <w:rPr>
          <w:lang w:val="fr-FR"/>
        </w:rPr>
      </w:pPr>
      <w:r w:rsidRPr="00361536">
        <w:rPr>
          <w:lang w:val="fr-FR"/>
        </w:rPr>
        <w:t>5.3.1.7.1</w:t>
      </w:r>
      <w:r w:rsidRPr="00361536">
        <w:rPr>
          <w:lang w:val="fr-FR"/>
        </w:rPr>
        <w:tab/>
        <w:t>Au deuxième paragraphe, remplacer</w:t>
      </w:r>
      <w:proofErr w:type="gramStart"/>
      <w:r w:rsidRPr="00361536">
        <w:rPr>
          <w:lang w:val="fr-FR"/>
        </w:rPr>
        <w:t xml:space="preserve"> «du</w:t>
      </w:r>
      <w:proofErr w:type="gramEnd"/>
      <w:r w:rsidRPr="00361536">
        <w:rPr>
          <w:lang w:val="fr-FR"/>
        </w:rPr>
        <w:t xml:space="preserve"> paragraphe 5.2.2.2» par: «du 5.2.2.2». Au deuxième paragraphe, remplacer «au paragraphe 5.2.2.2» </w:t>
      </w:r>
      <w:proofErr w:type="gramStart"/>
      <w:r w:rsidRPr="00361536">
        <w:rPr>
          <w:lang w:val="fr-FR"/>
        </w:rPr>
        <w:t>par:</w:t>
      </w:r>
      <w:proofErr w:type="gramEnd"/>
      <w:r w:rsidRPr="00361536">
        <w:rPr>
          <w:lang w:val="fr-FR"/>
        </w:rPr>
        <w:t xml:space="preserve"> «au 5.2.2.2».</w:t>
      </w:r>
    </w:p>
    <w:p w:rsidR="00472ADC" w:rsidRPr="00361536" w:rsidRDefault="00472ADC" w:rsidP="00C17FB0">
      <w:pPr>
        <w:pStyle w:val="SingleTxtG"/>
        <w:rPr>
          <w:lang w:val="fr-FR"/>
        </w:rPr>
      </w:pPr>
      <w:r w:rsidRPr="00612805">
        <w:rPr>
          <w:i/>
          <w:lang w:val="fr-FR"/>
        </w:rPr>
        <w:t xml:space="preserve">(Document de </w:t>
      </w:r>
      <w:proofErr w:type="gramStart"/>
      <w:r w:rsidRPr="00612805">
        <w:rPr>
          <w:i/>
          <w:lang w:val="fr-FR"/>
        </w:rPr>
        <w:t>référence:</w:t>
      </w:r>
      <w:proofErr w:type="gramEnd"/>
      <w:r w:rsidRPr="00612805">
        <w:rPr>
          <w:i/>
          <w:lang w:val="fr-FR"/>
        </w:rPr>
        <w:t xml:space="preserve"> ECE/TRANS/WP.15/AC.1/150, Annexe II)</w:t>
      </w:r>
    </w:p>
    <w:p w:rsidR="001474C1" w:rsidRDefault="00C17FB0" w:rsidP="00C17FB0">
      <w:pPr>
        <w:pStyle w:val="SingleTxtG"/>
        <w:rPr>
          <w:lang w:val="fr-FR"/>
        </w:rPr>
      </w:pPr>
      <w:r w:rsidRPr="00361536">
        <w:rPr>
          <w:lang w:val="fr-FR"/>
        </w:rPr>
        <w:t>5.3.1.7.1</w:t>
      </w:r>
      <w:r w:rsidRPr="00361536">
        <w:rPr>
          <w:lang w:val="fr-FR"/>
        </w:rPr>
        <w:tab/>
        <w:t xml:space="preserve">À la fin, ajouter la phrase </w:t>
      </w:r>
      <w:proofErr w:type="gramStart"/>
      <w:r w:rsidRPr="00361536">
        <w:rPr>
          <w:lang w:val="fr-FR"/>
        </w:rPr>
        <w:t>suivante:</w:t>
      </w:r>
      <w:proofErr w:type="gramEnd"/>
      <w:r w:rsidRPr="00361536">
        <w:rPr>
          <w:lang w:val="fr-FR"/>
        </w:rPr>
        <w:t xml:space="preserve"> «Les variations couvertes par les 5.2.2.2.1, deuxième phrase, 5.2.2.2.1.3, troisième phrase, et 5.2.2.2.1.5 pour les étiquettes de danger s’appliquent également aux plaques-étiquettes</w:t>
      </w:r>
      <w:r>
        <w:rPr>
          <w:lang w:val="fr-FR"/>
        </w:rPr>
        <w:t>.</w:t>
      </w:r>
      <w:r w:rsidRPr="00361536">
        <w:rPr>
          <w:lang w:val="fr-FR"/>
        </w:rPr>
        <w:t>».</w:t>
      </w:r>
    </w:p>
    <w:p w:rsidR="00445938" w:rsidRDefault="00445938" w:rsidP="00C17FB0">
      <w:pPr>
        <w:pStyle w:val="SingleTxtG"/>
        <w:rPr>
          <w:lang w:val="fr-FR"/>
        </w:rPr>
      </w:pPr>
      <w:r w:rsidRPr="00612805">
        <w:rPr>
          <w:i/>
          <w:lang w:val="fr-FR"/>
        </w:rPr>
        <w:t xml:space="preserve">(Document de </w:t>
      </w:r>
      <w:proofErr w:type="gramStart"/>
      <w:r w:rsidRPr="00612805">
        <w:rPr>
          <w:i/>
          <w:lang w:val="fr-FR"/>
        </w:rPr>
        <w:t>référence:</w:t>
      </w:r>
      <w:proofErr w:type="gramEnd"/>
      <w:r w:rsidRPr="00612805">
        <w:rPr>
          <w:i/>
          <w:lang w:val="fr-FR"/>
        </w:rPr>
        <w:t xml:space="preserve"> ECE/TRANS/WP.15/AC.1/150, Annexe II)</w:t>
      </w:r>
    </w:p>
    <w:p w:rsidR="00754B8E" w:rsidRPr="00754B8E" w:rsidRDefault="00445938" w:rsidP="00754B8E">
      <w:pPr>
        <w:pStyle w:val="SingleTxtG"/>
        <w:rPr>
          <w:lang w:eastAsia="zh-CN"/>
        </w:rPr>
      </w:pPr>
      <w:r>
        <w:rPr>
          <w:iCs/>
          <w:lang w:val="fr-FR"/>
        </w:rPr>
        <w:t>5.3.2.1.6</w:t>
      </w:r>
      <w:r>
        <w:rPr>
          <w:iCs/>
          <w:lang w:val="fr-FR"/>
        </w:rPr>
        <w:tab/>
      </w:r>
      <w:r w:rsidR="002658A4">
        <w:rPr>
          <w:iCs/>
          <w:lang w:val="fr-FR"/>
        </w:rPr>
        <w:t>La p</w:t>
      </w:r>
      <w:r w:rsidR="00754B8E" w:rsidRPr="00754B8E">
        <w:rPr>
          <w:lang w:val="fr-FR" w:eastAsia="zh-CN"/>
        </w:rPr>
        <w:t xml:space="preserve">roposition d'amendement </w:t>
      </w:r>
      <w:r w:rsidR="002658A4">
        <w:rPr>
          <w:lang w:val="fr-FR" w:eastAsia="zh-CN"/>
        </w:rPr>
        <w:t>dans le document ECE/TRANS/WP.15/AC.2/2018/2 n'a pas été</w:t>
      </w:r>
      <w:r w:rsidR="00754B8E" w:rsidRPr="00754B8E">
        <w:rPr>
          <w:lang w:val="fr-FR" w:eastAsia="zh-CN"/>
        </w:rPr>
        <w:t xml:space="preserve"> adoptée </w:t>
      </w:r>
      <w:r w:rsidR="006C4D17">
        <w:rPr>
          <w:lang w:val="fr-FR" w:eastAsia="zh-CN"/>
        </w:rPr>
        <w:t>(</w:t>
      </w:r>
      <w:r w:rsidR="00934A78">
        <w:rPr>
          <w:lang w:val="fr-FR" w:eastAsia="zh-CN"/>
        </w:rPr>
        <w:t>v</w:t>
      </w:r>
      <w:r w:rsidR="00754B8E" w:rsidRPr="00754B8E">
        <w:rPr>
          <w:lang w:val="fr-FR" w:eastAsia="zh-CN"/>
        </w:rPr>
        <w:t xml:space="preserve">oir le </w:t>
      </w:r>
      <w:r w:rsidR="002658A4">
        <w:rPr>
          <w:lang w:val="fr-FR" w:eastAsia="zh-CN"/>
        </w:rPr>
        <w:t xml:space="preserve">rapport du </w:t>
      </w:r>
      <w:r w:rsidR="006C4D17">
        <w:rPr>
          <w:lang w:val="fr-FR" w:eastAsia="zh-CN"/>
        </w:rPr>
        <w:t>G</w:t>
      </w:r>
      <w:r w:rsidR="002658A4">
        <w:rPr>
          <w:lang w:val="fr-FR" w:eastAsia="zh-CN"/>
        </w:rPr>
        <w:t>roupe de travail</w:t>
      </w:r>
      <w:r w:rsidR="006C4D17">
        <w:rPr>
          <w:lang w:val="fr-FR" w:eastAsia="zh-CN"/>
        </w:rPr>
        <w:t xml:space="preserve"> des transports de</w:t>
      </w:r>
      <w:r w:rsidR="00754B8E" w:rsidRPr="00754B8E">
        <w:rPr>
          <w:lang w:val="fr-FR" w:eastAsia="zh-CN"/>
        </w:rPr>
        <w:t xml:space="preserve"> </w:t>
      </w:r>
      <w:r w:rsidR="006C4D17">
        <w:rPr>
          <w:lang w:val="fr-FR" w:eastAsia="zh-CN"/>
        </w:rPr>
        <w:t>marchandises dangereuses sur sa 104</w:t>
      </w:r>
      <w:r w:rsidR="006C4D17" w:rsidRPr="006C4D17">
        <w:rPr>
          <w:vertAlign w:val="superscript"/>
          <w:lang w:val="fr-FR" w:eastAsia="zh-CN"/>
        </w:rPr>
        <w:t>e</w:t>
      </w:r>
      <w:r w:rsidR="006C4D17">
        <w:rPr>
          <w:lang w:val="fr-FR" w:eastAsia="zh-CN"/>
        </w:rPr>
        <w:t xml:space="preserve"> session, </w:t>
      </w:r>
      <w:r w:rsidR="00754B8E" w:rsidRPr="001C1259">
        <w:t>ECE/TRANS/WP.15/242</w:t>
      </w:r>
      <w:r w:rsidR="006C4D17">
        <w:t>, paragraphe 31)</w:t>
      </w:r>
      <w:r w:rsidR="00754B8E" w:rsidRPr="00754B8E">
        <w:rPr>
          <w:lang w:val="fr-FR" w:eastAsia="zh-CN"/>
        </w:rPr>
        <w:t>.</w:t>
      </w:r>
    </w:p>
    <w:p w:rsidR="00C17FB0" w:rsidRPr="00B7234A" w:rsidRDefault="00C17FB0" w:rsidP="00C17FB0">
      <w:pPr>
        <w:pStyle w:val="SingleTxtG"/>
      </w:pPr>
      <w:r w:rsidRPr="009B7198">
        <w:rPr>
          <w:iCs/>
          <w:lang w:val="fr-FR"/>
        </w:rPr>
        <w:t>5.3.2.3.2</w:t>
      </w:r>
      <w:r w:rsidRPr="009B7198">
        <w:rPr>
          <w:iCs/>
          <w:lang w:val="fr-FR"/>
        </w:rPr>
        <w:tab/>
      </w:r>
      <w:r w:rsidRPr="009B7198">
        <w:t>Pour les numéros d’identification du danger 36, 60, 69, r</w:t>
      </w:r>
      <w:r w:rsidR="00900B74">
        <w:t>emplacer</w:t>
      </w:r>
      <w:proofErr w:type="gramStart"/>
      <w:r w:rsidR="00900B74">
        <w:t xml:space="preserve"> «</w:t>
      </w:r>
      <w:r w:rsidRPr="00B7234A">
        <w:t>matières</w:t>
      </w:r>
      <w:proofErr w:type="gramEnd"/>
      <w:r w:rsidRPr="00B7234A">
        <w:t xml:space="preserve"> présentant un degr</w:t>
      </w:r>
      <w:r w:rsidR="00900B74">
        <w:t>é mineur de toxicité» par «</w:t>
      </w:r>
      <w:r w:rsidRPr="00B7234A">
        <w:t>matière faiblement toxique».</w:t>
      </w:r>
    </w:p>
    <w:p w:rsidR="00C17FB0" w:rsidRDefault="00C17FB0" w:rsidP="00C17FB0">
      <w:pPr>
        <w:pStyle w:val="SingleTxtG"/>
      </w:pPr>
      <w:r w:rsidRPr="009B7198">
        <w:t xml:space="preserve">Pour </w:t>
      </w:r>
      <w:r w:rsidRPr="004C3363">
        <w:t>les numéros d’identification du danger</w:t>
      </w:r>
      <w:r>
        <w:t xml:space="preserve"> 38, </w:t>
      </w:r>
      <w:r w:rsidRPr="009B7198">
        <w:t xml:space="preserve">80, </w:t>
      </w:r>
      <w:r w:rsidRPr="004C3363">
        <w:t>X</w:t>
      </w:r>
      <w:r w:rsidRPr="009B7198">
        <w:t xml:space="preserve">80, 83, </w:t>
      </w:r>
      <w:r w:rsidRPr="004C3363">
        <w:t>X</w:t>
      </w:r>
      <w:r w:rsidRPr="009B7198">
        <w:t>83,</w:t>
      </w:r>
      <w:r>
        <w:t xml:space="preserve"> </w:t>
      </w:r>
      <w:r w:rsidRPr="009B7198">
        <w:t xml:space="preserve">839, </w:t>
      </w:r>
      <w:r w:rsidRPr="004C3363">
        <w:t>X</w:t>
      </w:r>
      <w:r>
        <w:t xml:space="preserve">839, 85, 856, 86 et </w:t>
      </w:r>
      <w:r w:rsidRPr="009B7198">
        <w:t>89</w:t>
      </w:r>
      <w:r>
        <w:t>, r</w:t>
      </w:r>
      <w:r w:rsidR="00900B74">
        <w:t>emplacer</w:t>
      </w:r>
      <w:proofErr w:type="gramStart"/>
      <w:r w:rsidR="00900B74">
        <w:t xml:space="preserve"> «</w:t>
      </w:r>
      <w:r w:rsidRPr="009B7198">
        <w:t>matières</w:t>
      </w:r>
      <w:proofErr w:type="gramEnd"/>
      <w:r w:rsidRPr="009B7198">
        <w:t xml:space="preserve"> présentant</w:t>
      </w:r>
      <w:r w:rsidR="00900B74">
        <w:t xml:space="preserve"> un degré mineur de corrosivité</w:t>
      </w:r>
      <w:r w:rsidRPr="009B7198">
        <w:t>» par</w:t>
      </w:r>
      <w:r w:rsidR="00900B74">
        <w:t xml:space="preserve"> «matière faiblement corrosive</w:t>
      </w:r>
      <w:r>
        <w:t>».</w:t>
      </w:r>
    </w:p>
    <w:p w:rsidR="00EE234D" w:rsidRPr="00B7234A" w:rsidRDefault="00EE234D" w:rsidP="00C17FB0">
      <w:pPr>
        <w:pStyle w:val="SingleTxtG"/>
        <w:rPr>
          <w:iCs/>
          <w:highlight w:val="yellow"/>
          <w:lang w:val="fr-FR"/>
        </w:rPr>
      </w:pPr>
      <w:r w:rsidRPr="00612805">
        <w:rPr>
          <w:i/>
          <w:lang w:val="fr-FR"/>
        </w:rPr>
        <w:t xml:space="preserve">(Document de </w:t>
      </w:r>
      <w:proofErr w:type="gramStart"/>
      <w:r w:rsidRPr="00612805">
        <w:rPr>
          <w:i/>
          <w:lang w:val="fr-FR"/>
        </w:rPr>
        <w:t>référence:</w:t>
      </w:r>
      <w:proofErr w:type="gramEnd"/>
      <w:r w:rsidRPr="00612805">
        <w:rPr>
          <w:i/>
          <w:lang w:val="fr-FR"/>
        </w:rPr>
        <w:t xml:space="preserve"> ECE/TRANS/WP.15/</w:t>
      </w:r>
      <w:r>
        <w:rPr>
          <w:i/>
          <w:lang w:val="fr-FR"/>
        </w:rPr>
        <w:t>242</w:t>
      </w:r>
      <w:r w:rsidRPr="00612805">
        <w:rPr>
          <w:i/>
          <w:lang w:val="fr-FR"/>
        </w:rPr>
        <w:t>)</w:t>
      </w:r>
    </w:p>
    <w:p w:rsidR="001474C1" w:rsidRDefault="00C17FB0" w:rsidP="00C17FB0">
      <w:pPr>
        <w:pStyle w:val="SingleTxtG"/>
        <w:rPr>
          <w:lang w:val="fr-FR"/>
        </w:rPr>
      </w:pPr>
      <w:r w:rsidRPr="00361536">
        <w:rPr>
          <w:lang w:val="fr-FR"/>
        </w:rPr>
        <w:t>5.3.3</w:t>
      </w:r>
      <w:r w:rsidRPr="00361536">
        <w:rPr>
          <w:lang w:val="fr-FR"/>
        </w:rPr>
        <w:tab/>
        <w:t>Dans la deuxième phrase du d</w:t>
      </w:r>
      <w:r w:rsidR="00900B74">
        <w:rPr>
          <w:lang w:val="fr-FR"/>
        </w:rPr>
        <w:t>euxième paragraphe, remplacer</w:t>
      </w:r>
      <w:proofErr w:type="gramStart"/>
      <w:r w:rsidR="00900B74">
        <w:rPr>
          <w:lang w:val="fr-FR"/>
        </w:rPr>
        <w:t xml:space="preserve"> «Il</w:t>
      </w:r>
      <w:proofErr w:type="gramEnd"/>
      <w:r w:rsidR="00900B74">
        <w:rPr>
          <w:lang w:val="fr-FR"/>
        </w:rPr>
        <w:t>» par: «</w:t>
      </w:r>
      <w:r w:rsidRPr="00361536">
        <w:rPr>
          <w:lang w:val="fr-FR"/>
        </w:rPr>
        <w:t>Elle».</w:t>
      </w:r>
    </w:p>
    <w:p w:rsidR="00EE234D" w:rsidRDefault="00EE234D" w:rsidP="00C17FB0">
      <w:pPr>
        <w:pStyle w:val="SingleTxtG"/>
        <w:rPr>
          <w:lang w:val="fr-FR"/>
        </w:rPr>
      </w:pPr>
      <w:r w:rsidRPr="00612805">
        <w:rPr>
          <w:i/>
          <w:lang w:val="fr-FR"/>
        </w:rPr>
        <w:lastRenderedPageBreak/>
        <w:t xml:space="preserve">(Document de </w:t>
      </w:r>
      <w:proofErr w:type="gramStart"/>
      <w:r w:rsidRPr="00612805">
        <w:rPr>
          <w:i/>
          <w:lang w:val="fr-FR"/>
        </w:rPr>
        <w:t>référence:</w:t>
      </w:r>
      <w:proofErr w:type="gramEnd"/>
      <w:r w:rsidRPr="00612805">
        <w:rPr>
          <w:i/>
          <w:lang w:val="fr-FR"/>
        </w:rPr>
        <w:t xml:space="preserve"> ECE/TRANS/WP.15/AC.1/150, Annexe II)</w:t>
      </w:r>
    </w:p>
    <w:p w:rsidR="00C17FB0" w:rsidRPr="0008534C" w:rsidRDefault="00C17FB0" w:rsidP="00C17FB0">
      <w:pPr>
        <w:pStyle w:val="H1G"/>
      </w:pPr>
      <w:r>
        <w:tab/>
      </w:r>
      <w:r>
        <w:tab/>
      </w:r>
      <w:r w:rsidRPr="00361536">
        <w:t xml:space="preserve">Chapitre </w:t>
      </w:r>
      <w:r>
        <w:t>7.1</w:t>
      </w:r>
    </w:p>
    <w:p w:rsidR="001474C1" w:rsidRDefault="001474C1" w:rsidP="001474C1">
      <w:pPr>
        <w:pStyle w:val="SingleTxtG"/>
        <w:tabs>
          <w:tab w:val="left" w:pos="1985"/>
        </w:tabs>
      </w:pPr>
      <w:r>
        <w:t>7.1.0.1</w:t>
      </w:r>
      <w:r>
        <w:tab/>
        <w:t>Remplacer</w:t>
      </w:r>
      <w:proofErr w:type="gramStart"/>
      <w:r>
        <w:t xml:space="preserve"> «7.1.6</w:t>
      </w:r>
      <w:proofErr w:type="gramEnd"/>
      <w:r>
        <w:t>» par «7.1.7».</w:t>
      </w:r>
    </w:p>
    <w:p w:rsidR="001474C1" w:rsidRPr="00F26F19" w:rsidRDefault="001474C1" w:rsidP="001474C1">
      <w:pPr>
        <w:spacing w:before="120" w:after="120" w:line="240" w:lineRule="auto"/>
        <w:ind w:left="1134" w:right="1134"/>
        <w:jc w:val="both"/>
        <w:rPr>
          <w:lang w:val="fr-FR"/>
        </w:rPr>
      </w:pPr>
      <w:r>
        <w:rPr>
          <w:lang w:val="fr-FR"/>
        </w:rPr>
        <w:t>7.1</w:t>
      </w:r>
      <w:r>
        <w:rPr>
          <w:lang w:val="fr-FR"/>
        </w:rPr>
        <w:tab/>
      </w:r>
      <w:r w:rsidRPr="00F26F19">
        <w:rPr>
          <w:lang w:val="fr-FR"/>
        </w:rPr>
        <w:t xml:space="preserve">Ajouter la </w:t>
      </w:r>
      <w:r w:rsidR="00900B74">
        <w:rPr>
          <w:lang w:val="fr-FR"/>
        </w:rPr>
        <w:t xml:space="preserve">nouvelle section 7.1.7 </w:t>
      </w:r>
      <w:proofErr w:type="gramStart"/>
      <w:r w:rsidR="00900B74">
        <w:rPr>
          <w:lang w:val="fr-FR"/>
        </w:rPr>
        <w:t>suivante</w:t>
      </w:r>
      <w:r w:rsidRPr="00F26F19">
        <w:rPr>
          <w:lang w:val="fr-FR"/>
        </w:rPr>
        <w:t>:</w:t>
      </w:r>
      <w:proofErr w:type="gramEnd"/>
    </w:p>
    <w:p w:rsidR="001474C1" w:rsidRPr="00F26F19" w:rsidRDefault="00900B74" w:rsidP="001474C1">
      <w:pPr>
        <w:pStyle w:val="SingleTxtG"/>
        <w:rPr>
          <w:b/>
          <w:lang w:val="fr-FR"/>
        </w:rPr>
      </w:pPr>
      <w:r>
        <w:rPr>
          <w:lang w:val="fr-FR"/>
        </w:rPr>
        <w:t>«</w:t>
      </w:r>
      <w:r w:rsidR="001474C1" w:rsidRPr="00F26F19">
        <w:rPr>
          <w:b/>
          <w:lang w:val="fr-FR"/>
        </w:rPr>
        <w:t>7.1.7</w:t>
      </w:r>
      <w:r w:rsidR="001474C1" w:rsidRPr="00F26F19">
        <w:rPr>
          <w:b/>
          <w:lang w:val="fr-FR"/>
        </w:rPr>
        <w:tab/>
      </w:r>
      <w:r w:rsidR="00EE234D">
        <w:rPr>
          <w:b/>
          <w:lang w:val="fr-FR"/>
        </w:rPr>
        <w:tab/>
      </w:r>
      <w:r w:rsidR="001474C1" w:rsidRPr="00F26F19">
        <w:rPr>
          <w:b/>
          <w:lang w:val="fr-FR"/>
        </w:rPr>
        <w:t xml:space="preserve">Dispositions particulières applicables au transport des matières </w:t>
      </w:r>
      <w:proofErr w:type="spellStart"/>
      <w:r w:rsidR="001474C1" w:rsidRPr="00F26F19">
        <w:rPr>
          <w:b/>
          <w:lang w:val="fr-FR"/>
        </w:rPr>
        <w:t>autoréactives</w:t>
      </w:r>
      <w:proofErr w:type="spellEnd"/>
      <w:r w:rsidR="001474C1" w:rsidRPr="00F26F19">
        <w:rPr>
          <w:b/>
          <w:lang w:val="fr-FR"/>
        </w:rPr>
        <w:t xml:space="preserve"> de la classe 4.1, des peroxydes organiques de la classe 5.2 et des matières stabilisées par régulation de température (autres que les matières </w:t>
      </w:r>
      <w:proofErr w:type="spellStart"/>
      <w:r w:rsidR="001474C1" w:rsidRPr="00F26F19">
        <w:rPr>
          <w:b/>
          <w:lang w:val="fr-FR"/>
        </w:rPr>
        <w:t>autoréactives</w:t>
      </w:r>
      <w:proofErr w:type="spellEnd"/>
      <w:r w:rsidR="001474C1" w:rsidRPr="00F26F19">
        <w:rPr>
          <w:b/>
          <w:lang w:val="fr-FR"/>
        </w:rPr>
        <w:t xml:space="preserve"> ou les peroxydes organiques)</w:t>
      </w:r>
    </w:p>
    <w:p w:rsidR="001474C1" w:rsidRPr="00F26F19" w:rsidRDefault="001474C1" w:rsidP="001474C1">
      <w:pPr>
        <w:pStyle w:val="SingleTxtG"/>
        <w:rPr>
          <w:lang w:val="fr-FR"/>
        </w:rPr>
      </w:pPr>
      <w:r w:rsidRPr="00F26F19">
        <w:rPr>
          <w:lang w:val="fr-FR"/>
        </w:rPr>
        <w:t>7.1.7.1</w:t>
      </w:r>
      <w:r w:rsidRPr="00F26F19">
        <w:rPr>
          <w:lang w:val="fr-FR"/>
        </w:rPr>
        <w:tab/>
      </w:r>
      <w:r w:rsidR="00EE234D">
        <w:rPr>
          <w:lang w:val="fr-FR"/>
        </w:rPr>
        <w:tab/>
      </w:r>
      <w:r w:rsidRPr="00F26F19">
        <w:rPr>
          <w:lang w:val="fr-FR"/>
        </w:rPr>
        <w:t xml:space="preserve">Les matières </w:t>
      </w:r>
      <w:proofErr w:type="spellStart"/>
      <w:r w:rsidRPr="00F26F19">
        <w:rPr>
          <w:lang w:val="fr-FR"/>
        </w:rPr>
        <w:t>autoréactives</w:t>
      </w:r>
      <w:proofErr w:type="spellEnd"/>
      <w:r w:rsidRPr="00F26F19">
        <w:rPr>
          <w:lang w:val="fr-FR"/>
        </w:rPr>
        <w:t>, les peroxydes organiques et les matières qui polymérisent doivent être tenus à l’ombre, maintenus à l’écart de toute source de chaleur et placés dans des endroits bien aérés.</w:t>
      </w:r>
    </w:p>
    <w:p w:rsidR="001474C1" w:rsidRPr="00F26F19" w:rsidRDefault="001474C1" w:rsidP="001474C1">
      <w:pPr>
        <w:pStyle w:val="SingleTxtG"/>
        <w:rPr>
          <w:lang w:val="fr-FR"/>
        </w:rPr>
      </w:pPr>
      <w:r w:rsidRPr="00F26F19">
        <w:rPr>
          <w:lang w:val="fr-FR"/>
        </w:rPr>
        <w:t>7.1.7.2</w:t>
      </w:r>
      <w:r w:rsidRPr="00F26F19">
        <w:rPr>
          <w:lang w:val="fr-FR"/>
        </w:rPr>
        <w:tab/>
      </w:r>
      <w:r w:rsidR="00EE234D">
        <w:rPr>
          <w:lang w:val="fr-FR"/>
        </w:rPr>
        <w:tab/>
      </w:r>
      <w:r w:rsidRPr="00F26F19">
        <w:rPr>
          <w:lang w:val="fr-FR"/>
        </w:rPr>
        <w:t>Si plusieurs colis sont groupés dans un conteneur ou un véhicule fermé ou une unité de charge, la quantité totale de matière, le type et le nombre de colis, ainsi que leur ordre d’arrimage, ne doivent pas être tels qu’il en résulte un risque d’explosion.</w:t>
      </w:r>
    </w:p>
    <w:p w:rsidR="001474C1" w:rsidRPr="00F26F19" w:rsidRDefault="001474C1" w:rsidP="001474C1">
      <w:pPr>
        <w:pStyle w:val="SingleTxtG"/>
        <w:rPr>
          <w:b/>
          <w:lang w:val="fr-FR"/>
        </w:rPr>
      </w:pPr>
      <w:r w:rsidRPr="00F26F19">
        <w:rPr>
          <w:b/>
          <w:lang w:val="fr-FR"/>
        </w:rPr>
        <w:t>7.1.7.3</w:t>
      </w:r>
      <w:r w:rsidRPr="00F26F19">
        <w:rPr>
          <w:b/>
          <w:lang w:val="fr-FR"/>
        </w:rPr>
        <w:tab/>
      </w:r>
      <w:r w:rsidR="006C4D17">
        <w:rPr>
          <w:b/>
          <w:lang w:val="fr-FR"/>
        </w:rPr>
        <w:tab/>
      </w:r>
      <w:r w:rsidRPr="00F26F19">
        <w:rPr>
          <w:b/>
          <w:i/>
          <w:iCs/>
          <w:lang w:val="fr-FR"/>
        </w:rPr>
        <w:t>Dispositions relatives à la régulation de température</w:t>
      </w:r>
    </w:p>
    <w:p w:rsidR="001474C1" w:rsidRPr="00F26F19" w:rsidRDefault="001474C1" w:rsidP="001474C1">
      <w:pPr>
        <w:pStyle w:val="SingleTxtG"/>
        <w:rPr>
          <w:lang w:val="fr-FR"/>
        </w:rPr>
      </w:pPr>
      <w:r w:rsidRPr="00F26F19">
        <w:rPr>
          <w:lang w:val="fr-FR"/>
        </w:rPr>
        <w:t>7.1.7.3.1</w:t>
      </w:r>
      <w:r w:rsidRPr="00F26F19">
        <w:rPr>
          <w:lang w:val="fr-FR"/>
        </w:rPr>
        <w:tab/>
        <w:t xml:space="preserve">Les présentes dispositions ne s’appliquent à certaines matières </w:t>
      </w:r>
      <w:proofErr w:type="spellStart"/>
      <w:r w:rsidRPr="00F26F19">
        <w:rPr>
          <w:lang w:val="fr-FR"/>
        </w:rPr>
        <w:t>autoréactives</w:t>
      </w:r>
      <w:proofErr w:type="spellEnd"/>
      <w:r w:rsidRPr="00F26F19">
        <w:rPr>
          <w:lang w:val="fr-FR"/>
        </w:rPr>
        <w:t>, certains peroxydes organiques et certaines matières qui polymérisent que lorsque le transport de ces matières est soumis à régulation de température au titre du 2.2.41.1.17, 2.2.52.1.15 ou 2.2.41.1.21 ou de la disposition spéciale 386 du chapitre 3.3 suivant le cas.</w:t>
      </w:r>
    </w:p>
    <w:p w:rsidR="001474C1" w:rsidRPr="00F26F19" w:rsidRDefault="001474C1" w:rsidP="001474C1">
      <w:pPr>
        <w:pStyle w:val="SingleTxtG"/>
        <w:rPr>
          <w:lang w:val="fr-FR"/>
        </w:rPr>
      </w:pPr>
      <w:r w:rsidRPr="00F26F19">
        <w:rPr>
          <w:lang w:val="fr-FR"/>
        </w:rPr>
        <w:t>7.1.7.3.2</w:t>
      </w:r>
      <w:r w:rsidRPr="00F26F19">
        <w:rPr>
          <w:lang w:val="fr-FR"/>
        </w:rPr>
        <w:tab/>
        <w:t xml:space="preserve">Ces dispositions s’appliquent également au </w:t>
      </w:r>
      <w:proofErr w:type="gramStart"/>
      <w:r w:rsidRPr="00F26F19">
        <w:rPr>
          <w:lang w:val="fr-FR"/>
        </w:rPr>
        <w:t>transport:</w:t>
      </w:r>
      <w:proofErr w:type="gramEnd"/>
    </w:p>
    <w:p w:rsidR="001474C1" w:rsidRPr="008F5FDB" w:rsidRDefault="001474C1" w:rsidP="008F5FDB">
      <w:pPr>
        <w:pStyle w:val="SingleTxtG"/>
        <w:ind w:left="2835" w:hanging="567"/>
        <w:rPr>
          <w:lang w:val="en-GB"/>
        </w:rPr>
      </w:pPr>
      <w:r w:rsidRPr="00F26F19">
        <w:rPr>
          <w:lang w:val="fr-FR"/>
        </w:rPr>
        <w:t>a)</w:t>
      </w:r>
      <w:r w:rsidRPr="00F26F19">
        <w:rPr>
          <w:lang w:val="fr-FR"/>
        </w:rPr>
        <w:tab/>
        <w:t>D</w:t>
      </w:r>
      <w:r w:rsidRPr="008F5FDB">
        <w:rPr>
          <w:lang w:val="en-GB"/>
        </w:rPr>
        <w:t xml:space="preserve">e matières dont la désignation officielle de transport, telle qu’elle figure dans la colonne (2) du tableau A du chapitre 3.2 ou selon le 3.1.2.6, </w:t>
      </w:r>
      <w:r w:rsidR="00900B74" w:rsidRPr="008F5FDB">
        <w:rPr>
          <w:lang w:val="en-GB"/>
        </w:rPr>
        <w:t>contient la mention "STABILISÉ</w:t>
      </w:r>
      <w:proofErr w:type="gramStart"/>
      <w:r w:rsidR="00900B74" w:rsidRPr="008F5FDB">
        <w:rPr>
          <w:lang w:val="en-GB"/>
        </w:rPr>
        <w:t>"</w:t>
      </w:r>
      <w:r w:rsidRPr="008F5FDB">
        <w:rPr>
          <w:lang w:val="en-GB"/>
        </w:rPr>
        <w:t>;</w:t>
      </w:r>
      <w:proofErr w:type="gramEnd"/>
      <w:r w:rsidRPr="008F5FDB">
        <w:rPr>
          <w:lang w:val="en-GB"/>
        </w:rPr>
        <w:t xml:space="preserve"> et</w:t>
      </w:r>
    </w:p>
    <w:p w:rsidR="001474C1" w:rsidRPr="00F26F19" w:rsidRDefault="001474C1" w:rsidP="008F5FDB">
      <w:pPr>
        <w:pStyle w:val="SingleTxtG"/>
        <w:ind w:left="2835" w:hanging="567"/>
        <w:rPr>
          <w:b/>
          <w:bCs/>
          <w:lang w:val="fr-FR"/>
        </w:rPr>
      </w:pPr>
      <w:r w:rsidRPr="008F5FDB">
        <w:rPr>
          <w:lang w:val="en-GB"/>
        </w:rPr>
        <w:t>b)</w:t>
      </w:r>
      <w:r w:rsidRPr="008F5FDB">
        <w:rPr>
          <w:lang w:val="en-GB"/>
        </w:rPr>
        <w:tab/>
        <w:t>De matières pour lesquelles la TDAA ou la TPAA déterminée pour ces matièr</w:t>
      </w:r>
      <w:r w:rsidRPr="00F26F19">
        <w:rPr>
          <w:bCs/>
          <w:lang w:val="fr-FR"/>
        </w:rPr>
        <w:t>es telles que présentées au transport (avec ou sans stabilisation chimique) est:</w:t>
      </w:r>
    </w:p>
    <w:p w:rsidR="001474C1" w:rsidRPr="00F26F19" w:rsidRDefault="001474C1" w:rsidP="008F5FDB">
      <w:pPr>
        <w:pStyle w:val="SingleTxtG"/>
        <w:ind w:left="3402" w:hanging="567"/>
        <w:rPr>
          <w:lang w:val="fr-FR"/>
        </w:rPr>
      </w:pPr>
      <w:r w:rsidRPr="00F26F19">
        <w:rPr>
          <w:lang w:val="fr-FR"/>
        </w:rPr>
        <w:t>i)</w:t>
      </w:r>
      <w:r w:rsidRPr="00F26F19">
        <w:rPr>
          <w:lang w:val="fr-FR"/>
        </w:rPr>
        <w:tab/>
        <w:t xml:space="preserve">Au maximum de 50 °C pour les emballages simples et les GRV ; </w:t>
      </w:r>
      <w:proofErr w:type="gramStart"/>
      <w:r w:rsidRPr="00F26F19">
        <w:rPr>
          <w:lang w:val="fr-FR"/>
        </w:rPr>
        <w:t>ou</w:t>
      </w:r>
      <w:proofErr w:type="gramEnd"/>
      <w:r w:rsidRPr="00F26F19">
        <w:rPr>
          <w:lang w:val="fr-FR"/>
        </w:rPr>
        <w:t xml:space="preserve"> </w:t>
      </w:r>
    </w:p>
    <w:p w:rsidR="001474C1" w:rsidRPr="00F26F19" w:rsidRDefault="001474C1" w:rsidP="008F5FDB">
      <w:pPr>
        <w:pStyle w:val="SingleTxtG"/>
        <w:ind w:left="3402" w:hanging="567"/>
        <w:rPr>
          <w:lang w:val="fr-FR"/>
        </w:rPr>
      </w:pPr>
      <w:r w:rsidRPr="00F26F19">
        <w:rPr>
          <w:lang w:val="fr-FR"/>
        </w:rPr>
        <w:t>ii)</w:t>
      </w:r>
      <w:r w:rsidRPr="00F26F19">
        <w:rPr>
          <w:lang w:val="fr-FR"/>
        </w:rPr>
        <w:tab/>
        <w:t>Au maximum de 45 °C pour les citernes.</w:t>
      </w:r>
    </w:p>
    <w:p w:rsidR="001474C1" w:rsidRPr="00F26F19" w:rsidRDefault="001474C1" w:rsidP="001474C1">
      <w:pPr>
        <w:pStyle w:val="SingleTxtG"/>
        <w:spacing w:line="234" w:lineRule="atLeast"/>
        <w:rPr>
          <w:lang w:val="fr-FR"/>
        </w:rPr>
      </w:pPr>
      <w:r w:rsidRPr="00F26F19">
        <w:rPr>
          <w:lang w:val="fr-FR"/>
        </w:rPr>
        <w:t>Lorsqu’il n’est pas recouru à l’inhibition chimique pour stabiliser une matière réactive susceptible de générer des quantités dangereuses de chaleur et de gaz ou de vapeur dans des conditions normales de transport, cette matière doit être transportée sous régulation de température. Ces dispositions ne s’appliquent pas aux matières qui sont stabilisées par adjonction d’inhibiteurs chimiques de sorte que la TDAA ou la TPAA soit supérieure à ce qui est prescrit aux alinéas b) i) et ii) ci-dessus.</w:t>
      </w:r>
    </w:p>
    <w:p w:rsidR="001474C1" w:rsidRPr="00F26F19" w:rsidRDefault="001474C1" w:rsidP="001474C1">
      <w:pPr>
        <w:pStyle w:val="SingleTxtG"/>
        <w:spacing w:line="234" w:lineRule="atLeast"/>
        <w:rPr>
          <w:lang w:val="fr-FR"/>
        </w:rPr>
      </w:pPr>
      <w:r w:rsidRPr="00F26F19">
        <w:rPr>
          <w:lang w:val="fr-FR"/>
        </w:rPr>
        <w:t>7.1.7.3.3</w:t>
      </w:r>
      <w:r w:rsidRPr="00F26F19">
        <w:rPr>
          <w:lang w:val="fr-FR"/>
        </w:rPr>
        <w:tab/>
        <w:t xml:space="preserve">En outre, si une matière </w:t>
      </w:r>
      <w:proofErr w:type="spellStart"/>
      <w:r w:rsidRPr="00F26F19">
        <w:rPr>
          <w:lang w:val="fr-FR"/>
        </w:rPr>
        <w:t>autoréactive</w:t>
      </w:r>
      <w:proofErr w:type="spellEnd"/>
      <w:r w:rsidRPr="00F26F19">
        <w:rPr>
          <w:lang w:val="fr-FR"/>
        </w:rPr>
        <w:t xml:space="preserve">, un peroxyde organique ou une matière dont la désignation officielle de transport comporte la mention "STABILISÉ" et pour laquelle le transport avec régulation de température n’est pas normalement prescrit est transporté dans des conditions telles que la température risque de dépasser 55 °C, la régulation de température peut s’imposer. </w:t>
      </w:r>
    </w:p>
    <w:p w:rsidR="001474C1" w:rsidRPr="00F26F19" w:rsidRDefault="001474C1" w:rsidP="001474C1">
      <w:pPr>
        <w:pStyle w:val="SingleTxtG"/>
        <w:spacing w:line="234" w:lineRule="atLeast"/>
        <w:rPr>
          <w:lang w:val="fr-FR"/>
        </w:rPr>
      </w:pPr>
      <w:r w:rsidRPr="00F26F19">
        <w:rPr>
          <w:lang w:val="fr-FR"/>
        </w:rPr>
        <w:t>7.1.7.3.4</w:t>
      </w:r>
      <w:r w:rsidRPr="00F26F19">
        <w:rPr>
          <w:lang w:val="fr-FR"/>
        </w:rPr>
        <w:tab/>
        <w:t xml:space="preserve">La "température de régulation" est la température maximale à laquelle une matière peut être transportée en sécurité. Les présentes dispositions sont basées sur l’hypothèse d’une température ne dépassant pas 55 °C au voisinage immédiat du colis pendant le transport et n’atteignant cette valeur que pendant une durée relativement courte </w:t>
      </w:r>
      <w:r w:rsidRPr="00F26F19">
        <w:rPr>
          <w:lang w:val="fr-FR"/>
        </w:rPr>
        <w:lastRenderedPageBreak/>
        <w:t>par période de 24 heures. En cas de défaillance du système de régulation, il pourra être nécessaire d’appliquer les mesures d’urgence. La "température critique" est la température à laquelle ces procédures doivent être mises en œuvre.</w:t>
      </w:r>
    </w:p>
    <w:p w:rsidR="001474C1" w:rsidRPr="00F26F19" w:rsidRDefault="001474C1" w:rsidP="001474C1">
      <w:pPr>
        <w:pStyle w:val="SingleTxtG"/>
        <w:keepNext/>
        <w:keepLines/>
        <w:rPr>
          <w:lang w:val="fr-FR"/>
        </w:rPr>
      </w:pPr>
      <w:r w:rsidRPr="00F26F19">
        <w:rPr>
          <w:lang w:val="fr-FR"/>
        </w:rPr>
        <w:t>7.1.7.3.5</w:t>
      </w:r>
      <w:r w:rsidRPr="00F26F19">
        <w:rPr>
          <w:lang w:val="fr-FR"/>
        </w:rPr>
        <w:tab/>
      </w:r>
      <w:r w:rsidRPr="00F26F19">
        <w:rPr>
          <w:i/>
          <w:lang w:val="fr-FR"/>
        </w:rPr>
        <w:t>Détermination de la température de régulation et de la température critique</w:t>
      </w:r>
    </w:p>
    <w:tbl>
      <w:tblPr>
        <w:tblStyle w:val="Tabellenraster2"/>
        <w:tblW w:w="7371" w:type="dxa"/>
        <w:tblInd w:w="1129" w:type="dxa"/>
        <w:tblBorders>
          <w:insideH w:val="none" w:sz="0" w:space="0" w:color="auto"/>
        </w:tblBorders>
        <w:tblLayout w:type="fixed"/>
        <w:tblCellMar>
          <w:left w:w="0" w:type="dxa"/>
          <w:right w:w="0" w:type="dxa"/>
        </w:tblCellMar>
        <w:tblLook w:val="04A0" w:firstRow="1" w:lastRow="0" w:firstColumn="1" w:lastColumn="0" w:noHBand="0" w:noVBand="1"/>
      </w:tblPr>
      <w:tblGrid>
        <w:gridCol w:w="1170"/>
        <w:gridCol w:w="1685"/>
        <w:gridCol w:w="2167"/>
        <w:gridCol w:w="2349"/>
      </w:tblGrid>
      <w:tr w:rsidR="001474C1" w:rsidRPr="00F26F19" w:rsidTr="000F6040">
        <w:tc>
          <w:tcPr>
            <w:tcW w:w="1170"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Type de récipient</w:t>
            </w:r>
          </w:p>
        </w:tc>
        <w:tc>
          <w:tcPr>
            <w:tcW w:w="1685"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proofErr w:type="spellStart"/>
            <w:r w:rsidRPr="00F26F19">
              <w:rPr>
                <w:lang w:val="fr-FR"/>
              </w:rPr>
              <w:t>TDAA</w:t>
            </w:r>
            <w:r w:rsidRPr="00F26F19">
              <w:rPr>
                <w:b/>
                <w:vertAlign w:val="superscript"/>
                <w:lang w:val="fr-FR"/>
              </w:rPr>
              <w:t>a</w:t>
            </w:r>
            <w:proofErr w:type="spellEnd"/>
            <w:r w:rsidRPr="00F26F19">
              <w:rPr>
                <w:lang w:val="fr-FR"/>
              </w:rPr>
              <w:t>/</w:t>
            </w:r>
            <w:proofErr w:type="spellStart"/>
            <w:r w:rsidRPr="00F26F19">
              <w:rPr>
                <w:lang w:val="fr-FR"/>
              </w:rPr>
              <w:t>TPAA</w:t>
            </w:r>
            <w:r w:rsidRPr="00F26F19">
              <w:rPr>
                <w:b/>
                <w:vertAlign w:val="superscript"/>
                <w:lang w:val="fr-FR"/>
              </w:rPr>
              <w:t>a</w:t>
            </w:r>
            <w:proofErr w:type="spellEnd"/>
          </w:p>
        </w:tc>
        <w:tc>
          <w:tcPr>
            <w:tcW w:w="2167"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 xml:space="preserve">Température de régulation </w:t>
            </w:r>
          </w:p>
        </w:tc>
        <w:tc>
          <w:tcPr>
            <w:tcW w:w="2349"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Température critique</w:t>
            </w:r>
          </w:p>
        </w:tc>
      </w:tr>
      <w:tr w:rsidR="001474C1" w:rsidRPr="00F26F19" w:rsidTr="000F6040">
        <w:tc>
          <w:tcPr>
            <w:tcW w:w="1170" w:type="dxa"/>
            <w:tcBorders>
              <w:top w:val="single" w:sz="4" w:space="0" w:color="auto"/>
              <w:bottom w:val="nil"/>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Emballages simples et GRV</w:t>
            </w:r>
          </w:p>
        </w:tc>
        <w:tc>
          <w:tcPr>
            <w:tcW w:w="1685"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 20 °C</w:t>
            </w:r>
          </w:p>
        </w:tc>
        <w:tc>
          <w:tcPr>
            <w:tcW w:w="2167"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 xml:space="preserve">20 °C au-dessous </w:t>
            </w:r>
            <w:r w:rsidRPr="00F26F19">
              <w:rPr>
                <w:lang w:val="fr-FR"/>
              </w:rPr>
              <w:br/>
              <w:t>de la TDAA/TPAA</w:t>
            </w:r>
          </w:p>
        </w:tc>
        <w:tc>
          <w:tcPr>
            <w:tcW w:w="2349"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 xml:space="preserve">10 °C au-dessous </w:t>
            </w:r>
            <w:r w:rsidRPr="00F26F19">
              <w:rPr>
                <w:lang w:val="fr-FR"/>
              </w:rPr>
              <w:br/>
              <w:t>de la TDAA/TPAA</w:t>
            </w:r>
          </w:p>
        </w:tc>
      </w:tr>
      <w:tr w:rsidR="001474C1" w:rsidRPr="00F26F19" w:rsidTr="000F6040">
        <w:tc>
          <w:tcPr>
            <w:tcW w:w="1170" w:type="dxa"/>
            <w:tcBorders>
              <w:top w:val="nil"/>
              <w:bottom w:val="nil"/>
            </w:tcBorders>
            <w:shd w:val="clear" w:color="auto" w:fill="auto"/>
            <w:tcMar>
              <w:left w:w="113" w:type="dxa"/>
            </w:tcMar>
          </w:tcPr>
          <w:p w:rsidR="001474C1" w:rsidRPr="00F26F19" w:rsidRDefault="001474C1" w:rsidP="000F6040">
            <w:pPr>
              <w:keepNext/>
              <w:keepLines/>
              <w:spacing w:line="240" w:lineRule="auto"/>
              <w:rPr>
                <w:lang w:val="fr-FR"/>
              </w:rPr>
            </w:pPr>
          </w:p>
        </w:tc>
        <w:tc>
          <w:tcPr>
            <w:tcW w:w="1685"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&gt; 20 °C et ≤ 35 °C</w:t>
            </w:r>
          </w:p>
        </w:tc>
        <w:tc>
          <w:tcPr>
            <w:tcW w:w="2167"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 xml:space="preserve">15 °C au-dessous </w:t>
            </w:r>
            <w:r w:rsidRPr="00F26F19">
              <w:rPr>
                <w:lang w:val="fr-FR"/>
              </w:rPr>
              <w:br/>
              <w:t>de la TDAA/TPAA</w:t>
            </w:r>
          </w:p>
        </w:tc>
        <w:tc>
          <w:tcPr>
            <w:tcW w:w="2349"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 xml:space="preserve">10 °C au-dessous </w:t>
            </w:r>
            <w:r w:rsidRPr="00F26F19">
              <w:rPr>
                <w:lang w:val="fr-FR"/>
              </w:rPr>
              <w:br/>
              <w:t>de la TDAA/TPAA</w:t>
            </w:r>
          </w:p>
        </w:tc>
      </w:tr>
      <w:tr w:rsidR="001474C1" w:rsidRPr="00F26F19" w:rsidTr="000F6040">
        <w:tc>
          <w:tcPr>
            <w:tcW w:w="1170" w:type="dxa"/>
            <w:tcBorders>
              <w:top w:val="nil"/>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p>
        </w:tc>
        <w:tc>
          <w:tcPr>
            <w:tcW w:w="1685"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&gt; 35 °C</w:t>
            </w:r>
          </w:p>
        </w:tc>
        <w:tc>
          <w:tcPr>
            <w:tcW w:w="2167"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 xml:space="preserve">10 °C au-dessous </w:t>
            </w:r>
            <w:r w:rsidRPr="00F26F19">
              <w:rPr>
                <w:lang w:val="fr-FR"/>
              </w:rPr>
              <w:br/>
              <w:t>de la TDAA/TPAA</w:t>
            </w:r>
          </w:p>
        </w:tc>
        <w:tc>
          <w:tcPr>
            <w:tcW w:w="2349" w:type="dxa"/>
            <w:tcBorders>
              <w:bottom w:val="single" w:sz="4" w:space="0" w:color="auto"/>
            </w:tcBorders>
            <w:shd w:val="clear" w:color="auto" w:fill="auto"/>
            <w:tcMar>
              <w:left w:w="113" w:type="dxa"/>
            </w:tcMar>
          </w:tcPr>
          <w:p w:rsidR="001474C1" w:rsidRPr="00F26F19" w:rsidRDefault="001474C1" w:rsidP="000F6040">
            <w:pPr>
              <w:keepNext/>
              <w:keepLines/>
              <w:spacing w:line="240" w:lineRule="auto"/>
              <w:rPr>
                <w:lang w:val="fr-FR"/>
              </w:rPr>
            </w:pPr>
            <w:r w:rsidRPr="00F26F19">
              <w:rPr>
                <w:lang w:val="fr-FR"/>
              </w:rPr>
              <w:t xml:space="preserve">5 °C au-dessous </w:t>
            </w:r>
            <w:r w:rsidRPr="00F26F19">
              <w:rPr>
                <w:lang w:val="fr-FR"/>
              </w:rPr>
              <w:br/>
              <w:t>de la TDAA/TPAA</w:t>
            </w:r>
          </w:p>
        </w:tc>
      </w:tr>
      <w:tr w:rsidR="001474C1" w:rsidRPr="00F26F19" w:rsidTr="000F6040">
        <w:tc>
          <w:tcPr>
            <w:tcW w:w="1170" w:type="dxa"/>
            <w:tcBorders>
              <w:top w:val="single" w:sz="4" w:space="0" w:color="auto"/>
            </w:tcBorders>
            <w:shd w:val="clear" w:color="auto" w:fill="auto"/>
            <w:tcMar>
              <w:left w:w="113" w:type="dxa"/>
            </w:tcMar>
            <w:hideMark/>
          </w:tcPr>
          <w:p w:rsidR="001474C1" w:rsidRPr="00F26F19" w:rsidRDefault="001474C1" w:rsidP="000F6040">
            <w:pPr>
              <w:keepNext/>
              <w:keepLines/>
              <w:spacing w:line="240" w:lineRule="auto"/>
              <w:rPr>
                <w:rFonts w:eastAsiaTheme="minorHAnsi"/>
                <w:lang w:val="fr-FR" w:eastAsia="de-DE"/>
              </w:rPr>
            </w:pPr>
            <w:r w:rsidRPr="00F26F19">
              <w:rPr>
                <w:lang w:val="fr-FR"/>
              </w:rPr>
              <w:t>Citernes</w:t>
            </w:r>
          </w:p>
        </w:tc>
        <w:tc>
          <w:tcPr>
            <w:tcW w:w="1685" w:type="dxa"/>
            <w:tcBorders>
              <w:top w:val="single" w:sz="4" w:space="0" w:color="auto"/>
            </w:tcBorders>
            <w:shd w:val="clear" w:color="auto" w:fill="auto"/>
            <w:tcMar>
              <w:left w:w="113" w:type="dxa"/>
            </w:tcMar>
            <w:hideMark/>
          </w:tcPr>
          <w:p w:rsidR="001474C1" w:rsidRPr="00F26F19" w:rsidRDefault="001474C1" w:rsidP="000F6040">
            <w:pPr>
              <w:keepNext/>
              <w:keepLines/>
              <w:spacing w:line="240" w:lineRule="auto"/>
              <w:rPr>
                <w:rFonts w:eastAsiaTheme="minorHAnsi"/>
                <w:lang w:val="fr-FR" w:eastAsia="de-DE"/>
              </w:rPr>
            </w:pPr>
            <w:r w:rsidRPr="00F26F19">
              <w:rPr>
                <w:lang w:val="fr-FR"/>
              </w:rPr>
              <w:t>≤ 45 °C</w:t>
            </w:r>
          </w:p>
        </w:tc>
        <w:tc>
          <w:tcPr>
            <w:tcW w:w="2167" w:type="dxa"/>
            <w:tcBorders>
              <w:top w:val="single" w:sz="4" w:space="0" w:color="auto"/>
            </w:tcBorders>
            <w:shd w:val="clear" w:color="auto" w:fill="auto"/>
            <w:tcMar>
              <w:left w:w="113" w:type="dxa"/>
            </w:tcMar>
            <w:hideMark/>
          </w:tcPr>
          <w:p w:rsidR="001474C1" w:rsidRPr="00F26F19" w:rsidRDefault="001474C1" w:rsidP="000F6040">
            <w:pPr>
              <w:keepNext/>
              <w:keepLines/>
              <w:spacing w:line="240" w:lineRule="auto"/>
              <w:rPr>
                <w:rFonts w:eastAsiaTheme="minorHAnsi"/>
                <w:lang w:val="fr-FR" w:eastAsia="de-DE"/>
              </w:rPr>
            </w:pPr>
            <w:r w:rsidRPr="00F26F19">
              <w:rPr>
                <w:lang w:val="fr-FR"/>
              </w:rPr>
              <w:t xml:space="preserve">10 °C au-dessous </w:t>
            </w:r>
            <w:r w:rsidRPr="00F26F19">
              <w:rPr>
                <w:lang w:val="fr-FR"/>
              </w:rPr>
              <w:br/>
              <w:t>de la TDAA/TPAA</w:t>
            </w:r>
          </w:p>
        </w:tc>
        <w:tc>
          <w:tcPr>
            <w:tcW w:w="2349" w:type="dxa"/>
            <w:tcBorders>
              <w:top w:val="single" w:sz="4" w:space="0" w:color="auto"/>
            </w:tcBorders>
            <w:shd w:val="clear" w:color="auto" w:fill="auto"/>
            <w:tcMar>
              <w:left w:w="113" w:type="dxa"/>
            </w:tcMar>
            <w:hideMark/>
          </w:tcPr>
          <w:p w:rsidR="001474C1" w:rsidRPr="00F26F19" w:rsidRDefault="001474C1" w:rsidP="000F6040">
            <w:pPr>
              <w:keepNext/>
              <w:keepLines/>
              <w:spacing w:line="240" w:lineRule="auto"/>
              <w:rPr>
                <w:rFonts w:eastAsiaTheme="minorHAnsi"/>
                <w:lang w:val="fr-FR" w:eastAsia="de-DE"/>
              </w:rPr>
            </w:pPr>
            <w:r w:rsidRPr="00F26F19">
              <w:rPr>
                <w:lang w:val="fr-FR"/>
              </w:rPr>
              <w:t xml:space="preserve">5 °C au-dessous </w:t>
            </w:r>
            <w:r w:rsidRPr="00F26F19">
              <w:rPr>
                <w:lang w:val="fr-FR"/>
              </w:rPr>
              <w:br/>
              <w:t>de la TDAA/TPAA</w:t>
            </w:r>
          </w:p>
        </w:tc>
      </w:tr>
    </w:tbl>
    <w:p w:rsidR="001474C1" w:rsidRPr="00F26F19" w:rsidRDefault="001474C1" w:rsidP="001474C1">
      <w:pPr>
        <w:pStyle w:val="SingleTxtG"/>
        <w:keepNext/>
        <w:keepLines/>
        <w:ind w:left="1701"/>
        <w:rPr>
          <w:i/>
          <w:lang w:val="fr-FR"/>
        </w:rPr>
      </w:pPr>
      <w:proofErr w:type="gramStart"/>
      <w:r w:rsidRPr="00F26F19">
        <w:rPr>
          <w:b/>
          <w:vertAlign w:val="superscript"/>
          <w:lang w:val="fr-FR"/>
        </w:rPr>
        <w:t>a</w:t>
      </w:r>
      <w:proofErr w:type="gramEnd"/>
      <w:r w:rsidRPr="00F26F19">
        <w:rPr>
          <w:i/>
          <w:lang w:val="fr-FR"/>
        </w:rPr>
        <w:tab/>
        <w:t>On entend par là la température de décomposition auto-accélérée ou la température de polymérisation auto-accélérée de la matière telle qu’emballée pour le transport.</w:t>
      </w:r>
    </w:p>
    <w:p w:rsidR="001474C1" w:rsidRPr="00F26F19" w:rsidRDefault="001474C1" w:rsidP="001474C1">
      <w:pPr>
        <w:pStyle w:val="SingleTxtG"/>
        <w:rPr>
          <w:lang w:val="fr-FR"/>
        </w:rPr>
      </w:pPr>
      <w:r w:rsidRPr="00F26F19">
        <w:rPr>
          <w:lang w:val="fr-FR"/>
        </w:rPr>
        <w:t>7.1.7.3.6</w:t>
      </w:r>
      <w:r w:rsidRPr="00F26F19">
        <w:rPr>
          <w:lang w:val="fr-FR"/>
        </w:rPr>
        <w:tab/>
        <w:t>La température de régulation et la température critique sont calculées à l’aide du tableau sous 7.1.5.3.5 à partir de la TDAA ou de la TPAA, qui sont définies comme les plus basses températures auxquelles une telle décomposition ou une telle polymérisation peut se produire dans l’emballage, le GRV ou la citerne mobile utilisé pour le transport. On doit déterminer la TDAA ou la TPAA pour savoir si une matière doit faire l’objet d’une régulation de température pendant le transport. Les dispositions concernant la détermination de la TDAA et de la TPAA sont énoncées dans la section 28 de la deuxième partie du Manuel d’épreuves et de critères.</w:t>
      </w:r>
    </w:p>
    <w:p w:rsidR="001474C1" w:rsidRPr="00F26F19" w:rsidRDefault="001474C1" w:rsidP="001474C1">
      <w:pPr>
        <w:pStyle w:val="SingleTxtG"/>
        <w:rPr>
          <w:lang w:val="fr-FR"/>
        </w:rPr>
      </w:pPr>
      <w:r w:rsidRPr="00F26F19">
        <w:rPr>
          <w:lang w:val="fr-FR"/>
        </w:rPr>
        <w:t>7.1.7.3.7</w:t>
      </w:r>
      <w:r w:rsidRPr="00F26F19">
        <w:rPr>
          <w:lang w:val="fr-FR"/>
        </w:rPr>
        <w:tab/>
        <w:t xml:space="preserve">La température de régulation et la température critique pour les matières </w:t>
      </w:r>
      <w:proofErr w:type="spellStart"/>
      <w:r w:rsidRPr="00F26F19">
        <w:rPr>
          <w:lang w:val="fr-FR"/>
        </w:rPr>
        <w:t>autoréactives</w:t>
      </w:r>
      <w:proofErr w:type="spellEnd"/>
      <w:r w:rsidRPr="00F26F19">
        <w:rPr>
          <w:lang w:val="fr-FR"/>
        </w:rPr>
        <w:t xml:space="preserve"> et pour les préparations de peroxydes organiques déjà classées sont indiquées aux 2.2.41.4 et 2.2.52.4, respectivement.</w:t>
      </w:r>
    </w:p>
    <w:p w:rsidR="001474C1" w:rsidRPr="00F26F19" w:rsidRDefault="001474C1" w:rsidP="001474C1">
      <w:pPr>
        <w:pStyle w:val="SingleTxtG"/>
        <w:rPr>
          <w:lang w:val="fr-FR"/>
        </w:rPr>
      </w:pPr>
      <w:r w:rsidRPr="00F26F19">
        <w:rPr>
          <w:lang w:val="fr-FR"/>
        </w:rPr>
        <w:t>7.1.7.3.8</w:t>
      </w:r>
      <w:r w:rsidRPr="00F26F19">
        <w:rPr>
          <w:lang w:val="fr-FR"/>
        </w:rPr>
        <w:tab/>
        <w:t>La température réelle de transport pourra être inférieure à la température de régulation, mais elle devra être choisie de manière à éviter une séparation dangereuse des phases.</w:t>
      </w:r>
    </w:p>
    <w:p w:rsidR="001474C1" w:rsidRPr="00F26F19" w:rsidRDefault="001474C1" w:rsidP="001474C1">
      <w:pPr>
        <w:pStyle w:val="SingleTxtG"/>
        <w:tabs>
          <w:tab w:val="left" w:pos="2268"/>
        </w:tabs>
        <w:rPr>
          <w:b/>
          <w:lang w:val="fr-FR"/>
        </w:rPr>
      </w:pPr>
      <w:r w:rsidRPr="00F26F19">
        <w:rPr>
          <w:b/>
          <w:lang w:val="fr-FR"/>
        </w:rPr>
        <w:t>7.1.7.4</w:t>
      </w:r>
      <w:r w:rsidRPr="00F26F19">
        <w:rPr>
          <w:b/>
          <w:lang w:val="fr-FR"/>
        </w:rPr>
        <w:tab/>
      </w:r>
      <w:r w:rsidRPr="00F26F19">
        <w:rPr>
          <w:b/>
          <w:i/>
          <w:lang w:val="fr-FR"/>
        </w:rPr>
        <w:t>Transport avec régulation de température</w:t>
      </w:r>
    </w:p>
    <w:p w:rsidR="001474C1" w:rsidRPr="00F26F19" w:rsidRDefault="001474C1" w:rsidP="001474C1">
      <w:pPr>
        <w:pStyle w:val="SingleTxtG"/>
        <w:rPr>
          <w:lang w:val="fr-FR"/>
        </w:rPr>
      </w:pPr>
      <w:r w:rsidRPr="00F26F19">
        <w:rPr>
          <w:lang w:val="fr-FR"/>
        </w:rPr>
        <w:t>7.1.7.4.1</w:t>
      </w:r>
      <w:r w:rsidRPr="00F26F19">
        <w:rPr>
          <w:lang w:val="fr-FR"/>
        </w:rPr>
        <w:tab/>
        <w:t>Le maintien de la température prescrite est une condition indispensable pour la sécurité du transport des matières stabilisées par régulation de températ</w:t>
      </w:r>
      <w:r w:rsidR="00900B74">
        <w:rPr>
          <w:lang w:val="fr-FR"/>
        </w:rPr>
        <w:t xml:space="preserve">ure. En général il doit y </w:t>
      </w:r>
      <w:proofErr w:type="gramStart"/>
      <w:r w:rsidR="00900B74">
        <w:rPr>
          <w:lang w:val="fr-FR"/>
        </w:rPr>
        <w:t>avoir</w:t>
      </w:r>
      <w:r w:rsidRPr="00F26F19">
        <w:rPr>
          <w:lang w:val="fr-FR"/>
        </w:rPr>
        <w:t>:</w:t>
      </w:r>
      <w:proofErr w:type="gramEnd"/>
    </w:p>
    <w:p w:rsidR="001474C1" w:rsidRPr="00F26F19" w:rsidRDefault="001474C1" w:rsidP="001474C1">
      <w:pPr>
        <w:pStyle w:val="SingleTxtG"/>
        <w:ind w:left="2268"/>
        <w:rPr>
          <w:spacing w:val="-2"/>
          <w:lang w:val="fr-FR"/>
        </w:rPr>
      </w:pPr>
      <w:r w:rsidRPr="00F26F19">
        <w:rPr>
          <w:lang w:val="fr-FR"/>
        </w:rPr>
        <w:t>a)</w:t>
      </w:r>
      <w:r w:rsidRPr="00F26F19">
        <w:rPr>
          <w:lang w:val="fr-FR"/>
        </w:rPr>
        <w:tab/>
      </w:r>
      <w:r w:rsidRPr="00F26F19">
        <w:rPr>
          <w:spacing w:val="-2"/>
          <w:lang w:val="fr-FR"/>
        </w:rPr>
        <w:t>Une inspection minutieuse de l’engin de transport avant le chargement</w:t>
      </w:r>
      <w:r w:rsidRPr="00F26F19">
        <w:rPr>
          <w:lang w:val="fr-FR"/>
        </w:rPr>
        <w:t> </w:t>
      </w:r>
      <w:r w:rsidRPr="00F26F19">
        <w:rPr>
          <w:spacing w:val="-2"/>
          <w:lang w:val="fr-FR"/>
        </w:rPr>
        <w:t>;</w:t>
      </w:r>
    </w:p>
    <w:p w:rsidR="001474C1" w:rsidRPr="00F26F19" w:rsidRDefault="001474C1" w:rsidP="008F5FDB">
      <w:pPr>
        <w:pStyle w:val="SingleTxtG"/>
        <w:ind w:left="2835" w:hanging="567"/>
        <w:rPr>
          <w:lang w:val="fr-FR"/>
        </w:rPr>
      </w:pPr>
      <w:r w:rsidRPr="00F26F19">
        <w:rPr>
          <w:lang w:val="fr-FR"/>
        </w:rPr>
        <w:t>b)</w:t>
      </w:r>
      <w:r w:rsidRPr="00F26F19">
        <w:rPr>
          <w:lang w:val="fr-FR"/>
        </w:rPr>
        <w:tab/>
        <w:t xml:space="preserve">Des consignes pour le transporteur sur le fonctionnement du système de réfrigération y compris, le cas échéant, d'une liste des fournisseurs des matières réfrigérantes disponibles en cours de </w:t>
      </w:r>
      <w:proofErr w:type="gramStart"/>
      <w:r w:rsidRPr="00F26F19">
        <w:rPr>
          <w:lang w:val="fr-FR"/>
        </w:rPr>
        <w:t>route;</w:t>
      </w:r>
      <w:proofErr w:type="gramEnd"/>
    </w:p>
    <w:p w:rsidR="001474C1" w:rsidRPr="00F26F19" w:rsidRDefault="001474C1" w:rsidP="001474C1">
      <w:pPr>
        <w:pStyle w:val="SingleTxtG"/>
        <w:ind w:left="2268"/>
        <w:rPr>
          <w:lang w:val="fr-FR"/>
        </w:rPr>
      </w:pPr>
      <w:r w:rsidRPr="00F26F19">
        <w:rPr>
          <w:lang w:val="fr-FR"/>
        </w:rPr>
        <w:t>c)</w:t>
      </w:r>
      <w:r w:rsidRPr="00F26F19">
        <w:rPr>
          <w:lang w:val="fr-FR"/>
        </w:rPr>
        <w:tab/>
        <w:t xml:space="preserve">Des procédures à suivre en cas </w:t>
      </w:r>
      <w:r w:rsidR="00900B74">
        <w:rPr>
          <w:lang w:val="fr-FR"/>
        </w:rPr>
        <w:t xml:space="preserve">de défaillance de la </w:t>
      </w:r>
      <w:proofErr w:type="gramStart"/>
      <w:r w:rsidR="00900B74">
        <w:rPr>
          <w:lang w:val="fr-FR"/>
        </w:rPr>
        <w:t>régulation</w:t>
      </w:r>
      <w:r w:rsidRPr="00F26F19">
        <w:rPr>
          <w:lang w:val="fr-FR"/>
        </w:rPr>
        <w:t>;</w:t>
      </w:r>
      <w:proofErr w:type="gramEnd"/>
    </w:p>
    <w:p w:rsidR="001474C1" w:rsidRPr="00F26F19" w:rsidRDefault="001474C1" w:rsidP="001474C1">
      <w:pPr>
        <w:pStyle w:val="SingleTxtG"/>
        <w:ind w:left="2268"/>
        <w:rPr>
          <w:spacing w:val="-2"/>
          <w:lang w:val="fr-FR"/>
        </w:rPr>
      </w:pPr>
      <w:r w:rsidRPr="00F26F19">
        <w:rPr>
          <w:lang w:val="fr-FR"/>
        </w:rPr>
        <w:t>d)</w:t>
      </w:r>
      <w:r w:rsidRPr="00F26F19">
        <w:rPr>
          <w:lang w:val="fr-FR"/>
        </w:rPr>
        <w:tab/>
        <w:t xml:space="preserve">Une </w:t>
      </w:r>
      <w:r w:rsidRPr="00F26F19">
        <w:rPr>
          <w:spacing w:val="-2"/>
          <w:lang w:val="fr-FR"/>
        </w:rPr>
        <w:t xml:space="preserve">surveillance régulière des températures de </w:t>
      </w:r>
      <w:proofErr w:type="gramStart"/>
      <w:r w:rsidRPr="00F26F19">
        <w:rPr>
          <w:spacing w:val="-2"/>
          <w:lang w:val="fr-FR"/>
        </w:rPr>
        <w:t>service;</w:t>
      </w:r>
      <w:proofErr w:type="gramEnd"/>
      <w:r w:rsidRPr="00F26F19">
        <w:rPr>
          <w:spacing w:val="-2"/>
          <w:lang w:val="fr-FR"/>
        </w:rPr>
        <w:t xml:space="preserve"> et</w:t>
      </w:r>
    </w:p>
    <w:p w:rsidR="001474C1" w:rsidRPr="00F26F19" w:rsidRDefault="001474C1" w:rsidP="001474C1">
      <w:pPr>
        <w:pStyle w:val="SingleTxtG"/>
        <w:ind w:left="2268"/>
        <w:rPr>
          <w:lang w:val="fr-FR"/>
        </w:rPr>
      </w:pPr>
      <w:r w:rsidRPr="00F26F19">
        <w:rPr>
          <w:lang w:val="fr-FR"/>
        </w:rPr>
        <w:t>e)</w:t>
      </w:r>
      <w:r w:rsidRPr="00F26F19">
        <w:rPr>
          <w:lang w:val="fr-FR"/>
        </w:rPr>
        <w:tab/>
        <w:t>La fourniture d'un système de réfrigération de secours ou de pièces de rechange.</w:t>
      </w:r>
    </w:p>
    <w:p w:rsidR="001474C1" w:rsidRPr="00F26F19" w:rsidRDefault="001474C1" w:rsidP="001474C1">
      <w:pPr>
        <w:pStyle w:val="SingleTxtG"/>
        <w:rPr>
          <w:lang w:val="fr-FR"/>
        </w:rPr>
      </w:pPr>
      <w:r w:rsidRPr="00F26F19">
        <w:rPr>
          <w:lang w:val="fr-FR"/>
        </w:rPr>
        <w:t>7.1.7.4.2</w:t>
      </w:r>
      <w:r w:rsidRPr="00F26F19">
        <w:rPr>
          <w:lang w:val="fr-FR"/>
        </w:rPr>
        <w:tab/>
        <w:t xml:space="preserve">Tous les dispositifs de commande et capteurs de température dans le système de réfrigération doivent être facilement accessibles, et toutes les connexions électriques doivent être protégées contre les intempéries. La température de l’espace d’air à l’intérieur </w:t>
      </w:r>
      <w:r w:rsidRPr="00F26F19">
        <w:rPr>
          <w:lang w:val="fr-FR"/>
        </w:rPr>
        <w:lastRenderedPageBreak/>
        <w:t>de l’engin de transport doit être mesurée par deux capteurs indépendants et les données doivent être enregistrées de manière à ce que tout changement de température soit facilement discernable. La température doit être contrôlée à intervalles de quatre à six heures et consignée. Lors du transport de matières ayant une température de régulation inférieure à + 25 °C, l’engin de transport doit être équipé de dispositifs d'alarme optique et sonore, alimentés indépendamment du système de réfrigération, réglés pour fonctionner à une température égale ou inférieure à la température de régulation.</w:t>
      </w:r>
    </w:p>
    <w:p w:rsidR="001474C1" w:rsidRPr="00F26F19" w:rsidRDefault="001474C1" w:rsidP="001474C1">
      <w:pPr>
        <w:pStyle w:val="SingleTxtG"/>
        <w:rPr>
          <w:lang w:val="fr-FR"/>
        </w:rPr>
      </w:pPr>
      <w:r w:rsidRPr="00F26F19">
        <w:rPr>
          <w:lang w:val="fr-FR"/>
        </w:rPr>
        <w:t>7.1.7.4.3</w:t>
      </w:r>
      <w:r w:rsidRPr="00F26F19">
        <w:rPr>
          <w:lang w:val="fr-FR"/>
        </w:rPr>
        <w:tab/>
        <w:t>Si la température de régulation est dépassée au cours du transport, une procédure d'alerte, comprenant la réparation éventuelle du dispositif frigorifique ou le renforcement de la capacité de refroidissement (par exemple par adjonction de matières réfrigérantes liquides ou solides), doit être déclenchée. On doit en outre contrôler fréquemment la température et se préparer à prendre des mesures d’urgence. Si la température critique est atteinte, les mesures d'urgence doivent être engagées.</w:t>
      </w:r>
    </w:p>
    <w:p w:rsidR="001474C1" w:rsidRPr="00F26F19" w:rsidRDefault="001474C1" w:rsidP="001474C1">
      <w:pPr>
        <w:pStyle w:val="SingleTxtG"/>
        <w:rPr>
          <w:lang w:val="fr-FR"/>
        </w:rPr>
      </w:pPr>
      <w:r w:rsidRPr="00F26F19">
        <w:rPr>
          <w:lang w:val="fr-FR"/>
        </w:rPr>
        <w:t>7.1.7.4.4</w:t>
      </w:r>
      <w:r w:rsidRPr="00F26F19">
        <w:rPr>
          <w:lang w:val="fr-FR"/>
        </w:rPr>
        <w:tab/>
        <w:t xml:space="preserve">Le moyen de régulation de température choisi pour le transport dépend d’un certain nombre de facteurs, tels que : </w:t>
      </w:r>
    </w:p>
    <w:p w:rsidR="001474C1" w:rsidRPr="00F26F19" w:rsidRDefault="001474C1" w:rsidP="008F5FDB">
      <w:pPr>
        <w:pStyle w:val="SingleTxtG"/>
        <w:ind w:left="2835" w:hanging="567"/>
        <w:rPr>
          <w:lang w:val="fr-FR"/>
        </w:rPr>
      </w:pPr>
      <w:r w:rsidRPr="00F26F19">
        <w:rPr>
          <w:lang w:val="fr-FR"/>
        </w:rPr>
        <w:t>a)</w:t>
      </w:r>
      <w:r w:rsidRPr="00F26F19">
        <w:rPr>
          <w:lang w:val="fr-FR"/>
        </w:rPr>
        <w:tab/>
        <w:t>La ou les températures de régulation de l</w:t>
      </w:r>
      <w:r w:rsidR="00900B74">
        <w:rPr>
          <w:lang w:val="fr-FR"/>
        </w:rPr>
        <w:t xml:space="preserve">a ou des matières à </w:t>
      </w:r>
      <w:proofErr w:type="gramStart"/>
      <w:r w:rsidR="00900B74">
        <w:rPr>
          <w:lang w:val="fr-FR"/>
        </w:rPr>
        <w:t>transporter</w:t>
      </w:r>
      <w:r w:rsidRPr="00F26F19">
        <w:rPr>
          <w:lang w:val="fr-FR"/>
        </w:rPr>
        <w:t>;</w:t>
      </w:r>
      <w:proofErr w:type="gramEnd"/>
    </w:p>
    <w:p w:rsidR="001474C1" w:rsidRPr="00F26F19" w:rsidRDefault="001474C1" w:rsidP="008F5FDB">
      <w:pPr>
        <w:pStyle w:val="SingleTxtG"/>
        <w:ind w:left="2835" w:hanging="567"/>
        <w:rPr>
          <w:lang w:val="fr-FR"/>
        </w:rPr>
      </w:pPr>
      <w:r w:rsidRPr="00F26F19">
        <w:rPr>
          <w:lang w:val="fr-FR"/>
        </w:rPr>
        <w:t>b)</w:t>
      </w:r>
      <w:r w:rsidRPr="00F26F19">
        <w:rPr>
          <w:lang w:val="fr-FR"/>
        </w:rPr>
        <w:tab/>
        <w:t>L’écart entre la température de régulation et les conditions de</w:t>
      </w:r>
      <w:r w:rsidR="00900B74">
        <w:rPr>
          <w:lang w:val="fr-FR"/>
        </w:rPr>
        <w:t xml:space="preserve"> températures ambiantes </w:t>
      </w:r>
      <w:proofErr w:type="gramStart"/>
      <w:r w:rsidR="00900B74">
        <w:rPr>
          <w:lang w:val="fr-FR"/>
        </w:rPr>
        <w:t>prévues</w:t>
      </w:r>
      <w:r w:rsidRPr="00F26F19">
        <w:rPr>
          <w:lang w:val="fr-FR"/>
        </w:rPr>
        <w:t>;</w:t>
      </w:r>
      <w:proofErr w:type="gramEnd"/>
    </w:p>
    <w:p w:rsidR="001474C1" w:rsidRPr="00F26F19" w:rsidRDefault="001474C1" w:rsidP="008F5FDB">
      <w:pPr>
        <w:pStyle w:val="SingleTxtG"/>
        <w:ind w:left="2835" w:hanging="567"/>
        <w:rPr>
          <w:lang w:val="fr-FR"/>
        </w:rPr>
      </w:pPr>
      <w:r w:rsidRPr="00F26F19">
        <w:rPr>
          <w:lang w:val="fr-FR"/>
        </w:rPr>
        <w:t>c)</w:t>
      </w:r>
      <w:r w:rsidRPr="00F26F19">
        <w:rPr>
          <w:lang w:val="fr-FR"/>
        </w:rPr>
        <w:tab/>
        <w:t xml:space="preserve">L’efficacité de l’isolation </w:t>
      </w:r>
      <w:proofErr w:type="gramStart"/>
      <w:r w:rsidRPr="00F26F19">
        <w:rPr>
          <w:lang w:val="fr-FR"/>
        </w:rPr>
        <w:t>thermiqu</w:t>
      </w:r>
      <w:r w:rsidR="00900B74">
        <w:rPr>
          <w:lang w:val="fr-FR"/>
        </w:rPr>
        <w:t>e</w:t>
      </w:r>
      <w:r w:rsidRPr="00F26F19">
        <w:rPr>
          <w:lang w:val="fr-FR"/>
        </w:rPr>
        <w:t>;</w:t>
      </w:r>
      <w:proofErr w:type="gramEnd"/>
    </w:p>
    <w:p w:rsidR="001474C1" w:rsidRPr="00F26F19" w:rsidRDefault="001474C1" w:rsidP="008F5FDB">
      <w:pPr>
        <w:pStyle w:val="SingleTxtG"/>
        <w:ind w:left="2835" w:hanging="567"/>
        <w:rPr>
          <w:lang w:val="fr-FR"/>
        </w:rPr>
      </w:pPr>
      <w:r w:rsidRPr="00F26F19">
        <w:rPr>
          <w:lang w:val="fr-FR"/>
        </w:rPr>
        <w:t>d)</w:t>
      </w:r>
      <w:r w:rsidRPr="00F26F19">
        <w:rPr>
          <w:lang w:val="fr-FR"/>
        </w:rPr>
        <w:tab/>
        <w:t xml:space="preserve">La durée du </w:t>
      </w:r>
      <w:proofErr w:type="gramStart"/>
      <w:r w:rsidRPr="00F26F19">
        <w:rPr>
          <w:lang w:val="fr-FR"/>
        </w:rPr>
        <w:t>transport;</w:t>
      </w:r>
      <w:proofErr w:type="gramEnd"/>
      <w:r w:rsidRPr="00F26F19">
        <w:rPr>
          <w:lang w:val="fr-FR"/>
        </w:rPr>
        <w:t xml:space="preserve"> et</w:t>
      </w:r>
    </w:p>
    <w:p w:rsidR="001474C1" w:rsidRPr="00F26F19" w:rsidRDefault="001474C1" w:rsidP="001474C1">
      <w:pPr>
        <w:pStyle w:val="SingleTxtG"/>
        <w:ind w:left="2268"/>
        <w:rPr>
          <w:lang w:val="fr-FR"/>
        </w:rPr>
      </w:pPr>
      <w:r w:rsidRPr="00F26F19">
        <w:rPr>
          <w:lang w:val="fr-FR"/>
        </w:rPr>
        <w:t>e)</w:t>
      </w:r>
      <w:r w:rsidRPr="00F26F19">
        <w:rPr>
          <w:lang w:val="fr-FR"/>
        </w:rPr>
        <w:tab/>
        <w:t>La marge de sécurité prévue pour les retards.</w:t>
      </w:r>
    </w:p>
    <w:p w:rsidR="001474C1" w:rsidRPr="00F26F19" w:rsidRDefault="001474C1" w:rsidP="001474C1">
      <w:pPr>
        <w:pStyle w:val="SingleTxtG"/>
        <w:rPr>
          <w:lang w:val="fr-FR"/>
        </w:rPr>
      </w:pPr>
      <w:r w:rsidRPr="00F26F19">
        <w:rPr>
          <w:lang w:val="fr-FR"/>
        </w:rPr>
        <w:t>7.1.7.4.5</w:t>
      </w:r>
      <w:r w:rsidRPr="00F26F19">
        <w:rPr>
          <w:lang w:val="fr-FR"/>
        </w:rPr>
        <w:tab/>
        <w:t xml:space="preserve">Des méthodes appropriées pour empêcher le dépassement de la température de régulation sont, par ordre croissant </w:t>
      </w:r>
      <w:proofErr w:type="gramStart"/>
      <w:r w:rsidRPr="00F26F19">
        <w:rPr>
          <w:lang w:val="fr-FR"/>
        </w:rPr>
        <w:t>d'efficacité:</w:t>
      </w:r>
      <w:proofErr w:type="gramEnd"/>
    </w:p>
    <w:p w:rsidR="001474C1" w:rsidRPr="00F26F19" w:rsidRDefault="001474C1" w:rsidP="008F5FDB">
      <w:pPr>
        <w:pStyle w:val="SingleTxtG"/>
        <w:ind w:left="2835" w:hanging="567"/>
        <w:rPr>
          <w:lang w:val="fr-FR"/>
        </w:rPr>
      </w:pPr>
      <w:r w:rsidRPr="00F26F19">
        <w:rPr>
          <w:lang w:val="fr-FR"/>
        </w:rPr>
        <w:t>a)</w:t>
      </w:r>
      <w:r w:rsidRPr="00F26F19">
        <w:rPr>
          <w:lang w:val="fr-FR"/>
        </w:rPr>
        <w:tab/>
        <w:t xml:space="preserve">Isolation thermique, à condition que la température initiale de la ou des matières à transporter soit suffisamment basse par rapport à la température de </w:t>
      </w:r>
      <w:proofErr w:type="gramStart"/>
      <w:r w:rsidRPr="00F26F19">
        <w:rPr>
          <w:lang w:val="fr-FR"/>
        </w:rPr>
        <w:t>régulation;</w:t>
      </w:r>
      <w:proofErr w:type="gramEnd"/>
    </w:p>
    <w:p w:rsidR="001474C1" w:rsidRPr="00F26F19" w:rsidRDefault="001474C1" w:rsidP="008F5FDB">
      <w:pPr>
        <w:pStyle w:val="SingleTxtG"/>
        <w:ind w:left="2835" w:hanging="567"/>
        <w:rPr>
          <w:lang w:val="fr-FR"/>
        </w:rPr>
      </w:pPr>
      <w:r w:rsidRPr="00F26F19">
        <w:rPr>
          <w:lang w:val="fr-FR"/>
        </w:rPr>
        <w:t>b)</w:t>
      </w:r>
      <w:r w:rsidRPr="00F26F19">
        <w:rPr>
          <w:lang w:val="fr-FR"/>
        </w:rPr>
        <w:tab/>
        <w:t xml:space="preserve">Isolation thermique avec système de refroidissement, à condition </w:t>
      </w:r>
      <w:proofErr w:type="gramStart"/>
      <w:r w:rsidRPr="00F26F19">
        <w:rPr>
          <w:lang w:val="fr-FR"/>
        </w:rPr>
        <w:t>que:</w:t>
      </w:r>
      <w:proofErr w:type="gramEnd"/>
    </w:p>
    <w:p w:rsidR="001474C1" w:rsidRPr="00F26F19" w:rsidRDefault="001474C1" w:rsidP="008F5FDB">
      <w:pPr>
        <w:pStyle w:val="SingleTxtG"/>
        <w:ind w:left="3402" w:hanging="567"/>
        <w:rPr>
          <w:lang w:val="fr-FR"/>
        </w:rPr>
      </w:pPr>
      <w:r w:rsidRPr="00F26F19">
        <w:rPr>
          <w:lang w:val="fr-FR"/>
        </w:rPr>
        <w:t>i)</w:t>
      </w:r>
      <w:r w:rsidRPr="00F26F19">
        <w:rPr>
          <w:lang w:val="fr-FR"/>
        </w:rPr>
        <w:tab/>
        <w:t>une quantité suffisante de réfrigérant non inflammable (par exemple azote liquide ou neige carbonique) soit transportée, en tenant compte d’une marge raisonnable pour les retards</w:t>
      </w:r>
      <w:r>
        <w:rPr>
          <w:lang w:val="fr-FR"/>
        </w:rPr>
        <w:t>,</w:t>
      </w:r>
      <w:r w:rsidRPr="00F26F19">
        <w:rPr>
          <w:lang w:val="fr-FR"/>
        </w:rPr>
        <w:t xml:space="preserve"> à moins qu'un moyen de ravitaillement soit </w:t>
      </w:r>
      <w:proofErr w:type="gramStart"/>
      <w:r w:rsidRPr="00F26F19">
        <w:rPr>
          <w:lang w:val="fr-FR"/>
        </w:rPr>
        <w:t>assuré;</w:t>
      </w:r>
      <w:proofErr w:type="gramEnd"/>
    </w:p>
    <w:p w:rsidR="001474C1" w:rsidRPr="00F26F19" w:rsidRDefault="001474C1" w:rsidP="008F5FDB">
      <w:pPr>
        <w:pStyle w:val="SingleTxtG"/>
        <w:ind w:left="3402" w:hanging="567"/>
        <w:rPr>
          <w:lang w:val="fr-FR"/>
        </w:rPr>
      </w:pPr>
      <w:r w:rsidRPr="00F26F19">
        <w:rPr>
          <w:lang w:val="fr-FR"/>
        </w:rPr>
        <w:t>ii)</w:t>
      </w:r>
      <w:r w:rsidRPr="00F26F19">
        <w:rPr>
          <w:lang w:val="fr-FR"/>
        </w:rPr>
        <w:tab/>
        <w:t xml:space="preserve">ni l'oxygène liquide ni l'air liquide ne soient utilisés comme </w:t>
      </w:r>
      <w:proofErr w:type="gramStart"/>
      <w:r w:rsidRPr="00F26F19">
        <w:rPr>
          <w:lang w:val="fr-FR"/>
        </w:rPr>
        <w:t>réfrigérants;</w:t>
      </w:r>
      <w:proofErr w:type="gramEnd"/>
    </w:p>
    <w:p w:rsidR="001474C1" w:rsidRPr="00F26F19" w:rsidRDefault="001474C1" w:rsidP="008F5FDB">
      <w:pPr>
        <w:pStyle w:val="SingleTxtG"/>
        <w:ind w:left="3402" w:hanging="567"/>
        <w:rPr>
          <w:lang w:val="fr-FR"/>
        </w:rPr>
      </w:pPr>
      <w:r w:rsidRPr="00F26F19">
        <w:rPr>
          <w:lang w:val="fr-FR"/>
        </w:rPr>
        <w:t>iii)</w:t>
      </w:r>
      <w:r w:rsidRPr="00F26F19">
        <w:rPr>
          <w:lang w:val="fr-FR"/>
        </w:rPr>
        <w:tab/>
        <w:t xml:space="preserve">le système de refroidissement ait un effet uniforme, même lorsque la plupart du réfrigérant est </w:t>
      </w:r>
      <w:proofErr w:type="gramStart"/>
      <w:r w:rsidRPr="00F26F19">
        <w:rPr>
          <w:lang w:val="fr-FR"/>
        </w:rPr>
        <w:t>épuisée;</w:t>
      </w:r>
      <w:proofErr w:type="gramEnd"/>
      <w:r w:rsidRPr="00F26F19">
        <w:rPr>
          <w:lang w:val="fr-FR"/>
        </w:rPr>
        <w:t xml:space="preserve"> et</w:t>
      </w:r>
    </w:p>
    <w:p w:rsidR="001474C1" w:rsidRPr="00F26F19" w:rsidRDefault="001474C1" w:rsidP="008F5FDB">
      <w:pPr>
        <w:pStyle w:val="SingleTxtG"/>
        <w:ind w:left="3402" w:hanging="567"/>
        <w:rPr>
          <w:lang w:val="fr-FR"/>
        </w:rPr>
      </w:pPr>
      <w:r w:rsidRPr="00F26F19">
        <w:rPr>
          <w:lang w:val="fr-FR"/>
        </w:rPr>
        <w:t>iv)</w:t>
      </w:r>
      <w:r w:rsidRPr="00F26F19">
        <w:rPr>
          <w:lang w:val="fr-FR"/>
        </w:rPr>
        <w:tab/>
        <w:t xml:space="preserve">la nécessité de ventiler l’engin de transport avant d'entrer soit clairement indiquée par un avis inscrit sur la ou les portes de </w:t>
      </w:r>
      <w:proofErr w:type="gramStart"/>
      <w:r w:rsidRPr="00F26F19">
        <w:rPr>
          <w:lang w:val="fr-FR"/>
        </w:rPr>
        <w:t>l’engin;</w:t>
      </w:r>
      <w:proofErr w:type="gramEnd"/>
    </w:p>
    <w:p w:rsidR="001474C1" w:rsidRPr="00F26F19" w:rsidRDefault="001474C1" w:rsidP="008F5FDB">
      <w:pPr>
        <w:pStyle w:val="SingleTxtG"/>
        <w:ind w:left="2835" w:hanging="567"/>
        <w:rPr>
          <w:lang w:val="fr-FR"/>
        </w:rPr>
      </w:pPr>
      <w:r w:rsidRPr="00F26F19">
        <w:rPr>
          <w:lang w:val="fr-FR"/>
        </w:rPr>
        <w:t>c)</w:t>
      </w:r>
      <w:r w:rsidRPr="00F26F19">
        <w:rPr>
          <w:lang w:val="fr-FR"/>
        </w:rPr>
        <w:tab/>
        <w:t xml:space="preserve">Isolation thermique de l'unité et </w:t>
      </w:r>
      <w:r>
        <w:rPr>
          <w:lang w:val="fr-FR"/>
        </w:rPr>
        <w:t>r</w:t>
      </w:r>
      <w:r w:rsidRPr="00F26F19">
        <w:rPr>
          <w:lang w:val="fr-FR"/>
        </w:rPr>
        <w:t xml:space="preserve">éfrigération mécanique simple, à condition que, pour les matières à transporter ayant un point d'éclair inférieur à la température critique augmentée de 5 °C, des raccords électriques à protection contre l'explosion, </w:t>
      </w:r>
      <w:proofErr w:type="spellStart"/>
      <w:r w:rsidRPr="00F26F19">
        <w:rPr>
          <w:lang w:val="fr-FR"/>
        </w:rPr>
        <w:t>EEx</w:t>
      </w:r>
      <w:proofErr w:type="spellEnd"/>
      <w:r w:rsidRPr="00F26F19">
        <w:rPr>
          <w:lang w:val="fr-FR"/>
        </w:rPr>
        <w:t xml:space="preserve"> IIB T3,</w:t>
      </w:r>
      <w:r>
        <w:rPr>
          <w:lang w:val="fr-FR"/>
        </w:rPr>
        <w:t xml:space="preserve"> </w:t>
      </w:r>
      <w:r w:rsidRPr="00F26F19">
        <w:rPr>
          <w:lang w:val="fr-FR"/>
        </w:rPr>
        <w:t xml:space="preserve">soient utilisés dans le compartiment de réfrigération pour éviter le risque d'inflammation des vapeurs dégagées par les </w:t>
      </w:r>
      <w:proofErr w:type="gramStart"/>
      <w:r w:rsidRPr="00F26F19">
        <w:rPr>
          <w:lang w:val="fr-FR"/>
        </w:rPr>
        <w:t>matières;</w:t>
      </w:r>
      <w:proofErr w:type="gramEnd"/>
      <w:r w:rsidRPr="00F26F19">
        <w:rPr>
          <w:lang w:val="fr-FR"/>
        </w:rPr>
        <w:t xml:space="preserve"> </w:t>
      </w:r>
    </w:p>
    <w:p w:rsidR="001474C1" w:rsidRPr="00F26F19" w:rsidRDefault="001474C1" w:rsidP="008F5FDB">
      <w:pPr>
        <w:pStyle w:val="SingleTxtG"/>
        <w:ind w:left="2835" w:hanging="567"/>
        <w:rPr>
          <w:lang w:val="fr-FR"/>
        </w:rPr>
      </w:pPr>
      <w:r w:rsidRPr="00F26F19">
        <w:rPr>
          <w:lang w:val="fr-FR"/>
        </w:rPr>
        <w:lastRenderedPageBreak/>
        <w:t>d)</w:t>
      </w:r>
      <w:r w:rsidRPr="00F26F19">
        <w:rPr>
          <w:lang w:val="fr-FR"/>
        </w:rPr>
        <w:tab/>
        <w:t xml:space="preserve">Isolation thermique avec </w:t>
      </w:r>
      <w:r>
        <w:rPr>
          <w:lang w:val="fr-FR"/>
        </w:rPr>
        <w:t>s</w:t>
      </w:r>
      <w:r w:rsidRPr="00F26F19">
        <w:rPr>
          <w:lang w:val="fr-FR"/>
        </w:rPr>
        <w:t xml:space="preserve">ystème de réfrigération mécanique combiné avec système de refroidissement, à condition </w:t>
      </w:r>
      <w:proofErr w:type="gramStart"/>
      <w:r w:rsidRPr="00F26F19">
        <w:rPr>
          <w:lang w:val="fr-FR"/>
        </w:rPr>
        <w:t>que:</w:t>
      </w:r>
      <w:proofErr w:type="gramEnd"/>
    </w:p>
    <w:p w:rsidR="001474C1" w:rsidRPr="00F26F19" w:rsidRDefault="001474C1" w:rsidP="001474C1">
      <w:pPr>
        <w:pStyle w:val="SingleTxtG"/>
        <w:ind w:left="2835"/>
        <w:rPr>
          <w:lang w:val="fr-FR"/>
        </w:rPr>
      </w:pPr>
      <w:r w:rsidRPr="00F26F19">
        <w:rPr>
          <w:lang w:val="fr-FR"/>
        </w:rPr>
        <w:t>i)</w:t>
      </w:r>
      <w:r w:rsidRPr="00F26F19">
        <w:rPr>
          <w:lang w:val="fr-FR"/>
        </w:rPr>
        <w:tab/>
        <w:t xml:space="preserve">les deux systèmes soient indépendants l'un de </w:t>
      </w:r>
      <w:proofErr w:type="gramStart"/>
      <w:r w:rsidRPr="00F26F19">
        <w:rPr>
          <w:lang w:val="fr-FR"/>
        </w:rPr>
        <w:t>l'autre;</w:t>
      </w:r>
      <w:proofErr w:type="gramEnd"/>
      <w:r w:rsidRPr="00F26F19">
        <w:rPr>
          <w:lang w:val="fr-FR"/>
        </w:rPr>
        <w:t xml:space="preserve"> et</w:t>
      </w:r>
    </w:p>
    <w:p w:rsidR="001474C1" w:rsidRPr="00F26F19" w:rsidRDefault="001474C1" w:rsidP="001474C1">
      <w:pPr>
        <w:pStyle w:val="SingleTxtG"/>
        <w:ind w:left="2835"/>
        <w:rPr>
          <w:lang w:val="fr-FR"/>
        </w:rPr>
      </w:pPr>
      <w:r w:rsidRPr="00F26F19">
        <w:rPr>
          <w:lang w:val="fr-FR"/>
        </w:rPr>
        <w:t>ii)</w:t>
      </w:r>
      <w:r w:rsidRPr="00F26F19">
        <w:rPr>
          <w:lang w:val="fr-FR"/>
        </w:rPr>
        <w:tab/>
        <w:t xml:space="preserve">les dispositions des alinéas b) et c) soient </w:t>
      </w:r>
      <w:proofErr w:type="gramStart"/>
      <w:r w:rsidRPr="00F26F19">
        <w:rPr>
          <w:lang w:val="fr-FR"/>
        </w:rPr>
        <w:t>satisfaites;</w:t>
      </w:r>
      <w:proofErr w:type="gramEnd"/>
    </w:p>
    <w:p w:rsidR="001474C1" w:rsidRPr="00F26F19" w:rsidRDefault="001474C1" w:rsidP="008F5FDB">
      <w:pPr>
        <w:pStyle w:val="SingleTxtG"/>
        <w:ind w:left="2835" w:hanging="567"/>
        <w:rPr>
          <w:lang w:val="fr-FR"/>
        </w:rPr>
      </w:pPr>
      <w:r w:rsidRPr="00F26F19">
        <w:rPr>
          <w:lang w:val="fr-FR"/>
        </w:rPr>
        <w:t>e)</w:t>
      </w:r>
      <w:r w:rsidRPr="00F26F19">
        <w:rPr>
          <w:lang w:val="fr-FR"/>
        </w:rPr>
        <w:tab/>
      </w:r>
      <w:r w:rsidRPr="0081173C">
        <w:rPr>
          <w:lang w:val="fr-FR"/>
        </w:rPr>
        <w:t>Isolation thermique avec système</w:t>
      </w:r>
      <w:r w:rsidRPr="00F26F19">
        <w:rPr>
          <w:lang w:val="fr-FR"/>
        </w:rPr>
        <w:t xml:space="preserve"> de réfrigération mécanique double, à condition </w:t>
      </w:r>
      <w:proofErr w:type="gramStart"/>
      <w:r w:rsidRPr="00F26F19">
        <w:rPr>
          <w:lang w:val="fr-FR"/>
        </w:rPr>
        <w:t>que:</w:t>
      </w:r>
      <w:proofErr w:type="gramEnd"/>
    </w:p>
    <w:p w:rsidR="001474C1" w:rsidRPr="00F26F19" w:rsidRDefault="001474C1" w:rsidP="008F5FDB">
      <w:pPr>
        <w:pStyle w:val="SingleTxtG"/>
        <w:ind w:left="3402" w:hanging="567"/>
        <w:rPr>
          <w:lang w:val="fr-FR"/>
        </w:rPr>
      </w:pPr>
      <w:r w:rsidRPr="00F26F19">
        <w:rPr>
          <w:lang w:val="fr-FR"/>
        </w:rPr>
        <w:t>i)</w:t>
      </w:r>
      <w:r w:rsidRPr="00F26F19">
        <w:rPr>
          <w:lang w:val="fr-FR"/>
        </w:rPr>
        <w:tab/>
        <w:t>en dehors du dispositif général d'alimentation, les deux systèm</w:t>
      </w:r>
      <w:bookmarkStart w:id="0" w:name="_GoBack"/>
      <w:r w:rsidRPr="00F26F19">
        <w:rPr>
          <w:lang w:val="fr-FR"/>
        </w:rPr>
        <w:t xml:space="preserve">es soient indépendants l'un de </w:t>
      </w:r>
      <w:proofErr w:type="gramStart"/>
      <w:r w:rsidRPr="00F26F19">
        <w:rPr>
          <w:lang w:val="fr-FR"/>
        </w:rPr>
        <w:t>l'autre;</w:t>
      </w:r>
      <w:proofErr w:type="gramEnd"/>
    </w:p>
    <w:p w:rsidR="001474C1" w:rsidRPr="00F26F19" w:rsidRDefault="001474C1" w:rsidP="008F5FDB">
      <w:pPr>
        <w:pStyle w:val="SingleTxtG"/>
        <w:ind w:left="3402" w:hanging="567"/>
        <w:rPr>
          <w:lang w:val="fr-FR"/>
        </w:rPr>
      </w:pPr>
      <w:r w:rsidRPr="00F26F19">
        <w:rPr>
          <w:lang w:val="fr-FR"/>
        </w:rPr>
        <w:t>ii)</w:t>
      </w:r>
      <w:r w:rsidRPr="00F26F19">
        <w:rPr>
          <w:lang w:val="fr-FR"/>
        </w:rPr>
        <w:tab/>
        <w:t xml:space="preserve">chaque système puisse à lui seul maintenir une régulation suffisante de la </w:t>
      </w:r>
      <w:proofErr w:type="gramStart"/>
      <w:r w:rsidRPr="00F26F19">
        <w:rPr>
          <w:lang w:val="fr-FR"/>
        </w:rPr>
        <w:t>température;</w:t>
      </w:r>
      <w:proofErr w:type="gramEnd"/>
      <w:r w:rsidRPr="00F26F19">
        <w:rPr>
          <w:lang w:val="fr-FR"/>
        </w:rPr>
        <w:t xml:space="preserve"> et</w:t>
      </w:r>
    </w:p>
    <w:p w:rsidR="001474C1" w:rsidRPr="00F26F19" w:rsidRDefault="001474C1" w:rsidP="008F5FDB">
      <w:pPr>
        <w:pStyle w:val="SingleTxtG"/>
        <w:ind w:left="3402" w:hanging="567"/>
        <w:rPr>
          <w:i/>
          <w:lang w:val="fr-FR"/>
        </w:rPr>
      </w:pPr>
      <w:r w:rsidRPr="00F26F19">
        <w:rPr>
          <w:lang w:val="fr-FR"/>
        </w:rPr>
        <w:t>iii)</w:t>
      </w:r>
      <w:r w:rsidRPr="00F26F19">
        <w:rPr>
          <w:lang w:val="fr-FR"/>
        </w:rPr>
        <w:tab/>
      </w:r>
      <w:r w:rsidRPr="00F26F19">
        <w:rPr>
          <w:bCs/>
          <w:lang w:val="fr-FR"/>
        </w:rPr>
        <w:t xml:space="preserve">pour les matières à transporter ayant un point d'éclair inférieur à la température critique augmentée de 5 °C des raccords électriques à protection </w:t>
      </w:r>
      <w:bookmarkEnd w:id="0"/>
      <w:r w:rsidRPr="00F26F19">
        <w:rPr>
          <w:bCs/>
          <w:lang w:val="fr-FR"/>
        </w:rPr>
        <w:t>contre l'explosion</w:t>
      </w:r>
      <w:r w:rsidRPr="00F26F19">
        <w:rPr>
          <w:lang w:val="fr-FR"/>
        </w:rPr>
        <w:t xml:space="preserve">, </w:t>
      </w:r>
      <w:proofErr w:type="spellStart"/>
      <w:r w:rsidRPr="00F26F19">
        <w:rPr>
          <w:lang w:val="fr-FR"/>
        </w:rPr>
        <w:t>EEx</w:t>
      </w:r>
      <w:proofErr w:type="spellEnd"/>
      <w:r w:rsidRPr="00F26F19">
        <w:rPr>
          <w:lang w:val="fr-FR"/>
        </w:rPr>
        <w:t xml:space="preserve"> IIB T3, </w:t>
      </w:r>
      <w:r w:rsidRPr="00F26F19">
        <w:rPr>
          <w:bCs/>
          <w:lang w:val="fr-FR"/>
        </w:rPr>
        <w:t>soient utilisés dans le compartiment de réfrigération pour éviter le risque d'inflammation des vapeurs</w:t>
      </w:r>
      <w:r>
        <w:rPr>
          <w:lang w:val="fr-FR"/>
        </w:rPr>
        <w:t xml:space="preserve"> </w:t>
      </w:r>
      <w:r w:rsidRPr="00F26F19">
        <w:rPr>
          <w:lang w:val="fr-FR"/>
        </w:rPr>
        <w:t>dégagées par les matières</w:t>
      </w:r>
      <w:r w:rsidRPr="00F26F19">
        <w:rPr>
          <w:bCs/>
          <w:lang w:val="fr-FR"/>
        </w:rPr>
        <w:t>.</w:t>
      </w:r>
    </w:p>
    <w:p w:rsidR="001474C1" w:rsidRPr="00F26F19" w:rsidRDefault="001474C1" w:rsidP="001474C1">
      <w:pPr>
        <w:pStyle w:val="SingleTxtG"/>
        <w:rPr>
          <w:lang w:val="fr-FR"/>
        </w:rPr>
      </w:pPr>
      <w:r w:rsidRPr="00F26F19">
        <w:rPr>
          <w:lang w:val="fr-FR"/>
        </w:rPr>
        <w:t>7.1.7.4.6</w:t>
      </w:r>
      <w:r w:rsidRPr="00F26F19">
        <w:rPr>
          <w:lang w:val="fr-FR"/>
        </w:rPr>
        <w:tab/>
        <w:t xml:space="preserve">Les méthodes décrites aux 7.1.7.4.5 d) et e) peuvent être utilisées pour tous les peroxydes organiques, matières </w:t>
      </w:r>
      <w:proofErr w:type="spellStart"/>
      <w:r w:rsidRPr="00F26F19">
        <w:rPr>
          <w:lang w:val="fr-FR"/>
        </w:rPr>
        <w:t>autoréactives</w:t>
      </w:r>
      <w:proofErr w:type="spellEnd"/>
      <w:r w:rsidRPr="00F26F19">
        <w:rPr>
          <w:lang w:val="fr-FR"/>
        </w:rPr>
        <w:t xml:space="preserve"> et matières qui polymérisent.</w:t>
      </w:r>
    </w:p>
    <w:p w:rsidR="001474C1" w:rsidRPr="00F26F19" w:rsidRDefault="001474C1" w:rsidP="001474C1">
      <w:pPr>
        <w:pStyle w:val="SingleTxtG"/>
        <w:ind w:firstLine="1134"/>
        <w:rPr>
          <w:lang w:val="fr-FR"/>
        </w:rPr>
      </w:pPr>
      <w:r w:rsidRPr="00F26F19">
        <w:rPr>
          <w:lang w:val="fr-FR"/>
        </w:rPr>
        <w:t xml:space="preserve">La méthode décrite au 7.1.7.4.5 c) peut être utilisée pour les peroxydes organiques et matières </w:t>
      </w:r>
      <w:proofErr w:type="spellStart"/>
      <w:r w:rsidRPr="00F26F19">
        <w:rPr>
          <w:lang w:val="fr-FR"/>
        </w:rPr>
        <w:t>autoréactives</w:t>
      </w:r>
      <w:proofErr w:type="spellEnd"/>
      <w:r w:rsidRPr="00F26F19">
        <w:rPr>
          <w:lang w:val="fr-FR"/>
        </w:rPr>
        <w:t xml:space="preserve"> des types C, D, E et F et, si la température ambiante maximale à prévoir pendant le transport ne dépasse pas de plus de 10 °C la température de régulation, pour les peroxydes organiques et matières </w:t>
      </w:r>
      <w:proofErr w:type="spellStart"/>
      <w:r w:rsidRPr="00F26F19">
        <w:rPr>
          <w:lang w:val="fr-FR"/>
        </w:rPr>
        <w:t>autoréactives</w:t>
      </w:r>
      <w:proofErr w:type="spellEnd"/>
      <w:r w:rsidRPr="00F26F19">
        <w:rPr>
          <w:lang w:val="fr-FR"/>
        </w:rPr>
        <w:t xml:space="preserve"> du type B et pour les matières qui polymérisent.</w:t>
      </w:r>
    </w:p>
    <w:p w:rsidR="001474C1" w:rsidRPr="00F26F19" w:rsidRDefault="001474C1" w:rsidP="001474C1">
      <w:pPr>
        <w:pStyle w:val="SingleTxtG"/>
        <w:ind w:firstLine="1134"/>
        <w:rPr>
          <w:lang w:val="fr-FR"/>
        </w:rPr>
      </w:pPr>
      <w:r w:rsidRPr="00F26F19">
        <w:rPr>
          <w:lang w:val="fr-FR"/>
        </w:rPr>
        <w:t xml:space="preserve">La méthode décrite au 7.1.7.4.5 b) peut être utilisée pour les peroxydes organiques et matières </w:t>
      </w:r>
      <w:proofErr w:type="spellStart"/>
      <w:r w:rsidRPr="00F26F19">
        <w:rPr>
          <w:lang w:val="fr-FR"/>
        </w:rPr>
        <w:t>autoréactives</w:t>
      </w:r>
      <w:proofErr w:type="spellEnd"/>
      <w:r w:rsidRPr="00F26F19">
        <w:rPr>
          <w:lang w:val="fr-FR"/>
        </w:rPr>
        <w:t xml:space="preserve"> des types C, D, E et F et pour les matières qui polymérisent lorsque la température ambiante maximale à prévoir pendant le transport ne dépasse pas de plus de 30 °C la température de régulation.</w:t>
      </w:r>
    </w:p>
    <w:p w:rsidR="001474C1" w:rsidRPr="00F26F19" w:rsidRDefault="001474C1" w:rsidP="001474C1">
      <w:pPr>
        <w:pStyle w:val="SingleTxtG"/>
        <w:ind w:firstLine="1134"/>
        <w:rPr>
          <w:lang w:val="fr-FR"/>
        </w:rPr>
      </w:pPr>
      <w:r w:rsidRPr="00F26F19">
        <w:rPr>
          <w:lang w:val="fr-FR"/>
        </w:rPr>
        <w:t xml:space="preserve">La méthode décrite au 7.1.7.4.5 a) peut être utilisée pour les peroxydes organiques et matières </w:t>
      </w:r>
      <w:proofErr w:type="spellStart"/>
      <w:r w:rsidRPr="00F26F19">
        <w:rPr>
          <w:lang w:val="fr-FR"/>
        </w:rPr>
        <w:t>autoréactives</w:t>
      </w:r>
      <w:proofErr w:type="spellEnd"/>
      <w:r w:rsidRPr="00F26F19">
        <w:rPr>
          <w:lang w:val="fr-FR"/>
        </w:rPr>
        <w:t xml:space="preserve"> des types C, D, E et F et pour les matières qui polymérisent lorsque la température ambiante maximale à prévoir pendant le transport est d'au moins 10 °C inférieure à la température de régulation.</w:t>
      </w:r>
    </w:p>
    <w:p w:rsidR="001474C1" w:rsidRPr="00F26F19" w:rsidRDefault="001474C1" w:rsidP="001474C1">
      <w:pPr>
        <w:pStyle w:val="SingleTxtG"/>
        <w:rPr>
          <w:lang w:val="fr-FR"/>
        </w:rPr>
      </w:pPr>
      <w:r w:rsidRPr="00F26F19">
        <w:rPr>
          <w:lang w:val="fr-FR"/>
        </w:rPr>
        <w:t>7.1.7.4.7</w:t>
      </w:r>
      <w:r w:rsidRPr="00F26F19">
        <w:rPr>
          <w:lang w:val="fr-FR"/>
        </w:rPr>
        <w:tab/>
        <w:t>Si les matières sont transportées dans des véhicules ou conteneurs isothermes, réfrigérants ou frigorifiques, ces véhicules ou conteneurs doivent être conformes aux prescriptions du chapitre 9.6</w:t>
      </w:r>
      <w:r w:rsidR="006C4D17">
        <w:rPr>
          <w:lang w:val="fr-FR"/>
        </w:rPr>
        <w:t xml:space="preserve"> de l'ADR</w:t>
      </w:r>
      <w:r w:rsidRPr="00F26F19">
        <w:rPr>
          <w:lang w:val="fr-FR"/>
        </w:rPr>
        <w:t>.</w:t>
      </w:r>
    </w:p>
    <w:p w:rsidR="001474C1" w:rsidRDefault="001474C1" w:rsidP="001474C1">
      <w:pPr>
        <w:pStyle w:val="SingleTxtG"/>
        <w:rPr>
          <w:lang w:val="fr-FR"/>
        </w:rPr>
      </w:pPr>
      <w:r w:rsidRPr="00F26F19">
        <w:rPr>
          <w:lang w:val="fr-FR"/>
        </w:rPr>
        <w:t>7.1.7.4.8</w:t>
      </w:r>
      <w:r w:rsidRPr="00F26F19">
        <w:rPr>
          <w:lang w:val="fr-FR"/>
        </w:rPr>
        <w:tab/>
        <w:t>Si les matières sont contenues dans des emballages protecteurs remplis avec un agent frigorigène, elles doivent être chargées dans des véhicules couverts ou bâchés ou conteneurs fermés ou bâchés. Lorsque les véhicules ou conteneurs utilisés sont couverts ou fermés respectivement, l'aération doit être assurée de façon adéquate. Les véhicules et conteneurs bâchés doivent être munis de ridelles et d'un hayon. La bâche de ces véhicules et conteneurs doit être constituée d'un tissu imperméable et difficilement inflammable</w:t>
      </w:r>
      <w:proofErr w:type="gramStart"/>
      <w:r w:rsidRPr="00F26F19">
        <w:rPr>
          <w:lang w:val="fr-FR"/>
        </w:rPr>
        <w:t>.»</w:t>
      </w:r>
      <w:proofErr w:type="gramEnd"/>
      <w:r w:rsidRPr="00F26F19">
        <w:rPr>
          <w:lang w:val="fr-FR"/>
        </w:rPr>
        <w:t>.</w:t>
      </w:r>
    </w:p>
    <w:p w:rsidR="00E53CCD" w:rsidRPr="00061CBC" w:rsidRDefault="001474C1" w:rsidP="001474C1">
      <w:pPr>
        <w:pStyle w:val="SingleTxtG"/>
        <w:rPr>
          <w:bCs/>
        </w:rPr>
      </w:pPr>
      <w:r w:rsidRPr="00E755CC">
        <w:rPr>
          <w:i/>
          <w:iCs/>
          <w:lang w:val="fr-FR"/>
        </w:rPr>
        <w:t xml:space="preserve">(Document de </w:t>
      </w:r>
      <w:proofErr w:type="gramStart"/>
      <w:r w:rsidRPr="00E755CC">
        <w:rPr>
          <w:i/>
          <w:iCs/>
          <w:lang w:val="fr-FR"/>
        </w:rPr>
        <w:t>référence:</w:t>
      </w:r>
      <w:proofErr w:type="gramEnd"/>
      <w:r w:rsidRPr="00E755CC">
        <w:rPr>
          <w:i/>
          <w:iCs/>
          <w:lang w:val="fr-FR"/>
        </w:rPr>
        <w:t xml:space="preserve"> </w:t>
      </w:r>
      <w:r w:rsidRPr="000472F3">
        <w:rPr>
          <w:i/>
          <w:iCs/>
        </w:rPr>
        <w:t>ECE/TRANS/WP.15</w:t>
      </w:r>
      <w:r>
        <w:rPr>
          <w:i/>
          <w:iCs/>
        </w:rPr>
        <w:t>/AC.2/</w:t>
      </w:r>
      <w:r w:rsidRPr="00E755CC">
        <w:rPr>
          <w:i/>
          <w:iCs/>
          <w:lang w:val="fr-FR"/>
        </w:rPr>
        <w:t xml:space="preserve">2018/2 tel que modifié par </w:t>
      </w:r>
      <w:r w:rsidRPr="00E755CC">
        <w:rPr>
          <w:i/>
          <w:iCs/>
        </w:rPr>
        <w:t>ECE/TRANS/WP.15/240</w:t>
      </w:r>
      <w:r>
        <w:rPr>
          <w:i/>
          <w:iCs/>
        </w:rPr>
        <w:t>)</w:t>
      </w:r>
    </w:p>
    <w:p w:rsidR="008D0723" w:rsidRPr="005E0DC6" w:rsidRDefault="00D440EE" w:rsidP="00D440EE">
      <w:pPr>
        <w:spacing w:before="240"/>
        <w:ind w:left="1134" w:right="1134"/>
        <w:jc w:val="center"/>
        <w:rPr>
          <w:u w:val="single"/>
        </w:rPr>
      </w:pPr>
      <w:r w:rsidRPr="005E0DC6">
        <w:rPr>
          <w:u w:val="single"/>
        </w:rPr>
        <w:tab/>
      </w:r>
      <w:r w:rsidRPr="005E0DC6">
        <w:rPr>
          <w:u w:val="single"/>
        </w:rPr>
        <w:tab/>
      </w:r>
      <w:r w:rsidRPr="005E0DC6">
        <w:rPr>
          <w:u w:val="single"/>
        </w:rPr>
        <w:tab/>
      </w:r>
    </w:p>
    <w:sectPr w:rsidR="008D0723" w:rsidRPr="005E0DC6"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F5FDB">
      <w:rPr>
        <w:b/>
        <w:noProof/>
        <w:sz w:val="18"/>
      </w:rPr>
      <w:t>6</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8F5FDB">
      <w:rPr>
        <w:b/>
        <w:noProof/>
        <w:sz w:val="18"/>
      </w:rPr>
      <w:t>7</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CE5404" w:rsidRDefault="00CE5404" w:rsidP="00CE5404">
      <w:pPr>
        <w:pStyle w:val="FootnoteText"/>
      </w:pPr>
      <w:r>
        <w:tab/>
      </w:r>
      <w:r w:rsidRPr="00074AFE">
        <w:rPr>
          <w:rStyle w:val="FootnoteReference"/>
          <w:sz w:val="20"/>
          <w:szCs w:val="22"/>
          <w:vertAlign w:val="baseline"/>
        </w:rPr>
        <w:t>*</w:t>
      </w:r>
      <w:r>
        <w:t xml:space="preserve"> </w:t>
      </w:r>
      <w:r>
        <w:tab/>
      </w:r>
      <w:r w:rsidRPr="00B92D5C">
        <w:t>Diffusé en langue allemande par la Commission centrale pour la navigation du Rhin sous la cote CCNR/ZKR/ADN/WP.15/AC.2/2018/2</w:t>
      </w:r>
      <w:r>
        <w:t>4</w:t>
      </w:r>
      <w:r w:rsidRPr="00B92D5C">
        <w:t>.</w:t>
      </w:r>
    </w:p>
  </w:footnote>
  <w:footnote w:id="3">
    <w:p w:rsidR="00CE5404" w:rsidRDefault="00CE5404" w:rsidP="00CE5404">
      <w:pPr>
        <w:pStyle w:val="FootnoteText"/>
      </w:pPr>
      <w:r>
        <w:tab/>
      </w:r>
      <w:r w:rsidRPr="00B92D5C">
        <w:rPr>
          <w:rStyle w:val="FootnoteReference"/>
          <w:sz w:val="20"/>
          <w:szCs w:val="22"/>
          <w:vertAlign w:val="baseline"/>
        </w:rPr>
        <w:t>**</w:t>
      </w:r>
      <w:r w:rsidRPr="00B92D5C">
        <w:rPr>
          <w:sz w:val="20"/>
          <w:szCs w:val="22"/>
        </w:rPr>
        <w:t xml:space="preserve"> </w:t>
      </w:r>
      <w:r>
        <w:tab/>
      </w:r>
      <w:r w:rsidRPr="00B92D5C">
        <w:t>Conformément au programme de travail du Comité des transports intérieurs pour 2018-2019 (ECE/TRANS/2018/</w:t>
      </w:r>
      <w:r w:rsidRPr="00ED5F4B">
        <w:t xml:space="preserve">21/Add.1, </w:t>
      </w:r>
      <w:r>
        <w:t>(</w:t>
      </w:r>
      <w:r w:rsidRPr="00ED5F4B">
        <w:t>9.3</w:t>
      </w:r>
      <w:r>
        <w:t>)</w:t>
      </w:r>
      <w:r w:rsidRPr="00EF5998">
        <w:rPr>
          <w:lang w:val="fr-FR"/>
        </w:rPr>
        <w:t>)</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5A" w:rsidRPr="00565A49" w:rsidRDefault="0006085A" w:rsidP="0029776B">
    <w:pPr>
      <w:pStyle w:val="Header"/>
      <w:rPr>
        <w:lang w:val="en-GB"/>
      </w:rPr>
    </w:pPr>
    <w:r w:rsidRPr="00565A49">
      <w:rPr>
        <w:lang w:val="en-GB"/>
      </w:rPr>
      <w:t>ECE/TRANS/WP.15/AC.</w:t>
    </w:r>
    <w:r>
      <w:rPr>
        <w:lang w:val="en-GB"/>
      </w:rPr>
      <w:t>2/201</w:t>
    </w:r>
    <w:r w:rsidR="004C5F55">
      <w:rPr>
        <w:lang w:val="en-GB"/>
      </w:rPr>
      <w:t>8</w:t>
    </w:r>
    <w:r>
      <w:rPr>
        <w:lang w:val="en-GB"/>
      </w:rPr>
      <w:t>/</w:t>
    </w:r>
    <w:r w:rsidR="00FF1E43">
      <w:rPr>
        <w:lang w:val="en-GB"/>
      </w:rPr>
      <w:t>2</w:t>
    </w:r>
    <w:r w:rsidR="004C5F55">
      <w:rPr>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5A" w:rsidRPr="00565A49" w:rsidRDefault="0006085A" w:rsidP="0029776B">
    <w:pPr>
      <w:pStyle w:val="Header"/>
      <w:jc w:val="right"/>
      <w:rPr>
        <w:lang w:val="en-GB"/>
      </w:rPr>
    </w:pPr>
    <w:r w:rsidRPr="00565A49">
      <w:rPr>
        <w:lang w:val="en-GB"/>
      </w:rPr>
      <w:t>ECE/TRANS/WP.15/AC.</w:t>
    </w:r>
    <w:r>
      <w:rPr>
        <w:lang w:val="en-GB"/>
      </w:rPr>
      <w:t>2/201</w:t>
    </w:r>
    <w:r w:rsidR="004C5F55">
      <w:rPr>
        <w:lang w:val="en-GB"/>
      </w:rPr>
      <w:t>8</w:t>
    </w:r>
    <w:r>
      <w:rPr>
        <w:lang w:val="en-GB"/>
      </w:rPr>
      <w:t>/</w:t>
    </w:r>
    <w:r w:rsidR="004A4B22">
      <w:rPr>
        <w:lang w:val="en-GB"/>
      </w:rPr>
      <w:t>2</w:t>
    </w:r>
    <w:r w:rsidR="004C5F55">
      <w:rPr>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fr-CA"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3A63"/>
    <w:rsid w:val="0004058B"/>
    <w:rsid w:val="00046CF1"/>
    <w:rsid w:val="000472A1"/>
    <w:rsid w:val="000507A8"/>
    <w:rsid w:val="00051A95"/>
    <w:rsid w:val="00056E8F"/>
    <w:rsid w:val="0006085A"/>
    <w:rsid w:val="00061CBC"/>
    <w:rsid w:val="0006415C"/>
    <w:rsid w:val="000643B7"/>
    <w:rsid w:val="00066716"/>
    <w:rsid w:val="00071432"/>
    <w:rsid w:val="00074AFE"/>
    <w:rsid w:val="000758B9"/>
    <w:rsid w:val="00081790"/>
    <w:rsid w:val="000828C8"/>
    <w:rsid w:val="00091D54"/>
    <w:rsid w:val="00094EF2"/>
    <w:rsid w:val="000963EA"/>
    <w:rsid w:val="000964C7"/>
    <w:rsid w:val="000A49E0"/>
    <w:rsid w:val="000A7EC2"/>
    <w:rsid w:val="000B0429"/>
    <w:rsid w:val="000B1105"/>
    <w:rsid w:val="000B34CA"/>
    <w:rsid w:val="000C0699"/>
    <w:rsid w:val="000D7E12"/>
    <w:rsid w:val="000E68FB"/>
    <w:rsid w:val="000F0CDA"/>
    <w:rsid w:val="000F41F2"/>
    <w:rsid w:val="00104ADE"/>
    <w:rsid w:val="00114946"/>
    <w:rsid w:val="00115943"/>
    <w:rsid w:val="00127A72"/>
    <w:rsid w:val="0013180D"/>
    <w:rsid w:val="00135C0D"/>
    <w:rsid w:val="0013653F"/>
    <w:rsid w:val="00143574"/>
    <w:rsid w:val="001474C1"/>
    <w:rsid w:val="00154636"/>
    <w:rsid w:val="001551B7"/>
    <w:rsid w:val="001568BB"/>
    <w:rsid w:val="00156A92"/>
    <w:rsid w:val="00160540"/>
    <w:rsid w:val="00162132"/>
    <w:rsid w:val="00162E33"/>
    <w:rsid w:val="0016419C"/>
    <w:rsid w:val="00164FB7"/>
    <w:rsid w:val="001703B7"/>
    <w:rsid w:val="0017182C"/>
    <w:rsid w:val="00171EA3"/>
    <w:rsid w:val="00177007"/>
    <w:rsid w:val="00186EE9"/>
    <w:rsid w:val="00190399"/>
    <w:rsid w:val="00192EEB"/>
    <w:rsid w:val="001969E8"/>
    <w:rsid w:val="001A20FB"/>
    <w:rsid w:val="001A37C7"/>
    <w:rsid w:val="001A61FB"/>
    <w:rsid w:val="001A73B7"/>
    <w:rsid w:val="001B6AF6"/>
    <w:rsid w:val="001B6F40"/>
    <w:rsid w:val="001C1259"/>
    <w:rsid w:val="001C4BBB"/>
    <w:rsid w:val="001C7508"/>
    <w:rsid w:val="001D7DF9"/>
    <w:rsid w:val="001D7F8A"/>
    <w:rsid w:val="001E3FEB"/>
    <w:rsid w:val="001E4A02"/>
    <w:rsid w:val="001F3CC1"/>
    <w:rsid w:val="001F412D"/>
    <w:rsid w:val="001F5816"/>
    <w:rsid w:val="00203B6A"/>
    <w:rsid w:val="002041A8"/>
    <w:rsid w:val="0020607F"/>
    <w:rsid w:val="002069D5"/>
    <w:rsid w:val="00216861"/>
    <w:rsid w:val="0022098E"/>
    <w:rsid w:val="0022197A"/>
    <w:rsid w:val="00223B89"/>
    <w:rsid w:val="00225A8C"/>
    <w:rsid w:val="00232C61"/>
    <w:rsid w:val="0023674C"/>
    <w:rsid w:val="002400B6"/>
    <w:rsid w:val="002403AA"/>
    <w:rsid w:val="002575AC"/>
    <w:rsid w:val="00260A9C"/>
    <w:rsid w:val="00261C6B"/>
    <w:rsid w:val="002658A4"/>
    <w:rsid w:val="002659F1"/>
    <w:rsid w:val="00265FE8"/>
    <w:rsid w:val="0027037E"/>
    <w:rsid w:val="00271C7C"/>
    <w:rsid w:val="00287E79"/>
    <w:rsid w:val="0029101B"/>
    <w:rsid w:val="002928F9"/>
    <w:rsid w:val="0029776B"/>
    <w:rsid w:val="002A1905"/>
    <w:rsid w:val="002A29C3"/>
    <w:rsid w:val="002A5D07"/>
    <w:rsid w:val="002A5F7F"/>
    <w:rsid w:val="002B2881"/>
    <w:rsid w:val="002B61F2"/>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1166"/>
    <w:rsid w:val="00372345"/>
    <w:rsid w:val="00374106"/>
    <w:rsid w:val="00374296"/>
    <w:rsid w:val="00391403"/>
    <w:rsid w:val="00397250"/>
    <w:rsid w:val="003974E1"/>
    <w:rsid w:val="003976D5"/>
    <w:rsid w:val="003A1FEF"/>
    <w:rsid w:val="003A462C"/>
    <w:rsid w:val="003A4D3C"/>
    <w:rsid w:val="003A656C"/>
    <w:rsid w:val="003B23E8"/>
    <w:rsid w:val="003B6B20"/>
    <w:rsid w:val="003C322F"/>
    <w:rsid w:val="003C3A75"/>
    <w:rsid w:val="003C5C5B"/>
    <w:rsid w:val="003D1DF3"/>
    <w:rsid w:val="003D46A7"/>
    <w:rsid w:val="003D6C68"/>
    <w:rsid w:val="003D76E4"/>
    <w:rsid w:val="003E604A"/>
    <w:rsid w:val="003F118A"/>
    <w:rsid w:val="004005D0"/>
    <w:rsid w:val="00406E74"/>
    <w:rsid w:val="00413736"/>
    <w:rsid w:val="00414425"/>
    <w:rsid w:val="004159D0"/>
    <w:rsid w:val="00421AC2"/>
    <w:rsid w:val="00423D55"/>
    <w:rsid w:val="004249E7"/>
    <w:rsid w:val="00426DA1"/>
    <w:rsid w:val="00430C92"/>
    <w:rsid w:val="00434168"/>
    <w:rsid w:val="0044289E"/>
    <w:rsid w:val="00445938"/>
    <w:rsid w:val="00454017"/>
    <w:rsid w:val="00461870"/>
    <w:rsid w:val="00471DA9"/>
    <w:rsid w:val="00472ADC"/>
    <w:rsid w:val="00475DD2"/>
    <w:rsid w:val="00486E96"/>
    <w:rsid w:val="00491EC7"/>
    <w:rsid w:val="0049374F"/>
    <w:rsid w:val="00497A70"/>
    <w:rsid w:val="004A324B"/>
    <w:rsid w:val="004A331B"/>
    <w:rsid w:val="004A3778"/>
    <w:rsid w:val="004A4B22"/>
    <w:rsid w:val="004A5C90"/>
    <w:rsid w:val="004B154F"/>
    <w:rsid w:val="004C5F55"/>
    <w:rsid w:val="004D0EB7"/>
    <w:rsid w:val="004D53B7"/>
    <w:rsid w:val="004E1AC3"/>
    <w:rsid w:val="004E551E"/>
    <w:rsid w:val="00502CA8"/>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669DD"/>
    <w:rsid w:val="00571F41"/>
    <w:rsid w:val="00575335"/>
    <w:rsid w:val="00576C84"/>
    <w:rsid w:val="0057730C"/>
    <w:rsid w:val="00585A6B"/>
    <w:rsid w:val="0059410B"/>
    <w:rsid w:val="00595BE4"/>
    <w:rsid w:val="00595C56"/>
    <w:rsid w:val="005A041A"/>
    <w:rsid w:val="005B645E"/>
    <w:rsid w:val="005B738F"/>
    <w:rsid w:val="005B76A3"/>
    <w:rsid w:val="005C6014"/>
    <w:rsid w:val="005D1083"/>
    <w:rsid w:val="005E0DC6"/>
    <w:rsid w:val="005E5D1F"/>
    <w:rsid w:val="005E5E79"/>
    <w:rsid w:val="005F25D1"/>
    <w:rsid w:val="005F302D"/>
    <w:rsid w:val="005F59DB"/>
    <w:rsid w:val="00603391"/>
    <w:rsid w:val="006049FD"/>
    <w:rsid w:val="00605683"/>
    <w:rsid w:val="00611D43"/>
    <w:rsid w:val="00612805"/>
    <w:rsid w:val="00612D48"/>
    <w:rsid w:val="00616B45"/>
    <w:rsid w:val="0061708F"/>
    <w:rsid w:val="006210B6"/>
    <w:rsid w:val="00625F01"/>
    <w:rsid w:val="00630D9B"/>
    <w:rsid w:val="00631953"/>
    <w:rsid w:val="00634795"/>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4D17"/>
    <w:rsid w:val="006C7BA8"/>
    <w:rsid w:val="006D21A0"/>
    <w:rsid w:val="006D36A8"/>
    <w:rsid w:val="006D377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54B8E"/>
    <w:rsid w:val="00761B66"/>
    <w:rsid w:val="00766A94"/>
    <w:rsid w:val="007673E8"/>
    <w:rsid w:val="00780EAE"/>
    <w:rsid w:val="007811F7"/>
    <w:rsid w:val="007817A1"/>
    <w:rsid w:val="007820F2"/>
    <w:rsid w:val="00783F37"/>
    <w:rsid w:val="00784245"/>
    <w:rsid w:val="007904AF"/>
    <w:rsid w:val="00790F2F"/>
    <w:rsid w:val="00795138"/>
    <w:rsid w:val="007A6076"/>
    <w:rsid w:val="007B1AD5"/>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550B4"/>
    <w:rsid w:val="00860C9D"/>
    <w:rsid w:val="00871051"/>
    <w:rsid w:val="008749A0"/>
    <w:rsid w:val="00883D70"/>
    <w:rsid w:val="00884E9C"/>
    <w:rsid w:val="008901C1"/>
    <w:rsid w:val="008A3A56"/>
    <w:rsid w:val="008A54AE"/>
    <w:rsid w:val="008A6307"/>
    <w:rsid w:val="008B44C4"/>
    <w:rsid w:val="008B7879"/>
    <w:rsid w:val="008C1BBA"/>
    <w:rsid w:val="008C2211"/>
    <w:rsid w:val="008C663F"/>
    <w:rsid w:val="008C7684"/>
    <w:rsid w:val="008D0723"/>
    <w:rsid w:val="008D0C3F"/>
    <w:rsid w:val="008D1AC7"/>
    <w:rsid w:val="008D3919"/>
    <w:rsid w:val="008E0B16"/>
    <w:rsid w:val="008E3F2C"/>
    <w:rsid w:val="008E5107"/>
    <w:rsid w:val="008E7FAE"/>
    <w:rsid w:val="008F0E80"/>
    <w:rsid w:val="008F1725"/>
    <w:rsid w:val="008F5FDB"/>
    <w:rsid w:val="008F60FF"/>
    <w:rsid w:val="00900B74"/>
    <w:rsid w:val="009066AE"/>
    <w:rsid w:val="00911BF7"/>
    <w:rsid w:val="00922301"/>
    <w:rsid w:val="00922FBA"/>
    <w:rsid w:val="00926E87"/>
    <w:rsid w:val="00932D7A"/>
    <w:rsid w:val="00934A78"/>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9F32AB"/>
    <w:rsid w:val="00A11C63"/>
    <w:rsid w:val="00A134EB"/>
    <w:rsid w:val="00A1547F"/>
    <w:rsid w:val="00A2492E"/>
    <w:rsid w:val="00A31F07"/>
    <w:rsid w:val="00A3535C"/>
    <w:rsid w:val="00A41235"/>
    <w:rsid w:val="00A44CBA"/>
    <w:rsid w:val="00A45EBB"/>
    <w:rsid w:val="00A6502C"/>
    <w:rsid w:val="00A70163"/>
    <w:rsid w:val="00A71439"/>
    <w:rsid w:val="00A73DB7"/>
    <w:rsid w:val="00A778A5"/>
    <w:rsid w:val="00A80554"/>
    <w:rsid w:val="00A8674A"/>
    <w:rsid w:val="00A86837"/>
    <w:rsid w:val="00A963DD"/>
    <w:rsid w:val="00AA0176"/>
    <w:rsid w:val="00AA3C96"/>
    <w:rsid w:val="00AA72C3"/>
    <w:rsid w:val="00AB0475"/>
    <w:rsid w:val="00AB38B2"/>
    <w:rsid w:val="00AB6447"/>
    <w:rsid w:val="00AC67A1"/>
    <w:rsid w:val="00AC7977"/>
    <w:rsid w:val="00AD1E14"/>
    <w:rsid w:val="00AD3F23"/>
    <w:rsid w:val="00AE352C"/>
    <w:rsid w:val="00AE4F08"/>
    <w:rsid w:val="00AE5E87"/>
    <w:rsid w:val="00AE69A8"/>
    <w:rsid w:val="00AE7BCA"/>
    <w:rsid w:val="00AF1446"/>
    <w:rsid w:val="00AF2F6F"/>
    <w:rsid w:val="00B06BC2"/>
    <w:rsid w:val="00B07DE2"/>
    <w:rsid w:val="00B11444"/>
    <w:rsid w:val="00B255B8"/>
    <w:rsid w:val="00B278CF"/>
    <w:rsid w:val="00B30CFB"/>
    <w:rsid w:val="00B3131C"/>
    <w:rsid w:val="00B318CC"/>
    <w:rsid w:val="00B32A61"/>
    <w:rsid w:val="00B32E2D"/>
    <w:rsid w:val="00B357CC"/>
    <w:rsid w:val="00B35B4C"/>
    <w:rsid w:val="00B3753A"/>
    <w:rsid w:val="00B37895"/>
    <w:rsid w:val="00B438C5"/>
    <w:rsid w:val="00B4466B"/>
    <w:rsid w:val="00B44F0F"/>
    <w:rsid w:val="00B52107"/>
    <w:rsid w:val="00B56FEF"/>
    <w:rsid w:val="00B61990"/>
    <w:rsid w:val="00B62922"/>
    <w:rsid w:val="00B64B1C"/>
    <w:rsid w:val="00B64C87"/>
    <w:rsid w:val="00B6602A"/>
    <w:rsid w:val="00B66CB6"/>
    <w:rsid w:val="00B7107E"/>
    <w:rsid w:val="00B77126"/>
    <w:rsid w:val="00B85D99"/>
    <w:rsid w:val="00B924CA"/>
    <w:rsid w:val="00B936CC"/>
    <w:rsid w:val="00B93E72"/>
    <w:rsid w:val="00B94939"/>
    <w:rsid w:val="00BA0ABA"/>
    <w:rsid w:val="00BC5D40"/>
    <w:rsid w:val="00BC6537"/>
    <w:rsid w:val="00BD0B53"/>
    <w:rsid w:val="00BD50B3"/>
    <w:rsid w:val="00BD5B50"/>
    <w:rsid w:val="00BE3741"/>
    <w:rsid w:val="00BF0556"/>
    <w:rsid w:val="00BF06B0"/>
    <w:rsid w:val="00BF47BD"/>
    <w:rsid w:val="00BF505B"/>
    <w:rsid w:val="00BF7D6B"/>
    <w:rsid w:val="00C0071F"/>
    <w:rsid w:val="00C00C2A"/>
    <w:rsid w:val="00C05575"/>
    <w:rsid w:val="00C1607E"/>
    <w:rsid w:val="00C17FB0"/>
    <w:rsid w:val="00C218FD"/>
    <w:rsid w:val="00C2232D"/>
    <w:rsid w:val="00C24B53"/>
    <w:rsid w:val="00C261F8"/>
    <w:rsid w:val="00C33100"/>
    <w:rsid w:val="00C34C11"/>
    <w:rsid w:val="00C358CC"/>
    <w:rsid w:val="00C36AD1"/>
    <w:rsid w:val="00C4302B"/>
    <w:rsid w:val="00C45121"/>
    <w:rsid w:val="00C51BB4"/>
    <w:rsid w:val="00C53F4B"/>
    <w:rsid w:val="00C63AC1"/>
    <w:rsid w:val="00C732D1"/>
    <w:rsid w:val="00C836BC"/>
    <w:rsid w:val="00C940E9"/>
    <w:rsid w:val="00CA047F"/>
    <w:rsid w:val="00CA3500"/>
    <w:rsid w:val="00CA5CBD"/>
    <w:rsid w:val="00CB2BEA"/>
    <w:rsid w:val="00CB6267"/>
    <w:rsid w:val="00CD1A71"/>
    <w:rsid w:val="00CD1FBB"/>
    <w:rsid w:val="00CD4C90"/>
    <w:rsid w:val="00CE5404"/>
    <w:rsid w:val="00CF6435"/>
    <w:rsid w:val="00D016B5"/>
    <w:rsid w:val="00D034F1"/>
    <w:rsid w:val="00D11B17"/>
    <w:rsid w:val="00D202EA"/>
    <w:rsid w:val="00D218FC"/>
    <w:rsid w:val="00D27297"/>
    <w:rsid w:val="00D27D5E"/>
    <w:rsid w:val="00D330C2"/>
    <w:rsid w:val="00D34270"/>
    <w:rsid w:val="00D40906"/>
    <w:rsid w:val="00D41B47"/>
    <w:rsid w:val="00D428F9"/>
    <w:rsid w:val="00D440EE"/>
    <w:rsid w:val="00D45452"/>
    <w:rsid w:val="00D47F24"/>
    <w:rsid w:val="00D509C5"/>
    <w:rsid w:val="00D52A86"/>
    <w:rsid w:val="00D60301"/>
    <w:rsid w:val="00D72195"/>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07FA3"/>
    <w:rsid w:val="00E11BBC"/>
    <w:rsid w:val="00E1236D"/>
    <w:rsid w:val="00E15EC6"/>
    <w:rsid w:val="00E22F40"/>
    <w:rsid w:val="00E53CCD"/>
    <w:rsid w:val="00E53D77"/>
    <w:rsid w:val="00E5407C"/>
    <w:rsid w:val="00E55D71"/>
    <w:rsid w:val="00E60E30"/>
    <w:rsid w:val="00E6288C"/>
    <w:rsid w:val="00E653A2"/>
    <w:rsid w:val="00E65B70"/>
    <w:rsid w:val="00E6627D"/>
    <w:rsid w:val="00E73AEE"/>
    <w:rsid w:val="00E74F8B"/>
    <w:rsid w:val="00E81E94"/>
    <w:rsid w:val="00E82607"/>
    <w:rsid w:val="00E876EC"/>
    <w:rsid w:val="00E87C4C"/>
    <w:rsid w:val="00E90A2D"/>
    <w:rsid w:val="00E95AF8"/>
    <w:rsid w:val="00E97EE2"/>
    <w:rsid w:val="00EA0C87"/>
    <w:rsid w:val="00EA0EA5"/>
    <w:rsid w:val="00EA2677"/>
    <w:rsid w:val="00EA31C2"/>
    <w:rsid w:val="00EA4D5A"/>
    <w:rsid w:val="00EA5169"/>
    <w:rsid w:val="00EB16FF"/>
    <w:rsid w:val="00EB4C54"/>
    <w:rsid w:val="00EC0734"/>
    <w:rsid w:val="00EC3132"/>
    <w:rsid w:val="00EC3FA6"/>
    <w:rsid w:val="00EC60C5"/>
    <w:rsid w:val="00ED265E"/>
    <w:rsid w:val="00ED7BEB"/>
    <w:rsid w:val="00EE234D"/>
    <w:rsid w:val="00EE2EA3"/>
    <w:rsid w:val="00EE43A7"/>
    <w:rsid w:val="00EF041A"/>
    <w:rsid w:val="00F01516"/>
    <w:rsid w:val="00F12577"/>
    <w:rsid w:val="00F14D09"/>
    <w:rsid w:val="00F2271B"/>
    <w:rsid w:val="00F227C9"/>
    <w:rsid w:val="00F35A1F"/>
    <w:rsid w:val="00F42AEB"/>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6F00"/>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4:docId w14:val="47331701"/>
  <w15:docId w15:val="{8BC98AB7-9E02-4296-B926-9C64A9AF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qFormat/>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uiPriority w:val="99"/>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HTMLPreformatted">
    <w:name w:val="HTML Preformatted"/>
    <w:basedOn w:val="Normal"/>
    <w:link w:val="HTMLPreformattedChar"/>
    <w:uiPriority w:val="99"/>
    <w:semiHidden/>
    <w:unhideWhenUsed/>
    <w:rsid w:val="000B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0B1105"/>
    <w:rPr>
      <w:rFonts w:ascii="Courier New" w:hAnsi="Courier New" w:cs="Courier New"/>
    </w:rPr>
  </w:style>
  <w:style w:type="character" w:customStyle="1" w:styleId="Heading7Char">
    <w:name w:val="Heading 7 Char"/>
    <w:basedOn w:val="DefaultParagraphFont"/>
    <w:link w:val="Heading7"/>
    <w:rsid w:val="001474C1"/>
    <w:rPr>
      <w:lang w:val="fr-CH" w:eastAsia="en-US"/>
    </w:rPr>
  </w:style>
  <w:style w:type="table" w:customStyle="1" w:styleId="Tabellenraster2">
    <w:name w:val="Tabellenraster2"/>
    <w:basedOn w:val="TableNormal"/>
    <w:rsid w:val="001474C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539664754">
      <w:bodyDiv w:val="1"/>
      <w:marLeft w:val="0"/>
      <w:marRight w:val="0"/>
      <w:marTop w:val="0"/>
      <w:marBottom w:val="0"/>
      <w:divBdr>
        <w:top w:val="none" w:sz="0" w:space="0" w:color="auto"/>
        <w:left w:val="none" w:sz="0" w:space="0" w:color="auto"/>
        <w:bottom w:val="none" w:sz="0" w:space="0" w:color="auto"/>
        <w:right w:val="none" w:sz="0" w:space="0" w:color="auto"/>
      </w:divBdr>
    </w:div>
    <w:div w:id="1597517511">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830054716">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 w:id="20263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48C9-738E-4679-B947-04AE1254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132</TotalTime>
  <Pages>7</Pages>
  <Words>2580</Words>
  <Characters>14710</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ECE-ADN-45 eng</cp:lastModifiedBy>
  <cp:revision>20</cp:revision>
  <cp:lastPrinted>2016-06-07T15:50:00Z</cp:lastPrinted>
  <dcterms:created xsi:type="dcterms:W3CDTF">2018-06-12T09:16:00Z</dcterms:created>
  <dcterms:modified xsi:type="dcterms:W3CDTF">2018-06-13T12:43:00Z</dcterms:modified>
</cp:coreProperties>
</file>