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7A" w:rsidRPr="00D41F46" w:rsidRDefault="00F8067A" w:rsidP="00F8067A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bookmarkStart w:id="0" w:name="_GoBack"/>
      <w:bookmarkEnd w:id="0"/>
      <w:r w:rsidRPr="00D41F46">
        <w:rPr>
          <w:rFonts w:ascii="Arial" w:eastAsia="Arial" w:hAnsi="Arial" w:cs="Arial"/>
          <w:bCs/>
          <w:noProof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706C111" wp14:editId="0929A9D5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F46">
        <w:rPr>
          <w:rFonts w:ascii="Arial" w:eastAsia="Arial" w:hAnsi="Arial" w:cs="Arial"/>
          <w:bCs/>
          <w:szCs w:val="24"/>
          <w:lang w:val="en-US" w:eastAsia="de-DE"/>
        </w:rPr>
        <w:t>CCNR-ZKR/ADN/WP.15/AC.2/2018/</w:t>
      </w:r>
      <w:r w:rsidR="00AC0148" w:rsidRPr="00D41F46">
        <w:rPr>
          <w:rFonts w:ascii="Arial" w:eastAsia="Arial" w:hAnsi="Arial" w:cs="Arial"/>
          <w:bCs/>
          <w:szCs w:val="24"/>
          <w:lang w:val="en-US" w:eastAsia="de-DE"/>
        </w:rPr>
        <w:t>1</w:t>
      </w:r>
      <w:r w:rsidR="0084454B" w:rsidRPr="00D41F46">
        <w:rPr>
          <w:rFonts w:ascii="Arial" w:eastAsia="Arial" w:hAnsi="Arial" w:cs="Arial"/>
          <w:bCs/>
          <w:szCs w:val="24"/>
          <w:lang w:val="en-US" w:eastAsia="de-DE"/>
        </w:rPr>
        <w:t>4</w:t>
      </w:r>
    </w:p>
    <w:p w:rsidR="00F8067A" w:rsidRPr="00D41F46" w:rsidRDefault="00F8067A" w:rsidP="00F8067A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D41F46">
        <w:rPr>
          <w:rFonts w:ascii="Arial" w:hAnsi="Arial" w:cs="Arial"/>
          <w:sz w:val="16"/>
          <w:szCs w:val="24"/>
          <w:lang w:eastAsia="de-DE"/>
        </w:rPr>
        <w:t>Allgemeine Verteilung</w:t>
      </w:r>
    </w:p>
    <w:p w:rsidR="00F8067A" w:rsidRPr="00D41F46" w:rsidRDefault="00AC0148" w:rsidP="00F8067A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D41F46">
        <w:rPr>
          <w:rFonts w:ascii="Arial" w:eastAsia="Arial" w:hAnsi="Arial" w:cs="Arial"/>
          <w:szCs w:val="24"/>
          <w:lang w:eastAsia="de-DE"/>
        </w:rPr>
        <w:t>7</w:t>
      </w:r>
      <w:r w:rsidR="00F8067A" w:rsidRPr="00D41F46">
        <w:rPr>
          <w:rFonts w:ascii="Arial" w:eastAsia="Arial" w:hAnsi="Arial" w:cs="Arial"/>
          <w:szCs w:val="24"/>
          <w:lang w:eastAsia="de-DE"/>
        </w:rPr>
        <w:t xml:space="preserve">. </w:t>
      </w:r>
      <w:r w:rsidRPr="00D41F46">
        <w:rPr>
          <w:rFonts w:ascii="Arial" w:eastAsia="Arial" w:hAnsi="Arial" w:cs="Arial"/>
          <w:szCs w:val="24"/>
          <w:lang w:eastAsia="de-DE"/>
        </w:rPr>
        <w:t>November</w:t>
      </w:r>
      <w:r w:rsidR="00F8067A" w:rsidRPr="00D41F46">
        <w:rPr>
          <w:rFonts w:ascii="Arial" w:eastAsia="Arial" w:hAnsi="Arial" w:cs="Arial"/>
          <w:szCs w:val="24"/>
          <w:lang w:eastAsia="de-DE"/>
        </w:rPr>
        <w:t xml:space="preserve"> 2017</w:t>
      </w:r>
    </w:p>
    <w:p w:rsidR="00F8067A" w:rsidRPr="00D41F46" w:rsidRDefault="00F8067A" w:rsidP="00F8067A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r w:rsidRPr="00D41F46">
        <w:rPr>
          <w:rFonts w:ascii="Arial" w:eastAsia="Arial" w:hAnsi="Arial" w:cs="Arial"/>
          <w:sz w:val="16"/>
          <w:szCs w:val="24"/>
          <w:lang w:eastAsia="de-DE"/>
        </w:rPr>
        <w:t xml:space="preserve">Or. </w:t>
      </w:r>
      <w:r w:rsidR="00AC0148" w:rsidRPr="00D41F46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:rsidR="00F8067A" w:rsidRPr="00D41F46" w:rsidRDefault="00F8067A" w:rsidP="00F8067A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F8067A" w:rsidRPr="00D41F46" w:rsidRDefault="00F8067A" w:rsidP="00F8067A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F8067A" w:rsidRPr="00D41F46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D41F46">
        <w:rPr>
          <w:rFonts w:ascii="Arial" w:hAnsi="Arial"/>
          <w:noProof/>
          <w:sz w:val="16"/>
          <w:szCs w:val="24"/>
        </w:rPr>
        <w:t>GEMEINSAME EXPERTENTAGUNG FÜR DIE DEM</w:t>
      </w:r>
    </w:p>
    <w:p w:rsidR="00F8067A" w:rsidRPr="00D41F46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D41F46">
        <w:rPr>
          <w:rFonts w:ascii="Arial" w:hAnsi="Arial"/>
          <w:noProof/>
          <w:sz w:val="16"/>
          <w:szCs w:val="24"/>
        </w:rPr>
        <w:t>ÜBEREINKOMMEN ÜBER DIE INTERNATIONALE BEFÖRDERUNG</w:t>
      </w:r>
    </w:p>
    <w:p w:rsidR="00F8067A" w:rsidRPr="00D41F46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D41F46">
        <w:rPr>
          <w:rFonts w:ascii="Arial" w:hAnsi="Arial"/>
          <w:noProof/>
          <w:sz w:val="16"/>
          <w:szCs w:val="24"/>
        </w:rPr>
        <w:t>VON GEFÄHRLICHEN GÜTERN AUF BINNENWASSERSTRASSEN</w:t>
      </w:r>
    </w:p>
    <w:p w:rsidR="00F8067A" w:rsidRPr="00D41F46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D41F46">
        <w:rPr>
          <w:rFonts w:ascii="Arial" w:hAnsi="Arial"/>
          <w:noProof/>
          <w:sz w:val="16"/>
          <w:szCs w:val="24"/>
        </w:rPr>
        <w:t>BEIGEFÜGTE VERORDNUNG (ADN)</w:t>
      </w:r>
    </w:p>
    <w:p w:rsidR="00F8067A" w:rsidRPr="00D41F46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D41F46">
        <w:rPr>
          <w:rFonts w:ascii="Arial" w:hAnsi="Arial"/>
          <w:noProof/>
          <w:sz w:val="16"/>
          <w:szCs w:val="24"/>
        </w:rPr>
        <w:t>(SICHERHEITSAUSSCHUSS)</w:t>
      </w:r>
    </w:p>
    <w:p w:rsidR="00F8067A" w:rsidRPr="00D41F46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D41F46">
        <w:rPr>
          <w:rFonts w:ascii="Arial" w:hAnsi="Arial"/>
          <w:sz w:val="16"/>
          <w:szCs w:val="24"/>
        </w:rPr>
        <w:t>(32. Tagung, Genf, 22. bis 26. Januar 2018)</w:t>
      </w:r>
    </w:p>
    <w:p w:rsidR="00F8067A" w:rsidRPr="00D41F46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D41F46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982F17" w:rsidRPr="00D41F46">
        <w:rPr>
          <w:rFonts w:ascii="Arial" w:hAnsi="Arial" w:cs="Arial"/>
          <w:sz w:val="16"/>
          <w:szCs w:val="16"/>
          <w:lang w:eastAsia="en-US"/>
        </w:rPr>
        <w:t>5 b)</w:t>
      </w:r>
      <w:r w:rsidRPr="00D41F46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:rsidR="00F8067A" w:rsidRPr="00D41F46" w:rsidRDefault="00F8067A" w:rsidP="00F8067A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D41F46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Vorschläge</w:t>
      </w:r>
    </w:p>
    <w:p w:rsidR="00F8067A" w:rsidRPr="00D41F46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F8067A" w:rsidRPr="00D41F46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F8067A" w:rsidRPr="00D41F46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AC0148" w:rsidRPr="00D41F46" w:rsidRDefault="003C7035" w:rsidP="007A13C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 w:firstLine="0"/>
        <w:jc w:val="left"/>
        <w:textAlignment w:val="auto"/>
        <w:rPr>
          <w:rFonts w:eastAsia="PMingLiU"/>
          <w:b/>
          <w:sz w:val="28"/>
          <w:szCs w:val="28"/>
          <w:lang w:eastAsia="zh-TW"/>
        </w:rPr>
      </w:pPr>
      <w:r w:rsidRPr="00D41F46">
        <w:rPr>
          <w:rFonts w:eastAsia="Calibri"/>
          <w:b/>
          <w:sz w:val="28"/>
          <w:lang w:eastAsia="en-US"/>
        </w:rPr>
        <w:t xml:space="preserve">Abmessungen der Doppelhülle </w:t>
      </w:r>
      <w:r w:rsidR="001D7CA6" w:rsidRPr="00D41F46">
        <w:rPr>
          <w:rFonts w:eastAsia="Calibri"/>
          <w:b/>
          <w:sz w:val="28"/>
          <w:lang w:eastAsia="en-US"/>
        </w:rPr>
        <w:t xml:space="preserve">in Absatz </w:t>
      </w:r>
      <w:r w:rsidRPr="00D41F46">
        <w:rPr>
          <w:rFonts w:eastAsia="Calibri"/>
          <w:b/>
          <w:sz w:val="28"/>
          <w:lang w:eastAsia="en-US"/>
        </w:rPr>
        <w:t>9.3.2.11.2 a)</w:t>
      </w:r>
    </w:p>
    <w:p w:rsidR="00F8067A" w:rsidRPr="00D41F46" w:rsidRDefault="00F8067A" w:rsidP="007A13C0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sz w:val="18"/>
          <w:vertAlign w:val="superscript"/>
        </w:rPr>
      </w:pPr>
      <w:r w:rsidRPr="00D41F46">
        <w:rPr>
          <w:b/>
          <w:sz w:val="24"/>
        </w:rPr>
        <w:t>Vorgelegt von</w:t>
      </w:r>
      <w:r w:rsidR="00AC0148" w:rsidRPr="00D41F46">
        <w:rPr>
          <w:b/>
          <w:sz w:val="24"/>
        </w:rPr>
        <w:t xml:space="preserve"> den empfohlenen ADN-Klassifikationsgesellschaften</w:t>
      </w:r>
      <w:r w:rsidRPr="00D41F46">
        <w:rPr>
          <w:b/>
          <w:sz w:val="18"/>
          <w:vertAlign w:val="superscript"/>
        </w:rPr>
        <w:footnoteReference w:id="1"/>
      </w:r>
      <w:r w:rsidRPr="00D41F46">
        <w:rPr>
          <w:b/>
          <w:sz w:val="18"/>
          <w:vertAlign w:val="superscript"/>
        </w:rPr>
        <w:t>,</w:t>
      </w:r>
      <w:r w:rsidRPr="00D41F46">
        <w:rPr>
          <w:b/>
          <w:sz w:val="18"/>
          <w:vertAlign w:val="superscript"/>
        </w:rPr>
        <w:footnoteReference w:id="2"/>
      </w:r>
    </w:p>
    <w:p w:rsidR="00AC0148" w:rsidRPr="00D41F46" w:rsidRDefault="00AC0148" w:rsidP="00AC0148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D41F46">
        <w:rPr>
          <w:b/>
          <w:sz w:val="28"/>
          <w:lang w:eastAsia="en-US"/>
        </w:rPr>
        <w:tab/>
      </w:r>
      <w:r w:rsidRPr="00D41F46">
        <w:rPr>
          <w:b/>
          <w:sz w:val="28"/>
          <w:lang w:eastAsia="en-US"/>
        </w:rPr>
        <w:tab/>
        <w:t>Einleitung</w:t>
      </w:r>
    </w:p>
    <w:p w:rsidR="00AC0148" w:rsidRPr="00D41F46" w:rsidRDefault="00AC0148" w:rsidP="007A13C0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41F46">
        <w:rPr>
          <w:lang w:eastAsia="en-US"/>
        </w:rPr>
        <w:t>1.</w:t>
      </w:r>
      <w:r w:rsidRPr="00D41F46">
        <w:rPr>
          <w:lang w:eastAsia="en-US"/>
        </w:rPr>
        <w:tab/>
      </w:r>
      <w:r w:rsidR="007A13C0" w:rsidRPr="00D41F46">
        <w:rPr>
          <w:lang w:eastAsia="en-US"/>
        </w:rPr>
        <w:t>Der Verweis auf Absatz 9.3.2.11.7 scheint nicht korrekt zu sein:</w:t>
      </w:r>
      <w:r w:rsidRPr="00D41F46">
        <w:rPr>
          <w:lang w:eastAsia="en-US"/>
        </w:rPr>
        <w:t xml:space="preserve"> </w:t>
      </w:r>
    </w:p>
    <w:p w:rsidR="00AC0148" w:rsidRPr="00D41F46" w:rsidRDefault="0084454B" w:rsidP="00AC0148">
      <w:pPr>
        <w:widowControl/>
        <w:overflowPunct/>
        <w:ind w:right="990" w:firstLine="0"/>
        <w:textAlignment w:val="auto"/>
        <w:rPr>
          <w:i/>
          <w:lang w:eastAsia="de-DE"/>
        </w:rPr>
      </w:pPr>
      <w:r w:rsidRPr="00D41F46">
        <w:rPr>
          <w:bCs/>
          <w:i/>
          <w:lang w:eastAsia="de-DE"/>
        </w:rPr>
        <w:t>„</w:t>
      </w:r>
      <w:r w:rsidR="00AC0148" w:rsidRPr="00D41F46">
        <w:rPr>
          <w:bCs/>
          <w:i/>
          <w:lang w:eastAsia="de-DE"/>
        </w:rPr>
        <w:t xml:space="preserve">9.3.2.11.2 </w:t>
      </w:r>
      <w:r w:rsidR="00AC0148" w:rsidRPr="00D41F46">
        <w:rPr>
          <w:i/>
          <w:lang w:eastAsia="de-DE"/>
        </w:rPr>
        <w:t xml:space="preserve">a) Das Schiff muss im Bereich der Ladung (ausgenommen Kofferdämme) als Glattdeck-Doppelhüllenschiff mit Wallgängen, Doppelboden und ohne Trunk ausgeführt sein. </w:t>
      </w:r>
    </w:p>
    <w:p w:rsidR="00AC0148" w:rsidRPr="00D41F46" w:rsidRDefault="00AC0148" w:rsidP="00AC0148">
      <w:pPr>
        <w:widowControl/>
        <w:overflowPunct/>
        <w:ind w:right="990" w:firstLine="0"/>
        <w:textAlignment w:val="auto"/>
        <w:rPr>
          <w:i/>
          <w:lang w:eastAsia="de-DE"/>
        </w:rPr>
      </w:pPr>
    </w:p>
    <w:p w:rsidR="00AC0148" w:rsidRPr="00D41F46" w:rsidRDefault="00AC0148" w:rsidP="00AC0148">
      <w:pPr>
        <w:widowControl/>
        <w:overflowPunct/>
        <w:ind w:right="990" w:firstLine="0"/>
        <w:textAlignment w:val="auto"/>
        <w:rPr>
          <w:rFonts w:eastAsia="TimesNewRomanPSMT"/>
          <w:i/>
          <w:lang w:eastAsia="en-US"/>
        </w:rPr>
      </w:pPr>
      <w:r w:rsidRPr="00D41F46">
        <w:rPr>
          <w:i/>
          <w:lang w:eastAsia="de-DE"/>
        </w:rPr>
        <w:t>Vom Schiffskörper unabhängige Ladetanks und gekühlte Ladetanks dürfen nur in einem Aufstellungsraum, der durch Wallgänge und Doppelboden gemäß Absatz</w:t>
      </w:r>
      <w:r w:rsidR="006764F1" w:rsidRPr="00D41F46">
        <w:rPr>
          <w:i/>
          <w:lang w:eastAsia="de-DE"/>
        </w:rPr>
        <w:t> </w:t>
      </w:r>
      <w:r w:rsidRPr="00D41F46">
        <w:rPr>
          <w:b/>
          <w:i/>
          <w:u w:val="single"/>
          <w:lang w:eastAsia="de-DE"/>
        </w:rPr>
        <w:t>9.3.2.11.7</w:t>
      </w:r>
      <w:r w:rsidRPr="00D41F46">
        <w:rPr>
          <w:i/>
          <w:lang w:eastAsia="de-DE"/>
        </w:rPr>
        <w:t xml:space="preserve"> gebildet wird, aufgestellt sein. Ladetanks dürfen nicht über das Deck hinausragen. …</w:t>
      </w:r>
      <w:r w:rsidR="0084454B" w:rsidRPr="00D41F46">
        <w:rPr>
          <w:i/>
          <w:lang w:eastAsia="de-DE"/>
        </w:rPr>
        <w:t>“.</w:t>
      </w:r>
    </w:p>
    <w:p w:rsidR="004E5665" w:rsidRDefault="004E566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8"/>
          <w:lang w:eastAsia="en-US"/>
        </w:rPr>
      </w:pPr>
      <w:r>
        <w:rPr>
          <w:b/>
          <w:sz w:val="28"/>
          <w:lang w:eastAsia="en-US"/>
        </w:rPr>
        <w:br w:type="page"/>
      </w:r>
    </w:p>
    <w:p w:rsidR="00AC0148" w:rsidRPr="00D41F46" w:rsidRDefault="004E5665" w:rsidP="00AC0148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>
        <w:rPr>
          <w:b/>
          <w:sz w:val="28"/>
          <w:lang w:eastAsia="en-US"/>
        </w:rPr>
        <w:lastRenderedPageBreak/>
        <w:tab/>
      </w:r>
      <w:r w:rsidR="00AC0148" w:rsidRPr="00D41F46">
        <w:rPr>
          <w:b/>
          <w:sz w:val="28"/>
          <w:lang w:eastAsia="en-US"/>
        </w:rPr>
        <w:t>I.</w:t>
      </w:r>
      <w:r w:rsidR="00AC0148" w:rsidRPr="00D41F46">
        <w:rPr>
          <w:b/>
          <w:sz w:val="28"/>
          <w:lang w:eastAsia="en-US"/>
        </w:rPr>
        <w:tab/>
      </w:r>
      <w:r w:rsidR="0084454B" w:rsidRPr="00D41F46">
        <w:rPr>
          <w:b/>
          <w:sz w:val="28"/>
          <w:lang w:eastAsia="en-US"/>
        </w:rPr>
        <w:t>Hintergrund</w:t>
      </w:r>
    </w:p>
    <w:p w:rsidR="00AC0148" w:rsidRPr="00D41F46" w:rsidRDefault="00AC0148" w:rsidP="00137593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TimesNewRomanPSMT"/>
          <w:lang w:eastAsia="en-US"/>
        </w:rPr>
      </w:pPr>
      <w:r w:rsidRPr="00D41F46">
        <w:rPr>
          <w:rFonts w:eastAsia="TimesNewRomanPSMT"/>
          <w:lang w:eastAsia="en-US"/>
        </w:rPr>
        <w:t>2.</w:t>
      </w:r>
      <w:r w:rsidRPr="00D41F46">
        <w:rPr>
          <w:rFonts w:eastAsia="TimesNewRomanPSMT"/>
          <w:lang w:eastAsia="en-US"/>
        </w:rPr>
        <w:tab/>
      </w:r>
      <w:r w:rsidR="007A13C0" w:rsidRPr="00D41F46">
        <w:rPr>
          <w:rFonts w:eastAsia="TimesNewRomanPSMT"/>
          <w:lang w:eastAsia="en-US"/>
        </w:rPr>
        <w:t>Die Vorschrift in Absatz 9.3.2.11.7 betrifft „</w:t>
      </w:r>
      <w:r w:rsidR="00137593" w:rsidRPr="00D41F46">
        <w:rPr>
          <w:rFonts w:eastAsia="TimesNewRomanPSMT"/>
          <w:lang w:eastAsia="en-US"/>
        </w:rPr>
        <w:t>in den Schiffsverbänden integrierte Ladetanks</w:t>
      </w:r>
      <w:r w:rsidR="007A13C0" w:rsidRPr="00D41F46">
        <w:rPr>
          <w:rFonts w:eastAsia="TimesNewRomanPSMT"/>
          <w:lang w:eastAsia="en-US"/>
        </w:rPr>
        <w:t>“:</w:t>
      </w:r>
    </w:p>
    <w:p w:rsidR="00AC0148" w:rsidRPr="00D41F46" w:rsidRDefault="0084454B" w:rsidP="00AC0148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TimesNewRomanPSMT"/>
          <w:i/>
          <w:lang w:eastAsia="en-US"/>
        </w:rPr>
      </w:pPr>
      <w:r w:rsidRPr="00D41F46">
        <w:rPr>
          <w:rFonts w:eastAsia="TimesNewRomanPSMT"/>
          <w:bCs/>
          <w:i/>
          <w:lang w:eastAsia="en-US"/>
        </w:rPr>
        <w:t>„</w:t>
      </w:r>
      <w:r w:rsidR="00AC0148" w:rsidRPr="00D41F46">
        <w:rPr>
          <w:rFonts w:eastAsia="TimesNewRomanPSMT"/>
          <w:bCs/>
          <w:i/>
          <w:lang w:eastAsia="en-US"/>
        </w:rPr>
        <w:t>9.3.2.11.7</w:t>
      </w:r>
      <w:r w:rsidR="00AC0148" w:rsidRPr="00D41F46">
        <w:rPr>
          <w:rFonts w:eastAsia="TimesNewRomanPSMT"/>
          <w:b/>
          <w:bCs/>
          <w:i/>
          <w:lang w:eastAsia="en-US"/>
        </w:rPr>
        <w:t xml:space="preserve"> </w:t>
      </w:r>
      <w:r w:rsidR="00AC0148" w:rsidRPr="00D41F46">
        <w:rPr>
          <w:rFonts w:eastAsia="TimesNewRomanPSMT"/>
          <w:i/>
          <w:lang w:eastAsia="en-US"/>
        </w:rPr>
        <w:t>Bei Doppelhüllenbauweise mit in den Schiffsverbänden integrierten Ladetanks muss der Abstand zwischen der Seitenwand des Schiffes und der Seitenwand der Ladetanks mindestens 1 m betragen.</w:t>
      </w:r>
    </w:p>
    <w:p w:rsidR="00AC0148" w:rsidRPr="00D41F46" w:rsidRDefault="00AC0148" w:rsidP="00AC0148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TimesNewRomanPSMT"/>
          <w:i/>
          <w:lang w:eastAsia="en-US"/>
        </w:rPr>
      </w:pPr>
      <w:r w:rsidRPr="00D41F46">
        <w:rPr>
          <w:rFonts w:eastAsia="TimesNewRomanPSMT"/>
          <w:i/>
          <w:lang w:eastAsia="en-US"/>
        </w:rPr>
        <w:t>Eine Verringerung dieses Abstandes auf 0,80 m ist zulässig, wenn gegenüber den Dimensionierungsvorschriften nach der Bauvorschrift einer anerkannten Klassifikationsgesellschaft folgende Verstärkungen vorgenommen sind: …</w:t>
      </w:r>
      <w:r w:rsidR="0084454B" w:rsidRPr="00D41F46">
        <w:rPr>
          <w:rFonts w:eastAsia="TimesNewRomanPSMT"/>
          <w:i/>
          <w:lang w:eastAsia="en-US"/>
        </w:rPr>
        <w:t>“.</w:t>
      </w:r>
    </w:p>
    <w:p w:rsidR="00AC0148" w:rsidRPr="00D41F46" w:rsidRDefault="00AC0148" w:rsidP="00B318A2">
      <w:pPr>
        <w:widowControl/>
        <w:tabs>
          <w:tab w:val="left" w:pos="1418"/>
        </w:tabs>
        <w:suppressAutoHyphens/>
        <w:overflowPunct/>
        <w:autoSpaceDE/>
        <w:autoSpaceDN/>
        <w:adjustRightInd/>
        <w:spacing w:before="240" w:after="120" w:line="240" w:lineRule="atLeast"/>
        <w:ind w:right="1134" w:firstLine="0"/>
        <w:textAlignment w:val="auto"/>
        <w:rPr>
          <w:rFonts w:eastAsia="TimesNewRomanPSMT"/>
          <w:lang w:eastAsia="en-US"/>
        </w:rPr>
      </w:pPr>
      <w:r w:rsidRPr="00D41F46">
        <w:rPr>
          <w:rFonts w:eastAsia="TimesNewRomanPSMT"/>
          <w:lang w:eastAsia="en-US"/>
        </w:rPr>
        <w:t>3.</w:t>
      </w:r>
      <w:r w:rsidRPr="00D41F46">
        <w:rPr>
          <w:rFonts w:eastAsia="TimesNewRomanPSMT"/>
          <w:lang w:eastAsia="en-US"/>
        </w:rPr>
        <w:tab/>
      </w:r>
      <w:r w:rsidR="004B360C" w:rsidRPr="00D41F46">
        <w:rPr>
          <w:rFonts w:eastAsia="TimesNewRomanPSMT"/>
          <w:lang w:eastAsia="en-US"/>
        </w:rPr>
        <w:t xml:space="preserve">In </w:t>
      </w:r>
      <w:r w:rsidR="005648FC" w:rsidRPr="00D41F46">
        <w:rPr>
          <w:rFonts w:eastAsia="TimesNewRomanPSMT"/>
          <w:lang w:eastAsia="en-US"/>
        </w:rPr>
        <w:t>Absatz</w:t>
      </w:r>
      <w:r w:rsidR="004B360C" w:rsidRPr="00D41F46">
        <w:rPr>
          <w:rFonts w:eastAsia="TimesNewRomanPSMT"/>
          <w:lang w:eastAsia="en-US"/>
        </w:rPr>
        <w:t xml:space="preserve"> 9.3.2.11.2 a) geht es jedoch um „vom Schiffs</w:t>
      </w:r>
      <w:r w:rsidR="005648FC" w:rsidRPr="00D41F46">
        <w:rPr>
          <w:rFonts w:eastAsia="TimesNewRomanPSMT"/>
          <w:lang w:eastAsia="en-US"/>
        </w:rPr>
        <w:t>körper</w:t>
      </w:r>
      <w:r w:rsidR="004B360C" w:rsidRPr="00D41F46">
        <w:rPr>
          <w:rFonts w:eastAsia="TimesNewRomanPSMT"/>
          <w:lang w:eastAsia="en-US"/>
        </w:rPr>
        <w:t xml:space="preserve"> unabhängige Ladetanks“; daher </w:t>
      </w:r>
      <w:r w:rsidR="00DD283F" w:rsidRPr="00D41F46">
        <w:rPr>
          <w:rFonts w:eastAsia="TimesNewRomanPSMT"/>
          <w:lang w:eastAsia="en-US"/>
        </w:rPr>
        <w:t>sollte besser</w:t>
      </w:r>
      <w:r w:rsidR="004B360C" w:rsidRPr="00D41F46">
        <w:rPr>
          <w:rFonts w:eastAsia="TimesNewRomanPSMT"/>
          <w:lang w:eastAsia="en-US"/>
        </w:rPr>
        <w:t xml:space="preserve"> </w:t>
      </w:r>
      <w:r w:rsidR="00DD283F" w:rsidRPr="00D41F46">
        <w:rPr>
          <w:rFonts w:eastAsia="TimesNewRomanPSMT"/>
          <w:lang w:eastAsia="en-US"/>
        </w:rPr>
        <w:t>auf</w:t>
      </w:r>
      <w:r w:rsidR="004B360C" w:rsidRPr="00D41F46">
        <w:rPr>
          <w:rFonts w:eastAsia="TimesNewRomanPSMT"/>
          <w:lang w:eastAsia="en-US"/>
        </w:rPr>
        <w:t xml:space="preserve"> </w:t>
      </w:r>
      <w:r w:rsidR="005648FC" w:rsidRPr="00D41F46">
        <w:rPr>
          <w:rFonts w:eastAsia="TimesNewRomanPSMT"/>
          <w:lang w:eastAsia="en-US"/>
        </w:rPr>
        <w:t>Absatz</w:t>
      </w:r>
      <w:r w:rsidR="004B360C" w:rsidRPr="00D41F46">
        <w:rPr>
          <w:rFonts w:eastAsia="TimesNewRomanPSMT"/>
          <w:lang w:eastAsia="en-US"/>
        </w:rPr>
        <w:t xml:space="preserve"> 9.3.2.11.8 </w:t>
      </w:r>
      <w:r w:rsidR="00DD283F" w:rsidRPr="00D41F46">
        <w:rPr>
          <w:rFonts w:eastAsia="TimesNewRomanPSMT"/>
          <w:lang w:eastAsia="en-US"/>
        </w:rPr>
        <w:t>verwiesen werden</w:t>
      </w:r>
      <w:r w:rsidR="004B360C" w:rsidRPr="00D41F46">
        <w:rPr>
          <w:rFonts w:eastAsia="TimesNewRomanPSMT"/>
          <w:lang w:eastAsia="en-US"/>
        </w:rPr>
        <w:t>.</w:t>
      </w:r>
    </w:p>
    <w:p w:rsidR="00AC0148" w:rsidRPr="00D41F46" w:rsidRDefault="0084454B" w:rsidP="005648FC">
      <w:pPr>
        <w:widowControl/>
        <w:tabs>
          <w:tab w:val="left" w:pos="1418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TimesNewRomanPSMT"/>
          <w:i/>
          <w:lang w:eastAsia="en-US"/>
        </w:rPr>
      </w:pPr>
      <w:r w:rsidRPr="00D41F46">
        <w:rPr>
          <w:rFonts w:eastAsia="TimesNewRomanPSMT"/>
          <w:bCs/>
          <w:i/>
          <w:lang w:eastAsia="en-US"/>
        </w:rPr>
        <w:t>„</w:t>
      </w:r>
      <w:r w:rsidR="00AC0148" w:rsidRPr="00D41F46">
        <w:rPr>
          <w:rFonts w:eastAsia="TimesNewRomanPSMT"/>
          <w:bCs/>
          <w:i/>
          <w:lang w:eastAsia="en-US"/>
        </w:rPr>
        <w:t xml:space="preserve">9.3.2.11.8 </w:t>
      </w:r>
      <w:r w:rsidR="00AC0148" w:rsidRPr="00D41F46">
        <w:rPr>
          <w:rFonts w:eastAsia="TimesNewRomanPSMT"/>
          <w:i/>
          <w:lang w:eastAsia="en-US"/>
        </w:rPr>
        <w:t>Erfolgt der Bau unter Verwendung von unabhängigen oder gekühlten Ladetanks, gilt für den Wallgang des Aufstellungsraums eine Mindestbreite von 0,80</w:t>
      </w:r>
      <w:r w:rsidRPr="00D41F46">
        <w:rPr>
          <w:rFonts w:eastAsia="TimesNewRomanPSMT"/>
          <w:i/>
          <w:lang w:eastAsia="en-US"/>
        </w:rPr>
        <w:t> </w:t>
      </w:r>
      <w:r w:rsidR="00AC0148" w:rsidRPr="00D41F46">
        <w:rPr>
          <w:rFonts w:eastAsia="TimesNewRomanPSMT"/>
          <w:i/>
          <w:lang w:eastAsia="en-US"/>
        </w:rPr>
        <w:t>m und für den Doppelboden des Aufstellungsraums eine Mindesthöhe von 0,60</w:t>
      </w:r>
      <w:r w:rsidRPr="00D41F46">
        <w:rPr>
          <w:rFonts w:eastAsia="TimesNewRomanPSMT"/>
          <w:i/>
          <w:lang w:eastAsia="en-US"/>
        </w:rPr>
        <w:t> </w:t>
      </w:r>
      <w:r w:rsidR="00AC0148" w:rsidRPr="00D41F46">
        <w:rPr>
          <w:rFonts w:eastAsia="TimesNewRomanPSMT"/>
          <w:i/>
          <w:lang w:eastAsia="en-US"/>
        </w:rPr>
        <w:t>m.</w:t>
      </w:r>
      <w:r w:rsidRPr="00D41F46">
        <w:rPr>
          <w:rFonts w:eastAsia="TimesNewRomanPSMT"/>
          <w:i/>
          <w:lang w:eastAsia="en-US"/>
        </w:rPr>
        <w:t>“.</w:t>
      </w:r>
    </w:p>
    <w:p w:rsidR="00AC0148" w:rsidRPr="00D41F46" w:rsidRDefault="00AC0148" w:rsidP="00B318A2">
      <w:pPr>
        <w:widowControl/>
        <w:tabs>
          <w:tab w:val="left" w:pos="1418"/>
        </w:tabs>
        <w:suppressAutoHyphens/>
        <w:overflowPunct/>
        <w:autoSpaceDE/>
        <w:autoSpaceDN/>
        <w:adjustRightInd/>
        <w:spacing w:before="240" w:after="120" w:line="240" w:lineRule="atLeast"/>
        <w:ind w:right="1134" w:firstLine="0"/>
        <w:textAlignment w:val="auto"/>
        <w:rPr>
          <w:rFonts w:eastAsia="TimesNewRomanPSMT"/>
          <w:lang w:eastAsia="en-US"/>
        </w:rPr>
      </w:pPr>
      <w:r w:rsidRPr="00D41F46">
        <w:rPr>
          <w:rFonts w:eastAsia="TimesNewRomanPSMT"/>
          <w:lang w:eastAsia="en-US"/>
        </w:rPr>
        <w:t>4.</w:t>
      </w:r>
      <w:r w:rsidRPr="00D41F46">
        <w:rPr>
          <w:rFonts w:eastAsia="TimesNewRomanPSMT"/>
          <w:lang w:eastAsia="en-US"/>
        </w:rPr>
        <w:tab/>
      </w:r>
      <w:r w:rsidR="007E1117" w:rsidRPr="00D41F46">
        <w:rPr>
          <w:rFonts w:eastAsia="TimesNewRomanPSMT"/>
          <w:lang w:eastAsia="en-US"/>
        </w:rPr>
        <w:t>Beim Lesen des Inhalts der Abschnitte 9.3.2.11.7 und 9.3.2.11.8 scheint es, dass der Verweis i</w:t>
      </w:r>
      <w:r w:rsidR="00C94552" w:rsidRPr="00D41F46">
        <w:rPr>
          <w:rFonts w:eastAsia="TimesNewRomanPSMT"/>
          <w:lang w:eastAsia="en-US"/>
        </w:rPr>
        <w:t xml:space="preserve">n Abschnitt 9.3.2.11.2 </w:t>
      </w:r>
      <w:r w:rsidR="007E1117" w:rsidRPr="00D41F46">
        <w:rPr>
          <w:rFonts w:eastAsia="TimesNewRomanPSMT"/>
          <w:lang w:eastAsia="en-US"/>
        </w:rPr>
        <w:t xml:space="preserve">a) </w:t>
      </w:r>
      <w:r w:rsidR="00515416" w:rsidRPr="00D41F46">
        <w:rPr>
          <w:rFonts w:eastAsia="TimesNewRomanPSMT"/>
          <w:lang w:eastAsia="en-US"/>
        </w:rPr>
        <w:t xml:space="preserve">richtigerweise </w:t>
      </w:r>
      <w:r w:rsidR="007E1117" w:rsidRPr="00D41F46">
        <w:rPr>
          <w:rFonts w:eastAsia="TimesNewRomanPSMT"/>
          <w:lang w:eastAsia="en-US"/>
        </w:rPr>
        <w:t xml:space="preserve">9.3.2.11.8 </w:t>
      </w:r>
      <w:r w:rsidR="00515416" w:rsidRPr="00D41F46">
        <w:rPr>
          <w:rFonts w:eastAsia="TimesNewRomanPSMT"/>
          <w:lang w:eastAsia="en-US"/>
        </w:rPr>
        <w:t>statt</w:t>
      </w:r>
      <w:r w:rsidR="007E1117" w:rsidRPr="00D41F46">
        <w:rPr>
          <w:rFonts w:eastAsia="TimesNewRomanPSMT"/>
          <w:lang w:eastAsia="en-US"/>
        </w:rPr>
        <w:t xml:space="preserve"> 9.3.2.11.7 laute</w:t>
      </w:r>
      <w:r w:rsidR="003315A1" w:rsidRPr="00D41F46">
        <w:rPr>
          <w:rFonts w:eastAsia="TimesNewRomanPSMT"/>
          <w:lang w:eastAsia="en-US"/>
        </w:rPr>
        <w:t>n soll</w:t>
      </w:r>
      <w:r w:rsidR="007E1117" w:rsidRPr="00D41F46">
        <w:rPr>
          <w:rFonts w:eastAsia="TimesNewRomanPSMT"/>
          <w:lang w:eastAsia="en-US"/>
        </w:rPr>
        <w:t>t</w:t>
      </w:r>
      <w:r w:rsidR="003315A1" w:rsidRPr="00D41F46">
        <w:rPr>
          <w:rFonts w:eastAsia="TimesNewRomanPSMT"/>
          <w:lang w:eastAsia="en-US"/>
        </w:rPr>
        <w:t>e</w:t>
      </w:r>
      <w:r w:rsidR="00C94552" w:rsidRPr="00D41F46">
        <w:rPr>
          <w:rFonts w:eastAsia="TimesNewRomanPSMT"/>
          <w:lang w:eastAsia="en-US"/>
        </w:rPr>
        <w:t>.</w:t>
      </w:r>
    </w:p>
    <w:p w:rsidR="00AC0148" w:rsidRPr="00D41F46" w:rsidRDefault="00AC0148" w:rsidP="00B318A2">
      <w:pPr>
        <w:widowControl/>
        <w:tabs>
          <w:tab w:val="left" w:pos="1418"/>
        </w:tabs>
        <w:suppressAutoHyphens/>
        <w:overflowPunct/>
        <w:autoSpaceDE/>
        <w:autoSpaceDN/>
        <w:adjustRightInd/>
        <w:spacing w:before="240" w:after="120" w:line="240" w:lineRule="atLeast"/>
        <w:ind w:right="1134" w:firstLine="0"/>
        <w:textAlignment w:val="auto"/>
        <w:rPr>
          <w:rFonts w:eastAsia="TimesNewRomanPSMT"/>
          <w:lang w:eastAsia="en-US"/>
        </w:rPr>
      </w:pPr>
      <w:r w:rsidRPr="00D41F46">
        <w:rPr>
          <w:rFonts w:eastAsia="TimesNewRomanPSMT"/>
          <w:lang w:eastAsia="en-US"/>
        </w:rPr>
        <w:t>5.</w:t>
      </w:r>
      <w:r w:rsidRPr="00D41F46">
        <w:rPr>
          <w:rFonts w:eastAsia="TimesNewRomanPSMT"/>
          <w:lang w:eastAsia="en-US"/>
        </w:rPr>
        <w:tab/>
      </w:r>
      <w:r w:rsidR="004562DB" w:rsidRPr="00D41F46">
        <w:rPr>
          <w:rFonts w:eastAsia="TimesNewRomanPSMT"/>
          <w:lang w:eastAsia="en-US"/>
        </w:rPr>
        <w:t xml:space="preserve">Seit </w:t>
      </w:r>
      <w:r w:rsidR="00E75E1B" w:rsidRPr="00D41F46">
        <w:rPr>
          <w:rFonts w:eastAsia="TimesNewRomanPSMT"/>
          <w:lang w:eastAsia="en-US"/>
        </w:rPr>
        <w:t xml:space="preserve">der </w:t>
      </w:r>
      <w:r w:rsidR="004562DB" w:rsidRPr="00D41F46">
        <w:rPr>
          <w:rFonts w:eastAsia="TimesNewRomanPSMT"/>
          <w:lang w:eastAsia="en-US"/>
        </w:rPr>
        <w:t>Version 2001 des ADN</w:t>
      </w:r>
      <w:r w:rsidR="00B318A2">
        <w:rPr>
          <w:rFonts w:eastAsia="TimesNewRomanPSMT"/>
          <w:lang w:eastAsia="en-US"/>
        </w:rPr>
        <w:t>R</w:t>
      </w:r>
      <w:r w:rsidR="004562DB" w:rsidRPr="00D41F46">
        <w:rPr>
          <w:rFonts w:eastAsia="TimesNewRomanPSMT"/>
          <w:lang w:eastAsia="en-US"/>
        </w:rPr>
        <w:t xml:space="preserve"> lautet der Verweis (d. h. 9.3.2.11.7) in der französischen, deutschen und russischen Fassung immer gleich.</w:t>
      </w:r>
    </w:p>
    <w:p w:rsidR="00AC0148" w:rsidRPr="00D41F46" w:rsidRDefault="00AC0148" w:rsidP="00AC0148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D41F46">
        <w:rPr>
          <w:b/>
          <w:sz w:val="28"/>
          <w:lang w:eastAsia="en-US"/>
        </w:rPr>
        <w:tab/>
        <w:t>II.</w:t>
      </w:r>
      <w:r w:rsidRPr="00D41F46">
        <w:rPr>
          <w:b/>
          <w:sz w:val="28"/>
          <w:lang w:eastAsia="en-US"/>
        </w:rPr>
        <w:tab/>
      </w:r>
      <w:r w:rsidR="0084454B" w:rsidRPr="00D41F46">
        <w:rPr>
          <w:b/>
          <w:sz w:val="28"/>
          <w:lang w:eastAsia="en-US"/>
        </w:rPr>
        <w:t>Änderungsvorschlag</w:t>
      </w:r>
    </w:p>
    <w:p w:rsidR="00AC0148" w:rsidRPr="00D41F46" w:rsidRDefault="00AC0148" w:rsidP="00AC0148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TimesNewRomanPSMT"/>
          <w:lang w:eastAsia="en-US"/>
        </w:rPr>
      </w:pPr>
      <w:r w:rsidRPr="00D41F46">
        <w:rPr>
          <w:rFonts w:eastAsia="TimesNewRomanPSMT" w:cs="Calibri"/>
          <w:lang w:eastAsia="en-US"/>
        </w:rPr>
        <w:t>6.</w:t>
      </w:r>
      <w:r w:rsidRPr="00D41F46">
        <w:rPr>
          <w:rFonts w:eastAsia="TimesNewRomanPSMT" w:cs="Calibri"/>
          <w:lang w:eastAsia="en-US"/>
        </w:rPr>
        <w:tab/>
      </w:r>
      <w:r w:rsidR="0084454B" w:rsidRPr="00D41F46">
        <w:rPr>
          <w:lang w:eastAsia="en-US"/>
        </w:rPr>
        <w:t>Änderungsvorschlag</w:t>
      </w:r>
      <w:r w:rsidRPr="00D41F46">
        <w:rPr>
          <w:lang w:eastAsia="en-US"/>
        </w:rPr>
        <w:t>:</w:t>
      </w:r>
    </w:p>
    <w:p w:rsidR="0084454B" w:rsidRPr="00D41F46" w:rsidRDefault="0084454B" w:rsidP="0084454B">
      <w:pPr>
        <w:widowControl/>
        <w:overflowPunct/>
        <w:ind w:right="990" w:firstLine="0"/>
        <w:textAlignment w:val="auto"/>
        <w:rPr>
          <w:i/>
          <w:lang w:eastAsia="de-DE"/>
        </w:rPr>
      </w:pPr>
      <w:r w:rsidRPr="00D41F46">
        <w:rPr>
          <w:bCs/>
          <w:i/>
          <w:lang w:eastAsia="de-DE"/>
        </w:rPr>
        <w:t xml:space="preserve">„9.3.2.11.2 </w:t>
      </w:r>
      <w:r w:rsidRPr="00D41F46">
        <w:rPr>
          <w:i/>
          <w:lang w:eastAsia="de-DE"/>
        </w:rPr>
        <w:t xml:space="preserve">a) Das Schiff muss im Bereich der Ladung (ausgenommen Kofferdämme) als Glattdeck-Doppelhüllenschiff mit Wallgängen, Doppelboden und ohne Trunk ausgeführt sein. </w:t>
      </w:r>
    </w:p>
    <w:p w:rsidR="0084454B" w:rsidRPr="00D41F46" w:rsidRDefault="0084454B" w:rsidP="0084454B">
      <w:pPr>
        <w:widowControl/>
        <w:overflowPunct/>
        <w:ind w:right="990" w:firstLine="0"/>
        <w:textAlignment w:val="auto"/>
        <w:rPr>
          <w:i/>
          <w:lang w:eastAsia="de-DE"/>
        </w:rPr>
      </w:pPr>
    </w:p>
    <w:p w:rsidR="0084454B" w:rsidRPr="00D41F46" w:rsidRDefault="0084454B" w:rsidP="0084454B">
      <w:pPr>
        <w:widowControl/>
        <w:overflowPunct/>
        <w:ind w:right="990" w:firstLine="0"/>
        <w:textAlignment w:val="auto"/>
        <w:rPr>
          <w:i/>
          <w:lang w:eastAsia="de-DE"/>
        </w:rPr>
      </w:pPr>
      <w:r w:rsidRPr="00D41F46">
        <w:rPr>
          <w:i/>
          <w:lang w:eastAsia="de-DE"/>
        </w:rPr>
        <w:t>Vom Schiffskörper unabhängige Ladetanks und gekühlte Ladetanks dürfen nur in einem Aufstellungsraum, der durch Wallgänge und Doppelboden gemäß Absatz </w:t>
      </w:r>
      <w:r w:rsidRPr="00D41F46">
        <w:rPr>
          <w:i/>
          <w:strike/>
          <w:lang w:eastAsia="de-DE"/>
        </w:rPr>
        <w:t>9.3.2.11.7</w:t>
      </w:r>
      <w:r w:rsidRPr="00D41F46">
        <w:rPr>
          <w:i/>
          <w:lang w:eastAsia="de-DE"/>
        </w:rPr>
        <w:t xml:space="preserve"> </w:t>
      </w:r>
      <w:r w:rsidRPr="00D41F46">
        <w:rPr>
          <w:i/>
          <w:u w:val="single"/>
          <w:lang w:eastAsia="de-DE"/>
        </w:rPr>
        <w:t>9.3.2.11.8</w:t>
      </w:r>
      <w:r w:rsidRPr="00D41F46">
        <w:rPr>
          <w:i/>
          <w:lang w:eastAsia="de-DE"/>
        </w:rPr>
        <w:t xml:space="preserve"> gebildet wird, aufgestellt sein. Ladetanks dürfen nicht über das Deck hinausragen. …</w:t>
      </w:r>
      <w:r w:rsidR="001A3FD6" w:rsidRPr="00D41F46">
        <w:rPr>
          <w:rFonts w:eastAsia="TimesNewRomanPSMT"/>
          <w:i/>
          <w:lang w:eastAsia="en-US"/>
        </w:rPr>
        <w:t>“</w:t>
      </w:r>
      <w:r w:rsidRPr="00D41F46">
        <w:rPr>
          <w:i/>
          <w:lang w:eastAsia="de-DE"/>
        </w:rPr>
        <w:t>.</w:t>
      </w:r>
    </w:p>
    <w:p w:rsidR="00F8067A" w:rsidRPr="00D41F46" w:rsidRDefault="00F8067A" w:rsidP="00F8067A">
      <w:pPr>
        <w:tabs>
          <w:tab w:val="left" w:pos="567"/>
          <w:tab w:val="left" w:pos="1418"/>
        </w:tabs>
        <w:spacing w:line="240" w:lineRule="atLeast"/>
        <w:ind w:left="0" w:firstLine="0"/>
        <w:contextualSpacing/>
      </w:pPr>
    </w:p>
    <w:p w:rsidR="00751575" w:rsidRPr="00F8067A" w:rsidRDefault="00F8067A" w:rsidP="00F8067A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</w:pPr>
      <w:r w:rsidRPr="00D41F46">
        <w:t>***</w:t>
      </w:r>
    </w:p>
    <w:sectPr w:rsidR="00751575" w:rsidRPr="00F8067A" w:rsidSect="00596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6A" w:rsidRDefault="00D4056A" w:rsidP="0011702A">
      <w:r>
        <w:separator/>
      </w:r>
    </w:p>
  </w:endnote>
  <w:endnote w:type="continuationSeparator" w:id="0">
    <w:p w:rsidR="00D4056A" w:rsidRDefault="00D4056A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7A" w:rsidRPr="00F8067A" w:rsidRDefault="00AC0148" w:rsidP="00F8067A">
    <w:pPr>
      <w:pStyle w:val="Footer"/>
      <w:jc w:val="right"/>
      <w:rPr>
        <w:rFonts w:ascii="Arial" w:hAnsi="Arial"/>
        <w:noProof/>
        <w:sz w:val="12"/>
        <w:szCs w:val="24"/>
        <w:lang w:val="fr-FR"/>
      </w:rPr>
    </w:pPr>
    <w:r>
      <w:rPr>
        <w:rFonts w:ascii="Arial" w:hAnsi="Arial"/>
        <w:noProof/>
        <w:sz w:val="12"/>
        <w:szCs w:val="24"/>
        <w:lang w:val="fr-FR"/>
      </w:rPr>
      <w:t>m</w:t>
    </w:r>
    <w:r w:rsidR="00F8067A" w:rsidRPr="00F8067A">
      <w:rPr>
        <w:rFonts w:ascii="Arial" w:hAnsi="Arial"/>
        <w:noProof/>
        <w:sz w:val="12"/>
        <w:szCs w:val="24"/>
        <w:lang w:val="fr-FR"/>
      </w:rPr>
      <w:t>m</w:t>
    </w:r>
    <w:r>
      <w:rPr>
        <w:rFonts w:ascii="Arial" w:hAnsi="Arial"/>
        <w:noProof/>
        <w:sz w:val="12"/>
        <w:szCs w:val="24"/>
        <w:lang w:val="fr-FR"/>
      </w:rPr>
      <w:t>_ba</w:t>
    </w:r>
    <w:r w:rsidR="00F8067A" w:rsidRPr="00F8067A">
      <w:rPr>
        <w:rFonts w:ascii="Arial" w:hAnsi="Arial"/>
        <w:noProof/>
        <w:sz w:val="12"/>
        <w:szCs w:val="24"/>
        <w:lang w:val="fr-FR"/>
      </w:rPr>
      <w:t>/adn_wp15_ac2_2018_</w:t>
    </w:r>
    <w:r>
      <w:rPr>
        <w:rFonts w:ascii="Arial" w:hAnsi="Arial"/>
        <w:noProof/>
        <w:sz w:val="12"/>
        <w:szCs w:val="24"/>
        <w:lang w:val="fr-FR"/>
      </w:rPr>
      <w:t>1</w:t>
    </w:r>
    <w:r w:rsidR="0084454B">
      <w:rPr>
        <w:rFonts w:ascii="Arial" w:hAnsi="Arial"/>
        <w:noProof/>
        <w:sz w:val="12"/>
        <w:szCs w:val="24"/>
        <w:lang w:val="fr-FR"/>
      </w:rPr>
      <w:t>4</w:t>
    </w:r>
    <w:r w:rsidR="00F8067A" w:rsidRPr="00F8067A">
      <w:rPr>
        <w:rFonts w:ascii="Arial" w:hAnsi="Arial"/>
        <w:noProof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7A" w:rsidRPr="00F8067A" w:rsidRDefault="00F8067A" w:rsidP="00F8067A">
    <w:pPr>
      <w:pStyle w:val="Footer"/>
      <w:jc w:val="right"/>
      <w:rPr>
        <w:rFonts w:ascii="Arial" w:hAnsi="Arial"/>
        <w:noProof/>
        <w:sz w:val="12"/>
        <w:szCs w:val="24"/>
        <w:lang w:val="fr-FR"/>
      </w:rPr>
    </w:pPr>
    <w:r w:rsidRPr="00F8067A">
      <w:rPr>
        <w:rFonts w:ascii="Arial" w:hAnsi="Arial"/>
        <w:noProof/>
        <w:sz w:val="12"/>
        <w:szCs w:val="24"/>
        <w:lang w:val="fr-FR"/>
      </w:rPr>
      <w:t>mm/adn_wp15_ac2_2018_</w:t>
    </w:r>
    <w:r w:rsidR="009D2885">
      <w:rPr>
        <w:rFonts w:ascii="Arial" w:hAnsi="Arial"/>
        <w:noProof/>
        <w:sz w:val="12"/>
        <w:szCs w:val="24"/>
        <w:lang w:val="fr-FR"/>
      </w:rPr>
      <w:t>9</w:t>
    </w:r>
    <w:r w:rsidRPr="00F8067A">
      <w:rPr>
        <w:rFonts w:ascii="Arial" w:hAnsi="Arial"/>
        <w:noProof/>
        <w:sz w:val="12"/>
        <w:szCs w:val="24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D6" w:rsidRDefault="001A3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6A" w:rsidRDefault="00D4056A" w:rsidP="0011702A">
      <w:r>
        <w:separator/>
      </w:r>
    </w:p>
  </w:footnote>
  <w:footnote w:type="continuationSeparator" w:id="0">
    <w:p w:rsidR="00D4056A" w:rsidRDefault="00D4056A" w:rsidP="0011702A">
      <w:r>
        <w:continuationSeparator/>
      </w:r>
    </w:p>
  </w:footnote>
  <w:footnote w:id="1">
    <w:p w:rsidR="00F8067A" w:rsidRPr="00D41F46" w:rsidRDefault="00F8067A" w:rsidP="00F8067A">
      <w:pPr>
        <w:pStyle w:val="FootnoteText"/>
        <w:ind w:left="284" w:hanging="284"/>
        <w:rPr>
          <w:sz w:val="16"/>
          <w:szCs w:val="16"/>
        </w:rPr>
      </w:pPr>
      <w:r w:rsidRPr="00D41F46">
        <w:rPr>
          <w:rStyle w:val="FootnoteReference"/>
          <w:sz w:val="16"/>
          <w:szCs w:val="16"/>
        </w:rPr>
        <w:footnoteRef/>
      </w:r>
      <w:r w:rsidRPr="00D41F46">
        <w:rPr>
          <w:sz w:val="16"/>
          <w:szCs w:val="16"/>
        </w:rPr>
        <w:t xml:space="preserve"> </w:t>
      </w:r>
      <w:r w:rsidRPr="00D41F46">
        <w:rPr>
          <w:sz w:val="16"/>
          <w:szCs w:val="16"/>
        </w:rPr>
        <w:tab/>
        <w:t>Von der UN-ECE in Englisch, Französisch und Russisch unter dem Aktenzeichen ECE/TRANS/WP.15/AC.2/2018/</w:t>
      </w:r>
      <w:r w:rsidR="00AC0148" w:rsidRPr="00D41F46">
        <w:rPr>
          <w:sz w:val="16"/>
          <w:szCs w:val="16"/>
        </w:rPr>
        <w:t>1</w:t>
      </w:r>
      <w:r w:rsidR="004E5665">
        <w:rPr>
          <w:sz w:val="16"/>
          <w:szCs w:val="16"/>
        </w:rPr>
        <w:t>4</w:t>
      </w:r>
      <w:r w:rsidRPr="00D41F46">
        <w:rPr>
          <w:sz w:val="16"/>
          <w:szCs w:val="16"/>
        </w:rPr>
        <w:t xml:space="preserve"> verteilt.</w:t>
      </w:r>
    </w:p>
  </w:footnote>
  <w:footnote w:id="2">
    <w:p w:rsidR="00F8067A" w:rsidRPr="00F8067A" w:rsidRDefault="00F8067A" w:rsidP="00F8067A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D41F46">
        <w:rPr>
          <w:rStyle w:val="FootnoteReference"/>
          <w:sz w:val="16"/>
          <w:szCs w:val="16"/>
        </w:rPr>
        <w:footnoteRef/>
      </w:r>
      <w:r w:rsidRPr="00D41F46">
        <w:rPr>
          <w:sz w:val="16"/>
          <w:szCs w:val="16"/>
        </w:rPr>
        <w:t xml:space="preserve"> </w:t>
      </w:r>
      <w:r w:rsidRPr="00D41F46">
        <w:rPr>
          <w:sz w:val="16"/>
          <w:szCs w:val="16"/>
        </w:rPr>
        <w:tab/>
      </w:r>
      <w:r w:rsidR="009D2885" w:rsidRPr="00D41F46">
        <w:rPr>
          <w:sz w:val="16"/>
          <w:szCs w:val="16"/>
        </w:rPr>
        <w:t>Entsprechend dem Arbeitsprogramm des Binnenverkehrsausschusses für 2017-2018 (ECE/TRANS/WP.15/237 Anlage V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8067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11545F" w:rsidRPr="00F8067A">
      <w:rPr>
        <w:rFonts w:ascii="Arial" w:hAnsi="Arial"/>
        <w:snapToGrid w:val="0"/>
        <w:sz w:val="16"/>
        <w:szCs w:val="16"/>
        <w:lang w:val="en-US"/>
      </w:rPr>
      <w:t>2018</w:t>
    </w:r>
    <w:r w:rsidRPr="00F8067A">
      <w:rPr>
        <w:rFonts w:ascii="Arial" w:hAnsi="Arial"/>
        <w:snapToGrid w:val="0"/>
        <w:sz w:val="16"/>
        <w:szCs w:val="16"/>
        <w:lang w:val="en-US"/>
      </w:rPr>
      <w:t>/</w:t>
    </w:r>
    <w:r w:rsidR="00AC0148">
      <w:rPr>
        <w:rFonts w:ascii="Arial" w:hAnsi="Arial"/>
        <w:snapToGrid w:val="0"/>
        <w:sz w:val="16"/>
        <w:szCs w:val="16"/>
        <w:lang w:val="en-US"/>
      </w:rPr>
      <w:t>1</w:t>
    </w:r>
    <w:r w:rsidR="0084454B">
      <w:rPr>
        <w:rFonts w:ascii="Arial" w:hAnsi="Arial"/>
        <w:snapToGrid w:val="0"/>
        <w:sz w:val="16"/>
        <w:szCs w:val="16"/>
        <w:lang w:val="en-US"/>
      </w:rPr>
      <w:t>4</w:t>
    </w:r>
  </w:p>
  <w:p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F8067A">
      <w:rPr>
        <w:rFonts w:ascii="Arial" w:hAnsi="Arial"/>
        <w:snapToGrid w:val="0"/>
        <w:sz w:val="16"/>
        <w:szCs w:val="16"/>
      </w:rPr>
      <w:t xml:space="preserve">Seite </w:t>
    </w:r>
    <w:r w:rsidRPr="00F8067A">
      <w:rPr>
        <w:rFonts w:ascii="Arial" w:hAnsi="Arial"/>
        <w:snapToGrid w:val="0"/>
        <w:sz w:val="16"/>
        <w:szCs w:val="16"/>
      </w:rPr>
      <w:fldChar w:fldCharType="begin"/>
    </w:r>
    <w:r w:rsidRPr="00F8067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8067A">
      <w:rPr>
        <w:rFonts w:ascii="Arial" w:hAnsi="Arial"/>
        <w:snapToGrid w:val="0"/>
        <w:sz w:val="16"/>
        <w:szCs w:val="16"/>
      </w:rPr>
      <w:fldChar w:fldCharType="separate"/>
    </w:r>
    <w:r w:rsidR="008908B8">
      <w:rPr>
        <w:rFonts w:ascii="Arial" w:hAnsi="Arial"/>
        <w:noProof/>
        <w:snapToGrid w:val="0"/>
        <w:sz w:val="16"/>
        <w:szCs w:val="16"/>
      </w:rPr>
      <w:t>2</w:t>
    </w:r>
    <w:r w:rsidRPr="00F8067A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8067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B9072B" w:rsidRPr="00F8067A">
      <w:rPr>
        <w:rFonts w:ascii="Arial" w:hAnsi="Arial"/>
        <w:snapToGrid w:val="0"/>
        <w:sz w:val="16"/>
        <w:szCs w:val="16"/>
        <w:lang w:val="en-US"/>
      </w:rPr>
      <w:t>2018/</w:t>
    </w:r>
    <w:r w:rsidR="009D2885">
      <w:rPr>
        <w:rFonts w:ascii="Arial" w:hAnsi="Arial"/>
        <w:snapToGrid w:val="0"/>
        <w:sz w:val="16"/>
        <w:szCs w:val="16"/>
        <w:lang w:val="en-US"/>
      </w:rPr>
      <w:t>9</w:t>
    </w:r>
  </w:p>
  <w:p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F8067A">
      <w:rPr>
        <w:rFonts w:ascii="Arial" w:hAnsi="Arial"/>
        <w:snapToGrid w:val="0"/>
        <w:sz w:val="16"/>
        <w:szCs w:val="16"/>
      </w:rPr>
      <w:t xml:space="preserve">Seite </w:t>
    </w:r>
    <w:r w:rsidRPr="00F8067A">
      <w:rPr>
        <w:rFonts w:ascii="Arial" w:hAnsi="Arial"/>
        <w:snapToGrid w:val="0"/>
        <w:sz w:val="16"/>
        <w:szCs w:val="16"/>
      </w:rPr>
      <w:fldChar w:fldCharType="begin"/>
    </w:r>
    <w:r w:rsidRPr="00F8067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8067A">
      <w:rPr>
        <w:rFonts w:ascii="Arial" w:hAnsi="Arial"/>
        <w:snapToGrid w:val="0"/>
        <w:sz w:val="16"/>
        <w:szCs w:val="16"/>
      </w:rPr>
      <w:fldChar w:fldCharType="separate"/>
    </w:r>
    <w:r w:rsidR="004E5665">
      <w:rPr>
        <w:rFonts w:ascii="Arial" w:hAnsi="Arial"/>
        <w:noProof/>
        <w:snapToGrid w:val="0"/>
        <w:sz w:val="16"/>
        <w:szCs w:val="16"/>
      </w:rPr>
      <w:t>3</w:t>
    </w:r>
    <w:r w:rsidRPr="00F8067A">
      <w:rPr>
        <w:rFonts w:ascii="Arial" w:hAnsi="Arial"/>
        <w:snapToGrid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D6" w:rsidRDefault="001A3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0B0F34"/>
    <w:multiLevelType w:val="hybridMultilevel"/>
    <w:tmpl w:val="8A4C19E2"/>
    <w:lvl w:ilvl="0" w:tplc="97D098C6">
      <w:start w:val="7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7D946AC7"/>
    <w:multiLevelType w:val="hybridMultilevel"/>
    <w:tmpl w:val="0E844220"/>
    <w:lvl w:ilvl="0" w:tplc="059ED9FA">
      <w:start w:val="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DE"/>
    <w:rsid w:val="000049F5"/>
    <w:rsid w:val="00006820"/>
    <w:rsid w:val="000143A3"/>
    <w:rsid w:val="00014D4F"/>
    <w:rsid w:val="00016593"/>
    <w:rsid w:val="00026176"/>
    <w:rsid w:val="0003284B"/>
    <w:rsid w:val="00034828"/>
    <w:rsid w:val="0004134B"/>
    <w:rsid w:val="000420F7"/>
    <w:rsid w:val="00047E84"/>
    <w:rsid w:val="00052E7E"/>
    <w:rsid w:val="000563D5"/>
    <w:rsid w:val="00056B10"/>
    <w:rsid w:val="000625E5"/>
    <w:rsid w:val="00076F9A"/>
    <w:rsid w:val="00080275"/>
    <w:rsid w:val="00080F60"/>
    <w:rsid w:val="00090A58"/>
    <w:rsid w:val="0009215A"/>
    <w:rsid w:val="00095D13"/>
    <w:rsid w:val="00097410"/>
    <w:rsid w:val="000A1A85"/>
    <w:rsid w:val="000A324C"/>
    <w:rsid w:val="000A46AB"/>
    <w:rsid w:val="000A6549"/>
    <w:rsid w:val="000B3573"/>
    <w:rsid w:val="000C108A"/>
    <w:rsid w:val="000C6E63"/>
    <w:rsid w:val="000C72ED"/>
    <w:rsid w:val="000C754F"/>
    <w:rsid w:val="000C795B"/>
    <w:rsid w:val="000D3D4C"/>
    <w:rsid w:val="000D4406"/>
    <w:rsid w:val="000D5D27"/>
    <w:rsid w:val="000D74F9"/>
    <w:rsid w:val="000D7FD6"/>
    <w:rsid w:val="000E4620"/>
    <w:rsid w:val="000E4CDE"/>
    <w:rsid w:val="000E6786"/>
    <w:rsid w:val="000F6242"/>
    <w:rsid w:val="000F79E4"/>
    <w:rsid w:val="001013D7"/>
    <w:rsid w:val="00106FC3"/>
    <w:rsid w:val="00113A60"/>
    <w:rsid w:val="00114102"/>
    <w:rsid w:val="0011545F"/>
    <w:rsid w:val="0011702A"/>
    <w:rsid w:val="0012236C"/>
    <w:rsid w:val="00124B75"/>
    <w:rsid w:val="00126AA9"/>
    <w:rsid w:val="00131CD7"/>
    <w:rsid w:val="0013626E"/>
    <w:rsid w:val="00137593"/>
    <w:rsid w:val="00143354"/>
    <w:rsid w:val="00144FA5"/>
    <w:rsid w:val="00156782"/>
    <w:rsid w:val="00156903"/>
    <w:rsid w:val="00156ACE"/>
    <w:rsid w:val="0016790C"/>
    <w:rsid w:val="001729A2"/>
    <w:rsid w:val="001739E9"/>
    <w:rsid w:val="00176072"/>
    <w:rsid w:val="0017767A"/>
    <w:rsid w:val="001878DE"/>
    <w:rsid w:val="00190390"/>
    <w:rsid w:val="001A078E"/>
    <w:rsid w:val="001A3FD6"/>
    <w:rsid w:val="001B4F22"/>
    <w:rsid w:val="001B7B3E"/>
    <w:rsid w:val="001C0E5C"/>
    <w:rsid w:val="001C1D1B"/>
    <w:rsid w:val="001C269B"/>
    <w:rsid w:val="001C4ED8"/>
    <w:rsid w:val="001D1B0A"/>
    <w:rsid w:val="001D7CA6"/>
    <w:rsid w:val="001E133B"/>
    <w:rsid w:val="001E4D07"/>
    <w:rsid w:val="001F6ABC"/>
    <w:rsid w:val="0020240A"/>
    <w:rsid w:val="00202E6D"/>
    <w:rsid w:val="0020431D"/>
    <w:rsid w:val="00205465"/>
    <w:rsid w:val="002132D2"/>
    <w:rsid w:val="00223DF9"/>
    <w:rsid w:val="0023288F"/>
    <w:rsid w:val="00235B56"/>
    <w:rsid w:val="00240203"/>
    <w:rsid w:val="002431F2"/>
    <w:rsid w:val="002473E1"/>
    <w:rsid w:val="00250FDB"/>
    <w:rsid w:val="00255192"/>
    <w:rsid w:val="00257C39"/>
    <w:rsid w:val="0027414F"/>
    <w:rsid w:val="00283323"/>
    <w:rsid w:val="00291CB3"/>
    <w:rsid w:val="002A337E"/>
    <w:rsid w:val="002A53A6"/>
    <w:rsid w:val="002C0469"/>
    <w:rsid w:val="002D1BFB"/>
    <w:rsid w:val="002E3745"/>
    <w:rsid w:val="002E6A16"/>
    <w:rsid w:val="002E7227"/>
    <w:rsid w:val="002F4FC6"/>
    <w:rsid w:val="003033DD"/>
    <w:rsid w:val="00316D5A"/>
    <w:rsid w:val="0032045B"/>
    <w:rsid w:val="003233C8"/>
    <w:rsid w:val="00325D76"/>
    <w:rsid w:val="00326B14"/>
    <w:rsid w:val="00326DE9"/>
    <w:rsid w:val="003315A1"/>
    <w:rsid w:val="003317A7"/>
    <w:rsid w:val="00337284"/>
    <w:rsid w:val="003439FC"/>
    <w:rsid w:val="00344C19"/>
    <w:rsid w:val="00357412"/>
    <w:rsid w:val="00361725"/>
    <w:rsid w:val="00364E68"/>
    <w:rsid w:val="003702C7"/>
    <w:rsid w:val="00370BB8"/>
    <w:rsid w:val="00377CE8"/>
    <w:rsid w:val="0038428F"/>
    <w:rsid w:val="00387545"/>
    <w:rsid w:val="0039080F"/>
    <w:rsid w:val="003931FE"/>
    <w:rsid w:val="00394699"/>
    <w:rsid w:val="00397E52"/>
    <w:rsid w:val="003A2337"/>
    <w:rsid w:val="003B0DF4"/>
    <w:rsid w:val="003B23DA"/>
    <w:rsid w:val="003C00EA"/>
    <w:rsid w:val="003C61C4"/>
    <w:rsid w:val="003C7035"/>
    <w:rsid w:val="003D0FA5"/>
    <w:rsid w:val="003D3605"/>
    <w:rsid w:val="003E6E61"/>
    <w:rsid w:val="00400ADD"/>
    <w:rsid w:val="00401179"/>
    <w:rsid w:val="00406965"/>
    <w:rsid w:val="00410285"/>
    <w:rsid w:val="004176F9"/>
    <w:rsid w:val="00427609"/>
    <w:rsid w:val="00427804"/>
    <w:rsid w:val="00430CD0"/>
    <w:rsid w:val="00432779"/>
    <w:rsid w:val="00432E08"/>
    <w:rsid w:val="00446085"/>
    <w:rsid w:val="004562DB"/>
    <w:rsid w:val="00466FB5"/>
    <w:rsid w:val="00472198"/>
    <w:rsid w:val="00476E9E"/>
    <w:rsid w:val="004819A4"/>
    <w:rsid w:val="0048292C"/>
    <w:rsid w:val="004836F9"/>
    <w:rsid w:val="004847DC"/>
    <w:rsid w:val="00492FA6"/>
    <w:rsid w:val="0049746A"/>
    <w:rsid w:val="004A0752"/>
    <w:rsid w:val="004A3FE7"/>
    <w:rsid w:val="004A46B8"/>
    <w:rsid w:val="004B0D93"/>
    <w:rsid w:val="004B360C"/>
    <w:rsid w:val="004B7EA6"/>
    <w:rsid w:val="004C18DE"/>
    <w:rsid w:val="004D4CA5"/>
    <w:rsid w:val="004D4E53"/>
    <w:rsid w:val="004E5665"/>
    <w:rsid w:val="004E622A"/>
    <w:rsid w:val="004F4DE3"/>
    <w:rsid w:val="004F5608"/>
    <w:rsid w:val="0051476B"/>
    <w:rsid w:val="00515416"/>
    <w:rsid w:val="00534340"/>
    <w:rsid w:val="00540683"/>
    <w:rsid w:val="00547D68"/>
    <w:rsid w:val="005533B4"/>
    <w:rsid w:val="00561447"/>
    <w:rsid w:val="005648FC"/>
    <w:rsid w:val="0056605A"/>
    <w:rsid w:val="00573D3E"/>
    <w:rsid w:val="0057786D"/>
    <w:rsid w:val="00582B60"/>
    <w:rsid w:val="00583496"/>
    <w:rsid w:val="00583E9F"/>
    <w:rsid w:val="00585999"/>
    <w:rsid w:val="00586819"/>
    <w:rsid w:val="00591A7D"/>
    <w:rsid w:val="00593E26"/>
    <w:rsid w:val="00595C5C"/>
    <w:rsid w:val="00596953"/>
    <w:rsid w:val="005A1A44"/>
    <w:rsid w:val="005A5B6A"/>
    <w:rsid w:val="005B6280"/>
    <w:rsid w:val="005C1940"/>
    <w:rsid w:val="005C558D"/>
    <w:rsid w:val="005C7246"/>
    <w:rsid w:val="005C7902"/>
    <w:rsid w:val="005D3B31"/>
    <w:rsid w:val="005E1804"/>
    <w:rsid w:val="005E5104"/>
    <w:rsid w:val="005E5EF7"/>
    <w:rsid w:val="005F26AD"/>
    <w:rsid w:val="005F58DF"/>
    <w:rsid w:val="0060269E"/>
    <w:rsid w:val="006047AC"/>
    <w:rsid w:val="00607B11"/>
    <w:rsid w:val="006111A3"/>
    <w:rsid w:val="00611C20"/>
    <w:rsid w:val="0061668A"/>
    <w:rsid w:val="00620982"/>
    <w:rsid w:val="006256AF"/>
    <w:rsid w:val="00626C86"/>
    <w:rsid w:val="00630422"/>
    <w:rsid w:val="006373FA"/>
    <w:rsid w:val="00642215"/>
    <w:rsid w:val="00643AEA"/>
    <w:rsid w:val="00651386"/>
    <w:rsid w:val="00661FED"/>
    <w:rsid w:val="0066312D"/>
    <w:rsid w:val="00666284"/>
    <w:rsid w:val="00670028"/>
    <w:rsid w:val="006764F1"/>
    <w:rsid w:val="00690A5F"/>
    <w:rsid w:val="0069164E"/>
    <w:rsid w:val="006924C5"/>
    <w:rsid w:val="006970A1"/>
    <w:rsid w:val="006A0959"/>
    <w:rsid w:val="006A507B"/>
    <w:rsid w:val="006A73AD"/>
    <w:rsid w:val="006A7F94"/>
    <w:rsid w:val="006B57B7"/>
    <w:rsid w:val="006B6FC7"/>
    <w:rsid w:val="006B7C55"/>
    <w:rsid w:val="006D1972"/>
    <w:rsid w:val="006D78CA"/>
    <w:rsid w:val="006E498C"/>
    <w:rsid w:val="006F3C42"/>
    <w:rsid w:val="00702BE6"/>
    <w:rsid w:val="00706883"/>
    <w:rsid w:val="007225A1"/>
    <w:rsid w:val="00742BD3"/>
    <w:rsid w:val="00751575"/>
    <w:rsid w:val="00754516"/>
    <w:rsid w:val="0075583E"/>
    <w:rsid w:val="00760FB2"/>
    <w:rsid w:val="007652AB"/>
    <w:rsid w:val="007705CB"/>
    <w:rsid w:val="00773B7E"/>
    <w:rsid w:val="0079124E"/>
    <w:rsid w:val="00792E94"/>
    <w:rsid w:val="007A13C0"/>
    <w:rsid w:val="007A19A7"/>
    <w:rsid w:val="007A584D"/>
    <w:rsid w:val="007B5D5A"/>
    <w:rsid w:val="007C1AA7"/>
    <w:rsid w:val="007C5305"/>
    <w:rsid w:val="007D1EF9"/>
    <w:rsid w:val="007D2FA0"/>
    <w:rsid w:val="007D6265"/>
    <w:rsid w:val="007D7EEA"/>
    <w:rsid w:val="007E1117"/>
    <w:rsid w:val="007E7F2A"/>
    <w:rsid w:val="00800163"/>
    <w:rsid w:val="00805AEB"/>
    <w:rsid w:val="00810504"/>
    <w:rsid w:val="0081450F"/>
    <w:rsid w:val="00826787"/>
    <w:rsid w:val="00834438"/>
    <w:rsid w:val="00835551"/>
    <w:rsid w:val="00837FB8"/>
    <w:rsid w:val="00841328"/>
    <w:rsid w:val="0084454B"/>
    <w:rsid w:val="00852BEF"/>
    <w:rsid w:val="00854209"/>
    <w:rsid w:val="0086477D"/>
    <w:rsid w:val="00876F50"/>
    <w:rsid w:val="008908B8"/>
    <w:rsid w:val="00894221"/>
    <w:rsid w:val="00896081"/>
    <w:rsid w:val="008967B7"/>
    <w:rsid w:val="008B3106"/>
    <w:rsid w:val="008B5544"/>
    <w:rsid w:val="008B7C4B"/>
    <w:rsid w:val="008C3601"/>
    <w:rsid w:val="008D3CEC"/>
    <w:rsid w:val="008E6B36"/>
    <w:rsid w:val="008F4B57"/>
    <w:rsid w:val="00903D48"/>
    <w:rsid w:val="0090748A"/>
    <w:rsid w:val="00912A46"/>
    <w:rsid w:val="009422FA"/>
    <w:rsid w:val="0094733D"/>
    <w:rsid w:val="00953866"/>
    <w:rsid w:val="00962147"/>
    <w:rsid w:val="00962E31"/>
    <w:rsid w:val="00965DC5"/>
    <w:rsid w:val="00966C68"/>
    <w:rsid w:val="00966CE6"/>
    <w:rsid w:val="009733A6"/>
    <w:rsid w:val="00975B09"/>
    <w:rsid w:val="009771C0"/>
    <w:rsid w:val="009777E8"/>
    <w:rsid w:val="0098158C"/>
    <w:rsid w:val="00981925"/>
    <w:rsid w:val="00982F17"/>
    <w:rsid w:val="0099031A"/>
    <w:rsid w:val="00991BA0"/>
    <w:rsid w:val="009A2C98"/>
    <w:rsid w:val="009A4FC8"/>
    <w:rsid w:val="009C79C4"/>
    <w:rsid w:val="009D2885"/>
    <w:rsid w:val="009E281C"/>
    <w:rsid w:val="009E3EBD"/>
    <w:rsid w:val="009E795B"/>
    <w:rsid w:val="009F0973"/>
    <w:rsid w:val="009F2DD9"/>
    <w:rsid w:val="009F31E1"/>
    <w:rsid w:val="00A005D6"/>
    <w:rsid w:val="00A0723D"/>
    <w:rsid w:val="00A1389E"/>
    <w:rsid w:val="00A17F67"/>
    <w:rsid w:val="00A21A7D"/>
    <w:rsid w:val="00A2645D"/>
    <w:rsid w:val="00A27409"/>
    <w:rsid w:val="00A410D7"/>
    <w:rsid w:val="00A44AF1"/>
    <w:rsid w:val="00A57CE8"/>
    <w:rsid w:val="00A62126"/>
    <w:rsid w:val="00A71FAE"/>
    <w:rsid w:val="00A7621C"/>
    <w:rsid w:val="00A77993"/>
    <w:rsid w:val="00A77C4E"/>
    <w:rsid w:val="00A81D2D"/>
    <w:rsid w:val="00A849B8"/>
    <w:rsid w:val="00A917C1"/>
    <w:rsid w:val="00A92623"/>
    <w:rsid w:val="00A94B80"/>
    <w:rsid w:val="00AA4ECD"/>
    <w:rsid w:val="00AB23F2"/>
    <w:rsid w:val="00AB6055"/>
    <w:rsid w:val="00AC0148"/>
    <w:rsid w:val="00AC1577"/>
    <w:rsid w:val="00AC3059"/>
    <w:rsid w:val="00AD14D7"/>
    <w:rsid w:val="00AD68F2"/>
    <w:rsid w:val="00AD69C2"/>
    <w:rsid w:val="00AE32E7"/>
    <w:rsid w:val="00AE50D2"/>
    <w:rsid w:val="00AE73A7"/>
    <w:rsid w:val="00AE7E9E"/>
    <w:rsid w:val="00AF7C57"/>
    <w:rsid w:val="00AF7DC9"/>
    <w:rsid w:val="00B02145"/>
    <w:rsid w:val="00B041A6"/>
    <w:rsid w:val="00B12922"/>
    <w:rsid w:val="00B17A75"/>
    <w:rsid w:val="00B2269A"/>
    <w:rsid w:val="00B239F4"/>
    <w:rsid w:val="00B26810"/>
    <w:rsid w:val="00B30626"/>
    <w:rsid w:val="00B318A2"/>
    <w:rsid w:val="00B3498B"/>
    <w:rsid w:val="00B40836"/>
    <w:rsid w:val="00B45122"/>
    <w:rsid w:val="00B4533C"/>
    <w:rsid w:val="00B54C7A"/>
    <w:rsid w:val="00B5558F"/>
    <w:rsid w:val="00B56705"/>
    <w:rsid w:val="00B71545"/>
    <w:rsid w:val="00B737F6"/>
    <w:rsid w:val="00B83CEA"/>
    <w:rsid w:val="00B87AB9"/>
    <w:rsid w:val="00B9072B"/>
    <w:rsid w:val="00B92BF7"/>
    <w:rsid w:val="00B9368D"/>
    <w:rsid w:val="00B940F8"/>
    <w:rsid w:val="00BA358B"/>
    <w:rsid w:val="00BA6693"/>
    <w:rsid w:val="00BB0A40"/>
    <w:rsid w:val="00BB1891"/>
    <w:rsid w:val="00BC224B"/>
    <w:rsid w:val="00BD6076"/>
    <w:rsid w:val="00BD7109"/>
    <w:rsid w:val="00BD77CE"/>
    <w:rsid w:val="00BF6A72"/>
    <w:rsid w:val="00BF7D16"/>
    <w:rsid w:val="00C01D3D"/>
    <w:rsid w:val="00C05CED"/>
    <w:rsid w:val="00C1260A"/>
    <w:rsid w:val="00C161A1"/>
    <w:rsid w:val="00C16233"/>
    <w:rsid w:val="00C24FA8"/>
    <w:rsid w:val="00C27690"/>
    <w:rsid w:val="00C32E06"/>
    <w:rsid w:val="00C4703A"/>
    <w:rsid w:val="00C509C1"/>
    <w:rsid w:val="00C532C5"/>
    <w:rsid w:val="00C64A71"/>
    <w:rsid w:val="00C7003A"/>
    <w:rsid w:val="00C72A39"/>
    <w:rsid w:val="00C75E20"/>
    <w:rsid w:val="00C8138A"/>
    <w:rsid w:val="00C82985"/>
    <w:rsid w:val="00C84D0A"/>
    <w:rsid w:val="00C90787"/>
    <w:rsid w:val="00C93A09"/>
    <w:rsid w:val="00C94552"/>
    <w:rsid w:val="00C945EC"/>
    <w:rsid w:val="00C95218"/>
    <w:rsid w:val="00CA2B03"/>
    <w:rsid w:val="00CA3D31"/>
    <w:rsid w:val="00CA71CC"/>
    <w:rsid w:val="00CB17EE"/>
    <w:rsid w:val="00CB257D"/>
    <w:rsid w:val="00CC546D"/>
    <w:rsid w:val="00CC62F9"/>
    <w:rsid w:val="00CD7A4F"/>
    <w:rsid w:val="00CE1F32"/>
    <w:rsid w:val="00CE77BC"/>
    <w:rsid w:val="00CF2359"/>
    <w:rsid w:val="00CF3E33"/>
    <w:rsid w:val="00CF645B"/>
    <w:rsid w:val="00D03FC5"/>
    <w:rsid w:val="00D04647"/>
    <w:rsid w:val="00D060FB"/>
    <w:rsid w:val="00D064E0"/>
    <w:rsid w:val="00D12EA3"/>
    <w:rsid w:val="00D16A29"/>
    <w:rsid w:val="00D2514D"/>
    <w:rsid w:val="00D33B77"/>
    <w:rsid w:val="00D35074"/>
    <w:rsid w:val="00D4056A"/>
    <w:rsid w:val="00D41F46"/>
    <w:rsid w:val="00D52AF0"/>
    <w:rsid w:val="00D52F95"/>
    <w:rsid w:val="00D6320C"/>
    <w:rsid w:val="00D64560"/>
    <w:rsid w:val="00D65991"/>
    <w:rsid w:val="00D7150D"/>
    <w:rsid w:val="00D75C48"/>
    <w:rsid w:val="00D80CB1"/>
    <w:rsid w:val="00D8467E"/>
    <w:rsid w:val="00D92E0F"/>
    <w:rsid w:val="00D94CED"/>
    <w:rsid w:val="00D97C9F"/>
    <w:rsid w:val="00DA1F54"/>
    <w:rsid w:val="00DA28E2"/>
    <w:rsid w:val="00DA312C"/>
    <w:rsid w:val="00DA3AF6"/>
    <w:rsid w:val="00DA54C3"/>
    <w:rsid w:val="00DB57E7"/>
    <w:rsid w:val="00DB6161"/>
    <w:rsid w:val="00DC66D9"/>
    <w:rsid w:val="00DD283F"/>
    <w:rsid w:val="00DF03F9"/>
    <w:rsid w:val="00DF426C"/>
    <w:rsid w:val="00E053BA"/>
    <w:rsid w:val="00E1103A"/>
    <w:rsid w:val="00E14568"/>
    <w:rsid w:val="00E22556"/>
    <w:rsid w:val="00E236E5"/>
    <w:rsid w:val="00E240AE"/>
    <w:rsid w:val="00E2783C"/>
    <w:rsid w:val="00E30C9D"/>
    <w:rsid w:val="00E31826"/>
    <w:rsid w:val="00E40062"/>
    <w:rsid w:val="00E45BA1"/>
    <w:rsid w:val="00E521C8"/>
    <w:rsid w:val="00E54A29"/>
    <w:rsid w:val="00E568C0"/>
    <w:rsid w:val="00E57B3B"/>
    <w:rsid w:val="00E619C6"/>
    <w:rsid w:val="00E626D1"/>
    <w:rsid w:val="00E66171"/>
    <w:rsid w:val="00E71A53"/>
    <w:rsid w:val="00E749BE"/>
    <w:rsid w:val="00E75433"/>
    <w:rsid w:val="00E75E1B"/>
    <w:rsid w:val="00E77B16"/>
    <w:rsid w:val="00E82CF7"/>
    <w:rsid w:val="00E8770E"/>
    <w:rsid w:val="00E93323"/>
    <w:rsid w:val="00E93819"/>
    <w:rsid w:val="00EA0422"/>
    <w:rsid w:val="00EA2C25"/>
    <w:rsid w:val="00EA7A70"/>
    <w:rsid w:val="00EB4ADF"/>
    <w:rsid w:val="00EB4D3D"/>
    <w:rsid w:val="00EC5B0D"/>
    <w:rsid w:val="00ED49D7"/>
    <w:rsid w:val="00ED557F"/>
    <w:rsid w:val="00EE4226"/>
    <w:rsid w:val="00EE457F"/>
    <w:rsid w:val="00EE5CAB"/>
    <w:rsid w:val="00EF00ED"/>
    <w:rsid w:val="00EF022A"/>
    <w:rsid w:val="00EF7231"/>
    <w:rsid w:val="00F04331"/>
    <w:rsid w:val="00F07812"/>
    <w:rsid w:val="00F10D47"/>
    <w:rsid w:val="00F12E99"/>
    <w:rsid w:val="00F265D6"/>
    <w:rsid w:val="00F31FEF"/>
    <w:rsid w:val="00F330E1"/>
    <w:rsid w:val="00F42DC0"/>
    <w:rsid w:val="00F4792F"/>
    <w:rsid w:val="00F524CA"/>
    <w:rsid w:val="00F52E19"/>
    <w:rsid w:val="00F53223"/>
    <w:rsid w:val="00F54B5E"/>
    <w:rsid w:val="00F55DD3"/>
    <w:rsid w:val="00F607DC"/>
    <w:rsid w:val="00F64C6F"/>
    <w:rsid w:val="00F64FD3"/>
    <w:rsid w:val="00F70B1D"/>
    <w:rsid w:val="00F70D98"/>
    <w:rsid w:val="00F736DE"/>
    <w:rsid w:val="00F73A99"/>
    <w:rsid w:val="00F74646"/>
    <w:rsid w:val="00F801E0"/>
    <w:rsid w:val="00F8067A"/>
    <w:rsid w:val="00F8608C"/>
    <w:rsid w:val="00F87B83"/>
    <w:rsid w:val="00F9235F"/>
    <w:rsid w:val="00F92AB9"/>
    <w:rsid w:val="00F92BF9"/>
    <w:rsid w:val="00F93402"/>
    <w:rsid w:val="00FA532B"/>
    <w:rsid w:val="00FA712F"/>
    <w:rsid w:val="00FA7DE6"/>
    <w:rsid w:val="00FB264C"/>
    <w:rsid w:val="00FB305A"/>
    <w:rsid w:val="00FC032F"/>
    <w:rsid w:val="00FC2D7D"/>
    <w:rsid w:val="00FC5E77"/>
    <w:rsid w:val="00FD17D7"/>
    <w:rsid w:val="00FD3DEA"/>
    <w:rsid w:val="00FD4BC8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5:docId w15:val="{AF7EF3E4-A5C0-436C-B23B-653DE037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9A7"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3F39-7E6F-4021-BE56-E2CE49CC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2017-11-20T06:37:00Z</cp:lastPrinted>
  <dcterms:created xsi:type="dcterms:W3CDTF">2017-11-20T06:37:00Z</dcterms:created>
  <dcterms:modified xsi:type="dcterms:W3CDTF">2017-11-20T06:37:00Z</dcterms:modified>
</cp:coreProperties>
</file>