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14:paraId="3B4C0239" w14:textId="77777777" w:rsidTr="00B11BB4">
        <w:trPr>
          <w:cantSplit/>
          <w:trHeight w:hRule="exact" w:val="851"/>
        </w:trPr>
        <w:tc>
          <w:tcPr>
            <w:tcW w:w="1276" w:type="dxa"/>
            <w:tcBorders>
              <w:bottom w:val="single" w:sz="4" w:space="0" w:color="auto"/>
            </w:tcBorders>
            <w:shd w:val="clear" w:color="auto" w:fill="auto"/>
            <w:vAlign w:val="bottom"/>
          </w:tcPr>
          <w:p w14:paraId="1C15C953" w14:textId="77777777" w:rsidR="00B56E9C" w:rsidRDefault="00B56E9C" w:rsidP="00B11BB4">
            <w:pPr>
              <w:spacing w:after="80"/>
            </w:pPr>
          </w:p>
        </w:tc>
        <w:tc>
          <w:tcPr>
            <w:tcW w:w="2268" w:type="dxa"/>
            <w:tcBorders>
              <w:bottom w:val="single" w:sz="4" w:space="0" w:color="auto"/>
            </w:tcBorders>
            <w:shd w:val="clear" w:color="auto" w:fill="auto"/>
            <w:vAlign w:val="bottom"/>
          </w:tcPr>
          <w:p w14:paraId="0AD946D4" w14:textId="77777777"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4C7EE60B" w14:textId="386866E1" w:rsidR="00B56E9C" w:rsidRPr="00507993" w:rsidRDefault="00CD57D2" w:rsidP="000A60BA">
            <w:pPr>
              <w:suppressAutoHyphens w:val="0"/>
              <w:spacing w:after="20"/>
              <w:jc w:val="right"/>
              <w:rPr>
                <w:b/>
                <w:sz w:val="24"/>
                <w:szCs w:val="24"/>
              </w:rPr>
            </w:pPr>
            <w:r w:rsidRPr="00507993">
              <w:rPr>
                <w:b/>
                <w:sz w:val="24"/>
                <w:szCs w:val="24"/>
              </w:rPr>
              <w:t>INF.</w:t>
            </w:r>
            <w:r w:rsidR="009857A1">
              <w:rPr>
                <w:b/>
                <w:sz w:val="24"/>
                <w:szCs w:val="24"/>
              </w:rPr>
              <w:t>23</w:t>
            </w:r>
          </w:p>
        </w:tc>
      </w:tr>
    </w:tbl>
    <w:p w14:paraId="6DFE1075" w14:textId="77777777" w:rsidR="00EC106A" w:rsidRDefault="00EC106A">
      <w:pPr>
        <w:spacing w:before="120"/>
        <w:rPr>
          <w:b/>
          <w:sz w:val="28"/>
          <w:szCs w:val="28"/>
        </w:rPr>
      </w:pPr>
      <w:r>
        <w:rPr>
          <w:b/>
          <w:sz w:val="28"/>
          <w:szCs w:val="28"/>
        </w:rPr>
        <w:t>Economic Commission for Europe</w:t>
      </w:r>
    </w:p>
    <w:p w14:paraId="46CA4AD8" w14:textId="77777777" w:rsidR="00EC106A" w:rsidRDefault="00EC106A">
      <w:pPr>
        <w:spacing w:before="120"/>
        <w:rPr>
          <w:sz w:val="28"/>
          <w:szCs w:val="28"/>
        </w:rPr>
      </w:pPr>
      <w:r>
        <w:rPr>
          <w:sz w:val="28"/>
          <w:szCs w:val="28"/>
        </w:rPr>
        <w:t>Inland Transport Committee</w:t>
      </w:r>
    </w:p>
    <w:p w14:paraId="59A62180" w14:textId="77777777" w:rsidR="00EC106A" w:rsidRDefault="00EC106A" w:rsidP="00EC106A">
      <w:pPr>
        <w:spacing w:before="120" w:after="120"/>
        <w:rPr>
          <w:b/>
          <w:sz w:val="24"/>
          <w:szCs w:val="24"/>
        </w:rPr>
      </w:pPr>
      <w:r>
        <w:rPr>
          <w:b/>
          <w:sz w:val="24"/>
          <w:szCs w:val="24"/>
        </w:rPr>
        <w:t>Working Party on the Transport of Dangerous Goods</w:t>
      </w:r>
    </w:p>
    <w:p w14:paraId="55600DF4" w14:textId="77777777" w:rsidR="009D2A5B" w:rsidRDefault="009D2A5B" w:rsidP="009D2A5B">
      <w:pPr>
        <w:rPr>
          <w:b/>
        </w:rPr>
      </w:pPr>
      <w:r>
        <w:rPr>
          <w:b/>
        </w:rPr>
        <w:t>Joint Meeting of the RID Committee of Experts and the</w:t>
      </w:r>
    </w:p>
    <w:p w14:paraId="61043D67" w14:textId="5DE07DCA"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091F01">
        <w:rPr>
          <w:b/>
        </w:rPr>
        <w:t>1</w:t>
      </w:r>
      <w:r w:rsidR="00A8692E">
        <w:rPr>
          <w:b/>
        </w:rPr>
        <w:t>4</w:t>
      </w:r>
      <w:r w:rsidR="00BE7E4D">
        <w:rPr>
          <w:b/>
        </w:rPr>
        <w:t xml:space="preserve"> </w:t>
      </w:r>
      <w:r w:rsidR="00F962B7">
        <w:rPr>
          <w:b/>
        </w:rPr>
        <w:t>September</w:t>
      </w:r>
      <w:r w:rsidR="00091F01">
        <w:rPr>
          <w:b/>
        </w:rPr>
        <w:t xml:space="preserve"> </w:t>
      </w:r>
      <w:r w:rsidR="00CE4B11">
        <w:rPr>
          <w:b/>
        </w:rPr>
        <w:t>201</w:t>
      </w:r>
      <w:r w:rsidR="003D2520">
        <w:rPr>
          <w:b/>
        </w:rPr>
        <w:t>8</w:t>
      </w:r>
    </w:p>
    <w:p w14:paraId="7AB48A9B" w14:textId="292394F2" w:rsidR="009D2A5B" w:rsidRDefault="00D0497E" w:rsidP="00BB7CD1">
      <w:r>
        <w:t>Geneva</w:t>
      </w:r>
      <w:r w:rsidR="00BB7CD1">
        <w:t xml:space="preserve">, </w:t>
      </w:r>
      <w:r w:rsidR="003D2520" w:rsidRPr="003D2520">
        <w:t>1</w:t>
      </w:r>
      <w:r>
        <w:t>7</w:t>
      </w:r>
      <w:r w:rsidR="003D2520" w:rsidRPr="003D2520">
        <w:t>-</w:t>
      </w:r>
      <w:r>
        <w:t>21</w:t>
      </w:r>
      <w:r w:rsidR="003D2520" w:rsidRPr="003D2520">
        <w:t xml:space="preserve"> </w:t>
      </w:r>
      <w:r>
        <w:t>September</w:t>
      </w:r>
      <w:r w:rsidR="003D2520" w:rsidRPr="003D2520">
        <w:t xml:space="preserve"> 2018</w:t>
      </w:r>
    </w:p>
    <w:p w14:paraId="125080B3" w14:textId="69200C33" w:rsidR="003D2520" w:rsidRPr="00C97AC8" w:rsidRDefault="003D2520" w:rsidP="003D2520">
      <w:r w:rsidRPr="00C97AC8">
        <w:t xml:space="preserve">Item </w:t>
      </w:r>
      <w:r w:rsidR="00091F01">
        <w:t>2</w:t>
      </w:r>
      <w:r w:rsidRPr="00C97AC8">
        <w:t xml:space="preserve"> of the provisional agenda</w:t>
      </w:r>
    </w:p>
    <w:p w14:paraId="577162E9" w14:textId="50138D61" w:rsidR="00C97AC8" w:rsidRPr="00BB7CD1" w:rsidRDefault="009857A1" w:rsidP="003D2520">
      <w:pPr>
        <w:rPr>
          <w:b/>
        </w:rPr>
      </w:pPr>
      <w:r>
        <w:rPr>
          <w:b/>
          <w:bCs/>
        </w:rPr>
        <w:t>Tanks</w:t>
      </w:r>
    </w:p>
    <w:p w14:paraId="2941B8BC" w14:textId="3598FD13" w:rsidR="000B259B" w:rsidRPr="00091F01" w:rsidRDefault="008C69CA" w:rsidP="008C69CA">
      <w:pPr>
        <w:pStyle w:val="HChG"/>
        <w:tabs>
          <w:tab w:val="clear" w:pos="851"/>
        </w:tabs>
        <w:ind w:firstLine="0"/>
        <w:rPr>
          <w:lang w:val="en-GB"/>
        </w:rPr>
      </w:pPr>
      <w:r>
        <w:tab/>
      </w:r>
      <w:r w:rsidR="00091F01">
        <w:rPr>
          <w:lang w:val="en-GB"/>
        </w:rPr>
        <w:t>Comments on the Report of the 8</w:t>
      </w:r>
      <w:r w:rsidR="00091F01" w:rsidRPr="00091F01">
        <w:rPr>
          <w:vertAlign w:val="superscript"/>
          <w:lang w:val="en-GB"/>
        </w:rPr>
        <w:t>th</w:t>
      </w:r>
      <w:r w:rsidR="00091F01">
        <w:rPr>
          <w:lang w:val="en-GB"/>
        </w:rPr>
        <w:t xml:space="preserve"> meeting of the </w:t>
      </w:r>
      <w:r w:rsidR="00B45B3A">
        <w:rPr>
          <w:lang w:val="en-GB"/>
        </w:rPr>
        <w:t>informal working group</w:t>
      </w:r>
      <w:r w:rsidR="00091F01">
        <w:rPr>
          <w:lang w:val="en-GB"/>
        </w:rPr>
        <w:t xml:space="preserve"> on the inspection and certification of tanks </w:t>
      </w:r>
    </w:p>
    <w:p w14:paraId="5958D957" w14:textId="349508E9" w:rsidR="000B259B" w:rsidRDefault="000B259B" w:rsidP="00EE31F7">
      <w:pPr>
        <w:pStyle w:val="H1G"/>
        <w:jc w:val="both"/>
      </w:pPr>
      <w:r>
        <w:tab/>
      </w:r>
      <w:r>
        <w:tab/>
      </w:r>
      <w:r w:rsidRPr="006848E9">
        <w:t xml:space="preserve">Transmitted by the </w:t>
      </w:r>
      <w:r w:rsidR="00091F01">
        <w:t xml:space="preserve">European </w:t>
      </w:r>
      <w:r w:rsidR="00B45B3A">
        <w:t>Union</w:t>
      </w:r>
      <w:bookmarkStart w:id="0" w:name="_GoBack"/>
      <w:bookmarkEnd w:id="0"/>
    </w:p>
    <w:p w14:paraId="4096BEAA" w14:textId="6F228C0D" w:rsidR="000B259B" w:rsidRPr="007063F6" w:rsidRDefault="007063F6" w:rsidP="002E2940">
      <w:pPr>
        <w:pStyle w:val="HChG"/>
        <w:ind w:firstLine="0"/>
        <w:rPr>
          <w:lang w:val="en-GB"/>
        </w:rPr>
      </w:pPr>
      <w:r>
        <w:rPr>
          <w:lang w:val="en-GB"/>
        </w:rPr>
        <w:t>Background</w:t>
      </w:r>
    </w:p>
    <w:p w14:paraId="60E42F9C" w14:textId="6D9632D8" w:rsidR="00AC521A" w:rsidRPr="009857A1" w:rsidRDefault="002D3BD9" w:rsidP="009857A1">
      <w:pPr>
        <w:pStyle w:val="SingleTxtG"/>
      </w:pPr>
      <w:r>
        <w:rPr>
          <w:lang w:val="fr-CH"/>
        </w:rPr>
        <w:t>1.</w:t>
      </w:r>
      <w:r>
        <w:rPr>
          <w:lang w:val="fr-CH"/>
        </w:rPr>
        <w:tab/>
      </w:r>
      <w:r w:rsidR="00091F01" w:rsidRPr="009857A1">
        <w:t xml:space="preserve">The European Commission wishes to thank the IWG on the inspection and certification of tanks for their valuable work </w:t>
      </w:r>
      <w:proofErr w:type="spellStart"/>
      <w:r w:rsidR="00091F01" w:rsidRPr="009857A1">
        <w:t>summarised</w:t>
      </w:r>
      <w:proofErr w:type="spellEnd"/>
      <w:r w:rsidR="00091F01" w:rsidRPr="009857A1">
        <w:t xml:space="preserve"> in INF.9</w:t>
      </w:r>
      <w:r w:rsidR="00AC521A" w:rsidRPr="009857A1">
        <w:t xml:space="preserve">. </w:t>
      </w:r>
      <w:r w:rsidR="00091F01" w:rsidRPr="009857A1">
        <w:t xml:space="preserve"> </w:t>
      </w:r>
    </w:p>
    <w:p w14:paraId="4472B6AA" w14:textId="0008C814" w:rsidR="00AC521A" w:rsidRPr="009857A1" w:rsidRDefault="002D3BD9" w:rsidP="009857A1">
      <w:pPr>
        <w:pStyle w:val="SingleTxtG"/>
      </w:pPr>
      <w:r>
        <w:rPr>
          <w:lang w:val="fr-CH"/>
        </w:rPr>
        <w:t>2.</w:t>
      </w:r>
      <w:r>
        <w:rPr>
          <w:lang w:val="fr-CH"/>
        </w:rPr>
        <w:tab/>
      </w:r>
      <w:r w:rsidR="00AC521A" w:rsidRPr="009857A1">
        <w:t xml:space="preserve">We </w:t>
      </w:r>
      <w:r w:rsidR="00091F01" w:rsidRPr="009857A1">
        <w:t>take this opportunity to clarify one of the outstanding issues in this area, i.e. the difference in terms of legal validity of the terms “mutual recognition” and “carriage”.</w:t>
      </w:r>
    </w:p>
    <w:p w14:paraId="2722A0FA" w14:textId="374B9437" w:rsidR="00AC521A" w:rsidRPr="009857A1" w:rsidRDefault="002D3BD9" w:rsidP="009857A1">
      <w:pPr>
        <w:pStyle w:val="SingleTxtG"/>
      </w:pPr>
      <w:r>
        <w:rPr>
          <w:lang w:val="fr-CH"/>
        </w:rPr>
        <w:t>3.</w:t>
      </w:r>
      <w:r>
        <w:rPr>
          <w:lang w:val="fr-CH"/>
        </w:rPr>
        <w:tab/>
      </w:r>
      <w:r w:rsidR="00091F01" w:rsidRPr="009857A1">
        <w:t>“Mutual recognition” is a term which is actually specific to EU law, and it is enshrined in Articles 34 to 36 of the Treaty on the Functioning of the European Union (TFEU)</w:t>
      </w:r>
      <w:r w:rsidR="00DA15F5" w:rsidRPr="009857A1">
        <w:t>, which prohibit quantitative restrictions to trade or measures having equivalent effect.</w:t>
      </w:r>
    </w:p>
    <w:p w14:paraId="67CD403B" w14:textId="18655AB9" w:rsidR="00AC521A" w:rsidRPr="009857A1" w:rsidRDefault="002D3BD9" w:rsidP="009857A1">
      <w:pPr>
        <w:pStyle w:val="SingleTxtG"/>
      </w:pPr>
      <w:r>
        <w:rPr>
          <w:lang w:val="fr-CH"/>
        </w:rPr>
        <w:t>4.</w:t>
      </w:r>
      <w:r>
        <w:rPr>
          <w:lang w:val="fr-CH"/>
        </w:rPr>
        <w:tab/>
      </w:r>
      <w:r w:rsidR="00091F01" w:rsidRPr="009857A1">
        <w:t>Case law of the European Court of Justice, especially case 120/78 (the ‘Cassis de Dijon’ case</w:t>
      </w:r>
      <w:r w:rsidR="00DA15F5" w:rsidRPr="009857A1">
        <w:rPr>
          <w:rStyle w:val="FootnoteReference"/>
          <w:sz w:val="20"/>
          <w:vertAlign w:val="baseline"/>
        </w:rPr>
        <w:footnoteReference w:id="2"/>
      </w:r>
      <w:r w:rsidR="00091F01" w:rsidRPr="009857A1">
        <w:t>), provides the key elements for mutual recognition. The effect</w:t>
      </w:r>
      <w:r w:rsidR="00DA15F5" w:rsidRPr="009857A1">
        <w:t xml:space="preserve"> of this case law is as follows:</w:t>
      </w:r>
      <w:r w:rsidR="00091F01" w:rsidRPr="009857A1">
        <w:t xml:space="preserve"> — Products lawfully manufactured or marketed in one Member State should in principle move freely throughout the Union where such products meet equivalent levels of protection to those imposed by the Member State of destination.</w:t>
      </w:r>
      <w:r w:rsidR="00AC521A" w:rsidRPr="009857A1">
        <w:t xml:space="preserve"> </w:t>
      </w:r>
      <w:r w:rsidR="00091F01" w:rsidRPr="009857A1">
        <w:t xml:space="preserve"> — In the absence of Union </w:t>
      </w:r>
      <w:proofErr w:type="spellStart"/>
      <w:r w:rsidR="00091F01" w:rsidRPr="009857A1">
        <w:t>harmonisation</w:t>
      </w:r>
      <w:proofErr w:type="spellEnd"/>
      <w:r w:rsidR="00091F01" w:rsidRPr="009857A1">
        <w:t xml:space="preserve"> legislation, Member States are free to legislate on their territory subject to the Treaty rules on free movement of goods (Arts 34-36 TFEU). — Barriers to free movement which result from differences in national legislation may only be accepted if national measures: — are necessary to satisfy mandatory requirements (such as health, safety, consumer protection and environmental protection), — serve a legitimate purpose which justifies overriding the principle of free movement of goods, and — can be justified with regard to the legitimate purpose and are proportionate with the aims</w:t>
      </w:r>
      <w:r w:rsidR="00091F01" w:rsidRPr="009857A1">
        <w:rPr>
          <w:rStyle w:val="FootnoteReference"/>
          <w:sz w:val="20"/>
          <w:vertAlign w:val="baseline"/>
        </w:rPr>
        <w:footnoteReference w:id="3"/>
      </w:r>
      <w:r w:rsidR="00091F01" w:rsidRPr="009857A1">
        <w:t>.</w:t>
      </w:r>
    </w:p>
    <w:p w14:paraId="599FA0FF" w14:textId="2F068A71" w:rsidR="00D565BB" w:rsidRPr="009857A1" w:rsidRDefault="002D3BD9" w:rsidP="009857A1">
      <w:pPr>
        <w:pStyle w:val="SingleTxtG"/>
      </w:pPr>
      <w:r>
        <w:rPr>
          <w:lang w:val="fr-CH"/>
        </w:rPr>
        <w:t>5.</w:t>
      </w:r>
      <w:r>
        <w:rPr>
          <w:lang w:val="fr-CH"/>
        </w:rPr>
        <w:tab/>
      </w:r>
      <w:r w:rsidR="00DA15F5" w:rsidRPr="009857A1">
        <w:t>International carriage is an economic activity whose aim is to cross borders</w:t>
      </w:r>
      <w:r w:rsidR="00AC521A" w:rsidRPr="009857A1">
        <w:t xml:space="preserve">. Therefore </w:t>
      </w:r>
      <w:r w:rsidR="00DA15F5" w:rsidRPr="009857A1">
        <w:t xml:space="preserve">a certain drive towards international </w:t>
      </w:r>
      <w:proofErr w:type="spellStart"/>
      <w:r w:rsidR="00DA15F5" w:rsidRPr="009857A1">
        <w:t>harmonisati</w:t>
      </w:r>
      <w:r w:rsidR="00AC521A" w:rsidRPr="009857A1">
        <w:t>on</w:t>
      </w:r>
      <w:proofErr w:type="spellEnd"/>
      <w:r w:rsidR="00AC521A" w:rsidRPr="009857A1">
        <w:t xml:space="preserve"> of </w:t>
      </w:r>
      <w:r w:rsidR="002615F8" w:rsidRPr="009857A1">
        <w:t xml:space="preserve">technical </w:t>
      </w:r>
      <w:r w:rsidR="00AC521A" w:rsidRPr="009857A1">
        <w:t xml:space="preserve">rules applicable in this sector is incumbent. </w:t>
      </w:r>
    </w:p>
    <w:p w14:paraId="3ABDBA55" w14:textId="6A40BA80" w:rsidR="004E4C86" w:rsidRPr="009857A1" w:rsidRDefault="002D3BD9" w:rsidP="009857A1">
      <w:pPr>
        <w:pStyle w:val="SingleTxtG"/>
      </w:pPr>
      <w:r>
        <w:rPr>
          <w:lang w:val="fr-CH"/>
        </w:rPr>
        <w:lastRenderedPageBreak/>
        <w:t>6.</w:t>
      </w:r>
      <w:r>
        <w:rPr>
          <w:lang w:val="fr-CH"/>
        </w:rPr>
        <w:tab/>
      </w:r>
      <w:r w:rsidR="00D565BB" w:rsidRPr="009857A1">
        <w:t>"Carriage", as defined in</w:t>
      </w:r>
      <w:r w:rsidR="000A60BA" w:rsidRPr="009857A1">
        <w:t xml:space="preserve"> section 1.2.1</w:t>
      </w:r>
      <w:r w:rsidR="00D565BB" w:rsidRPr="009857A1">
        <w:t xml:space="preserve"> ADR, RID and </w:t>
      </w:r>
      <w:proofErr w:type="gramStart"/>
      <w:r w:rsidR="00D565BB" w:rsidRPr="009857A1">
        <w:t>ADN,  “</w:t>
      </w:r>
      <w:proofErr w:type="gramEnd"/>
      <w:r w:rsidR="00D565BB" w:rsidRPr="009857A1">
        <w:t>means the change of place of dangerous goods, including stops made necessary by transport conditions and including any period spent by the dangerous goods in vehicles, tanks and containers made necessary by traffic conditions before, during and after the change of place”.</w:t>
      </w:r>
    </w:p>
    <w:p w14:paraId="14E8CAB6" w14:textId="25E5478B" w:rsidR="004E4C86" w:rsidRPr="009857A1" w:rsidRDefault="002D3BD9" w:rsidP="009857A1">
      <w:pPr>
        <w:pStyle w:val="SingleTxtG"/>
      </w:pPr>
      <w:r>
        <w:rPr>
          <w:lang w:val="fr-CH"/>
        </w:rPr>
        <w:t>7.</w:t>
      </w:r>
      <w:r>
        <w:rPr>
          <w:lang w:val="fr-CH"/>
        </w:rPr>
        <w:tab/>
      </w:r>
      <w:r w:rsidR="004E4C86" w:rsidRPr="009857A1">
        <w:t xml:space="preserve">The definition is clearly mentioning the “change of place of dangerous goods”, and circumstantiates it according to the needs of the sector (i.e. including stops). </w:t>
      </w:r>
    </w:p>
    <w:p w14:paraId="4E35DB67" w14:textId="2781A910" w:rsidR="00402D9E" w:rsidRPr="009857A1" w:rsidRDefault="002D3BD9" w:rsidP="009857A1">
      <w:pPr>
        <w:pStyle w:val="SingleTxtG"/>
      </w:pPr>
      <w:r>
        <w:rPr>
          <w:lang w:val="fr-CH"/>
        </w:rPr>
        <w:t>8.</w:t>
      </w:r>
      <w:r>
        <w:rPr>
          <w:lang w:val="fr-CH"/>
        </w:rPr>
        <w:tab/>
      </w:r>
      <w:r w:rsidR="00D565BB" w:rsidRPr="009857A1">
        <w:t xml:space="preserve">However, the agreements contain </w:t>
      </w:r>
      <w:r w:rsidR="00402D9E" w:rsidRPr="009857A1">
        <w:t xml:space="preserve">legal requirements concerning manufacture and tests for tanks and cylinders, and they are used as </w:t>
      </w:r>
      <w:proofErr w:type="gramStart"/>
      <w:r w:rsidR="00402D9E" w:rsidRPr="009857A1">
        <w:t>a</w:t>
      </w:r>
      <w:proofErr w:type="gramEnd"/>
      <w:r w:rsidR="00402D9E" w:rsidRPr="009857A1">
        <w:t xml:space="preserve"> basis for Union </w:t>
      </w:r>
      <w:proofErr w:type="spellStart"/>
      <w:r w:rsidR="00402D9E" w:rsidRPr="009857A1">
        <w:t>harmonisation</w:t>
      </w:r>
      <w:proofErr w:type="spellEnd"/>
      <w:r w:rsidR="00402D9E" w:rsidRPr="009857A1">
        <w:t xml:space="preserve"> legislation, i.e. Directive 2010/35/EU on transportable pressure equipment – only for class 2 gases. </w:t>
      </w:r>
    </w:p>
    <w:p w14:paraId="107C0F2C" w14:textId="5F09524A" w:rsidR="00AC521A" w:rsidRPr="009857A1" w:rsidRDefault="002D3BD9" w:rsidP="009857A1">
      <w:pPr>
        <w:pStyle w:val="SingleTxtG"/>
      </w:pPr>
      <w:r>
        <w:rPr>
          <w:lang w:val="fr-CH"/>
        </w:rPr>
        <w:t>9.</w:t>
      </w:r>
      <w:r>
        <w:rPr>
          <w:lang w:val="fr-CH"/>
        </w:rPr>
        <w:tab/>
      </w:r>
      <w:proofErr w:type="spellStart"/>
      <w:r w:rsidR="00AC521A" w:rsidRPr="009857A1">
        <w:t>Harmonisation</w:t>
      </w:r>
      <w:proofErr w:type="spellEnd"/>
      <w:r w:rsidR="00AC521A" w:rsidRPr="009857A1">
        <w:t xml:space="preserve"> of rules within the EU legislation and the same term in international agreements do not mean the same thing. </w:t>
      </w:r>
    </w:p>
    <w:p w14:paraId="0646A9DF" w14:textId="367B8F64" w:rsidR="00D565BB" w:rsidRPr="009857A1" w:rsidRDefault="002D3BD9" w:rsidP="009857A1">
      <w:pPr>
        <w:pStyle w:val="SingleTxtG"/>
      </w:pPr>
      <w:r>
        <w:rPr>
          <w:lang w:val="fr-CH"/>
        </w:rPr>
        <w:t>10.</w:t>
      </w:r>
      <w:r>
        <w:rPr>
          <w:lang w:val="fr-CH"/>
        </w:rPr>
        <w:tab/>
      </w:r>
      <w:r w:rsidR="00D565BB" w:rsidRPr="009857A1">
        <w:t xml:space="preserve">The policy on conformity assessment within the EU was developed as a means to create the trust in the products that could help authorities accept products they could not vouch for. </w:t>
      </w:r>
      <w:r w:rsidR="00E73D3A" w:rsidRPr="009857A1">
        <w:t xml:space="preserve">Therefore, </w:t>
      </w:r>
      <w:proofErr w:type="spellStart"/>
      <w:r w:rsidR="00E73D3A" w:rsidRPr="009857A1">
        <w:t>harmonisation</w:t>
      </w:r>
      <w:proofErr w:type="spellEnd"/>
      <w:r w:rsidR="00E73D3A" w:rsidRPr="009857A1">
        <w:t xml:space="preserve"> is to be seen as a prerequisite of the EU internal market. </w:t>
      </w:r>
      <w:r w:rsidR="00D565BB" w:rsidRPr="009857A1">
        <w:t xml:space="preserve">   </w:t>
      </w:r>
    </w:p>
    <w:p w14:paraId="795F91AC" w14:textId="34C2A9E7" w:rsidR="00402D9E" w:rsidRPr="009857A1" w:rsidRDefault="002D3BD9" w:rsidP="009857A1">
      <w:pPr>
        <w:pStyle w:val="SingleTxtG"/>
      </w:pPr>
      <w:r>
        <w:rPr>
          <w:lang w:val="fr-CH"/>
        </w:rPr>
        <w:t>11.</w:t>
      </w:r>
      <w:r>
        <w:rPr>
          <w:lang w:val="fr-CH"/>
        </w:rPr>
        <w:tab/>
      </w:r>
      <w:r w:rsidR="00402D9E" w:rsidRPr="009857A1">
        <w:t xml:space="preserve">The </w:t>
      </w:r>
      <w:proofErr w:type="spellStart"/>
      <w:r w:rsidR="00402D9E" w:rsidRPr="009857A1">
        <w:t>harmonisation</w:t>
      </w:r>
      <w:proofErr w:type="spellEnd"/>
      <w:r w:rsidR="00402D9E" w:rsidRPr="009857A1">
        <w:t xml:space="preserve"> needed for </w:t>
      </w:r>
      <w:r w:rsidR="004E4C86" w:rsidRPr="009857A1">
        <w:t>dangerous goods to circulate</w:t>
      </w:r>
      <w:r w:rsidR="00402D9E" w:rsidRPr="009857A1">
        <w:t xml:space="preserve"> is not accompanied by the </w:t>
      </w:r>
      <w:r w:rsidR="004E4C86" w:rsidRPr="009857A1">
        <w:t>infrastructure put in place at EU level in order to integrate the EU Member States and to achieve the EU common market, e.g. safeguard systems</w:t>
      </w:r>
      <w:r w:rsidR="0081771A" w:rsidRPr="009857A1">
        <w:t xml:space="preserve"> for withdrawal from the market of product presenting a risk to health and safety</w:t>
      </w:r>
      <w:r w:rsidR="004E4C86" w:rsidRPr="009857A1">
        <w:t>, notification schemes etc.</w:t>
      </w:r>
    </w:p>
    <w:p w14:paraId="4B042F68" w14:textId="313C3AEE" w:rsidR="004E4C86" w:rsidRPr="009857A1" w:rsidRDefault="002D3BD9" w:rsidP="009857A1">
      <w:pPr>
        <w:pStyle w:val="SingleTxtG"/>
      </w:pPr>
      <w:r>
        <w:rPr>
          <w:lang w:val="fr-CH"/>
        </w:rPr>
        <w:t>12.</w:t>
      </w:r>
      <w:r>
        <w:rPr>
          <w:lang w:val="fr-CH"/>
        </w:rPr>
        <w:tab/>
      </w:r>
      <w:r w:rsidR="004E4C86" w:rsidRPr="009857A1">
        <w:t>The Committee of experts that the</w:t>
      </w:r>
      <w:r w:rsidR="00DA536A" w:rsidRPr="009857A1">
        <w:t xml:space="preserve"> IWG</w:t>
      </w:r>
      <w:r w:rsidR="004E4C86" w:rsidRPr="009857A1">
        <w:t xml:space="preserve"> is currently </w:t>
      </w:r>
      <w:r w:rsidR="00DA536A" w:rsidRPr="009857A1">
        <w:t xml:space="preserve">proposing to </w:t>
      </w:r>
      <w:r w:rsidR="004E4C86" w:rsidRPr="009857A1">
        <w:t xml:space="preserve">establish needs to verify the “national systems equivalent to accreditation”, as mentioned in paragraph 9 of the document. </w:t>
      </w:r>
    </w:p>
    <w:p w14:paraId="55353DD3" w14:textId="482E9692" w:rsidR="00685BB1" w:rsidRPr="009857A1" w:rsidRDefault="002D3BD9" w:rsidP="009857A1">
      <w:pPr>
        <w:pStyle w:val="SingleTxtG"/>
      </w:pPr>
      <w:r>
        <w:rPr>
          <w:lang w:val="fr-CH"/>
        </w:rPr>
        <w:t>13.</w:t>
      </w:r>
      <w:r>
        <w:rPr>
          <w:lang w:val="fr-CH"/>
        </w:rPr>
        <w:tab/>
      </w:r>
      <w:r w:rsidR="00685BB1" w:rsidRPr="009857A1">
        <w:t xml:space="preserve">However, it will not have the veto right that is accompanying the notification according to Article 22 (2) to (4) of Directive 2010/35/EU. </w:t>
      </w:r>
      <w:r w:rsidR="00DA536A" w:rsidRPr="009857A1">
        <w:t xml:space="preserve">It’s worth reminding that </w:t>
      </w:r>
      <w:r w:rsidR="00685BB1" w:rsidRPr="009857A1">
        <w:t xml:space="preserve">the Commission and the other Member States (than the one making the notification) can raise objections to the </w:t>
      </w:r>
      <w:r w:rsidR="0019502A" w:rsidRPr="009857A1">
        <w:t xml:space="preserve">performed activities of a notified body. </w:t>
      </w:r>
    </w:p>
    <w:p w14:paraId="4426F9C4" w14:textId="0D0C9979" w:rsidR="0081771A" w:rsidRPr="00DA536A" w:rsidRDefault="002D3BD9" w:rsidP="009857A1">
      <w:pPr>
        <w:pStyle w:val="SingleTxtG"/>
        <w:rPr>
          <w:lang w:val="en-GB"/>
        </w:rPr>
      </w:pPr>
      <w:r>
        <w:rPr>
          <w:lang w:val="fr-CH"/>
        </w:rPr>
        <w:t>14.</w:t>
      </w:r>
      <w:r>
        <w:rPr>
          <w:lang w:val="fr-CH"/>
        </w:rPr>
        <w:tab/>
      </w:r>
      <w:r w:rsidR="004E4C86" w:rsidRPr="009857A1">
        <w:t>We would like to take this opportunity to inform</w:t>
      </w:r>
      <w:r w:rsidR="0019502A" w:rsidRPr="009857A1">
        <w:t xml:space="preserve"> the London WG</w:t>
      </w:r>
      <w:r w:rsidR="004E4C86" w:rsidRPr="009857A1">
        <w:t xml:space="preserve"> </w:t>
      </w:r>
      <w:r w:rsidR="0081771A" w:rsidRPr="009857A1">
        <w:t xml:space="preserve">that the notification procedures of the EU Member States according to </w:t>
      </w:r>
      <w:r w:rsidR="000A2EAA" w:rsidRPr="009857A1">
        <w:t xml:space="preserve">Article 19 of </w:t>
      </w:r>
      <w:r w:rsidR="0081771A" w:rsidRPr="009857A1">
        <w:t>Directive 2010/35/EU are available online at</w:t>
      </w:r>
      <w:r w:rsidR="0081771A" w:rsidRPr="00DA536A">
        <w:rPr>
          <w:lang w:val="en-GB"/>
        </w:rPr>
        <w:t xml:space="preserve"> </w:t>
      </w:r>
      <w:hyperlink r:id="rId8" w:history="1">
        <w:r w:rsidR="0081771A" w:rsidRPr="00DA536A">
          <w:rPr>
            <w:rStyle w:val="Hyperlink"/>
            <w:lang w:val="en-GB"/>
          </w:rPr>
          <w:t>http://ec.europa.eu/growth/tools-databases/nando/index.cfm?fuseaction=na.main</w:t>
        </w:r>
      </w:hyperlink>
      <w:r w:rsidR="0081771A" w:rsidRPr="00DA536A">
        <w:rPr>
          <w:lang w:val="en-GB"/>
        </w:rPr>
        <w:t xml:space="preserve">. </w:t>
      </w:r>
    </w:p>
    <w:p w14:paraId="20D0F010" w14:textId="0436F613" w:rsidR="00C97AC8" w:rsidRPr="00C97AC8" w:rsidRDefault="00C97AC8" w:rsidP="00C97AC8">
      <w:pPr>
        <w:pStyle w:val="SingleTxtG"/>
        <w:spacing w:before="240" w:after="0"/>
        <w:jc w:val="center"/>
        <w:rPr>
          <w:u w:val="single"/>
          <w:lang w:val="en-GB"/>
        </w:rPr>
      </w:pPr>
      <w:r>
        <w:rPr>
          <w:u w:val="single"/>
          <w:lang w:val="en-GB"/>
        </w:rPr>
        <w:tab/>
      </w:r>
      <w:r>
        <w:rPr>
          <w:u w:val="single"/>
          <w:lang w:val="en-GB"/>
        </w:rPr>
        <w:tab/>
      </w:r>
      <w:r>
        <w:rPr>
          <w:u w:val="single"/>
          <w:lang w:val="en-GB"/>
        </w:rPr>
        <w:tab/>
      </w:r>
    </w:p>
    <w:sectPr w:rsidR="00C97AC8" w:rsidRPr="00C97AC8" w:rsidSect="0017141F">
      <w:headerReference w:type="even" r:id="rId9"/>
      <w:headerReference w:type="default" r:id="rId10"/>
      <w:footerReference w:type="even" r:id="rId11"/>
      <w:footerReference w:type="default" r:id="rId12"/>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CCCEC" w14:textId="77777777" w:rsidR="00C4523D" w:rsidRDefault="00C4523D"/>
  </w:endnote>
  <w:endnote w:type="continuationSeparator" w:id="0">
    <w:p w14:paraId="624750C6" w14:textId="77777777" w:rsidR="00C4523D" w:rsidRDefault="00C4523D"/>
  </w:endnote>
  <w:endnote w:type="continuationNotice" w:id="1">
    <w:p w14:paraId="49854269" w14:textId="77777777" w:rsidR="00C4523D" w:rsidRDefault="00C45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466E" w14:textId="6B427E79"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D915E2">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58867" w14:textId="36DF8EC0"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7063F6">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83848" w14:textId="77777777" w:rsidR="00C4523D" w:rsidRPr="000B175B" w:rsidRDefault="00C4523D" w:rsidP="000B175B">
      <w:pPr>
        <w:tabs>
          <w:tab w:val="right" w:pos="2155"/>
        </w:tabs>
        <w:spacing w:after="80"/>
        <w:ind w:left="680"/>
        <w:rPr>
          <w:u w:val="single"/>
        </w:rPr>
      </w:pPr>
      <w:r>
        <w:rPr>
          <w:u w:val="single"/>
        </w:rPr>
        <w:tab/>
      </w:r>
    </w:p>
  </w:footnote>
  <w:footnote w:type="continuationSeparator" w:id="0">
    <w:p w14:paraId="4CC15C9C" w14:textId="77777777" w:rsidR="00C4523D" w:rsidRPr="00FC68B7" w:rsidRDefault="00C4523D" w:rsidP="00FC68B7">
      <w:pPr>
        <w:tabs>
          <w:tab w:val="left" w:pos="2155"/>
        </w:tabs>
        <w:spacing w:after="80"/>
        <w:ind w:left="680"/>
        <w:rPr>
          <w:u w:val="single"/>
        </w:rPr>
      </w:pPr>
      <w:r>
        <w:rPr>
          <w:u w:val="single"/>
        </w:rPr>
        <w:tab/>
      </w:r>
    </w:p>
  </w:footnote>
  <w:footnote w:type="continuationNotice" w:id="1">
    <w:p w14:paraId="02E48745" w14:textId="77777777" w:rsidR="00C4523D" w:rsidRDefault="00C4523D"/>
  </w:footnote>
  <w:footnote w:id="2">
    <w:p w14:paraId="108BE864" w14:textId="6B8AA8FB" w:rsidR="00DA15F5" w:rsidRPr="00DA15F5" w:rsidRDefault="00DA15F5" w:rsidP="00A8692E">
      <w:pPr>
        <w:pStyle w:val="FootnoteText"/>
        <w:tabs>
          <w:tab w:val="clear" w:pos="1021"/>
        </w:tabs>
        <w:ind w:left="851" w:firstLine="0"/>
      </w:pPr>
      <w:r>
        <w:rPr>
          <w:rStyle w:val="FootnoteReference"/>
        </w:rPr>
        <w:footnoteRef/>
      </w:r>
      <w:r>
        <w:t xml:space="preserve"> </w:t>
      </w:r>
      <w:r>
        <w:rPr>
          <w:sz w:val="17"/>
          <w:szCs w:val="17"/>
        </w:rPr>
        <w:t xml:space="preserve">Judgment of the Court of Justice of 20 February 1979. — </w:t>
      </w:r>
      <w:proofErr w:type="spellStart"/>
      <w:r>
        <w:rPr>
          <w:sz w:val="17"/>
          <w:szCs w:val="17"/>
        </w:rPr>
        <w:t>Rewe-Zentral</w:t>
      </w:r>
      <w:proofErr w:type="spellEnd"/>
      <w:r>
        <w:rPr>
          <w:sz w:val="17"/>
          <w:szCs w:val="17"/>
        </w:rPr>
        <w:t xml:space="preserve"> AG v </w:t>
      </w:r>
      <w:proofErr w:type="spellStart"/>
      <w:r>
        <w:rPr>
          <w:sz w:val="17"/>
          <w:szCs w:val="17"/>
        </w:rPr>
        <w:t>Bundesmonopolverwaltung</w:t>
      </w:r>
      <w:proofErr w:type="spellEnd"/>
      <w:r>
        <w:rPr>
          <w:sz w:val="17"/>
          <w:szCs w:val="17"/>
        </w:rPr>
        <w:t xml:space="preserve"> </w:t>
      </w:r>
      <w:proofErr w:type="spellStart"/>
      <w:r>
        <w:rPr>
          <w:sz w:val="17"/>
          <w:szCs w:val="17"/>
        </w:rPr>
        <w:t>für</w:t>
      </w:r>
      <w:proofErr w:type="spellEnd"/>
      <w:r>
        <w:rPr>
          <w:sz w:val="17"/>
          <w:szCs w:val="17"/>
        </w:rPr>
        <w:t xml:space="preserve"> </w:t>
      </w:r>
      <w:proofErr w:type="spellStart"/>
      <w:r>
        <w:rPr>
          <w:sz w:val="17"/>
          <w:szCs w:val="17"/>
        </w:rPr>
        <w:t>Branntwein</w:t>
      </w:r>
      <w:proofErr w:type="spellEnd"/>
      <w:r>
        <w:rPr>
          <w:sz w:val="17"/>
          <w:szCs w:val="17"/>
        </w:rPr>
        <w:t>. Case 120/78. European Court reports 1979, p. 649.</w:t>
      </w:r>
    </w:p>
  </w:footnote>
  <w:footnote w:id="3">
    <w:p w14:paraId="48F79066" w14:textId="0EF0056F" w:rsidR="00091F01" w:rsidRPr="00091F01" w:rsidRDefault="00091F01" w:rsidP="00A8692E">
      <w:pPr>
        <w:pStyle w:val="FootnoteText"/>
        <w:tabs>
          <w:tab w:val="clear" w:pos="1021"/>
        </w:tabs>
        <w:ind w:left="851" w:firstLine="0"/>
        <w:rPr>
          <w:lang w:val="en-GB"/>
        </w:rPr>
      </w:pPr>
      <w:r>
        <w:rPr>
          <w:rStyle w:val="FootnoteReference"/>
        </w:rPr>
        <w:footnoteRef/>
      </w:r>
      <w:r>
        <w:t xml:space="preserve"> ‘Blue Guide’ on the implementation of EU product rules</w:t>
      </w:r>
      <w:r w:rsidR="00AC521A">
        <w:rPr>
          <w:lang w:val="en-GB"/>
        </w:rPr>
        <w:t>, p.7</w:t>
      </w:r>
      <w:r>
        <w:rPr>
          <w:lang w:val="en-GB"/>
        </w:rPr>
        <w:t xml:space="preserve"> (</w:t>
      </w:r>
      <w:hyperlink r:id="rId1" w:history="1">
        <w:r w:rsidRPr="00EF46E2">
          <w:rPr>
            <w:rStyle w:val="Hyperlink"/>
            <w:lang w:val="en-GB"/>
          </w:rPr>
          <w:t>http://ec.europa.eu/growth/content/%E2%80%98blueguide%E2%80%99-implementation-eu-product-rules-0_en</w:t>
        </w:r>
      </w:hyperlink>
      <w:r>
        <w:rPr>
          <w:lang w:val="en-GB"/>
        </w:rPr>
        <w:t xml:space="preserve">) </w:t>
      </w:r>
    </w:p>
    <w:p w14:paraId="1A9846E3" w14:textId="208B33B8" w:rsidR="00091F01" w:rsidRPr="00091F01" w:rsidRDefault="00091F01" w:rsidP="00A8692E">
      <w:pPr>
        <w:pStyle w:val="FootnoteText"/>
        <w:ind w:left="851"/>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B36C2" w14:textId="63D7F40B" w:rsidR="00652CFC" w:rsidRPr="00652CFC" w:rsidRDefault="00652CFC">
    <w:pPr>
      <w:pStyle w:val="Header"/>
      <w:rPr>
        <w:lang w:val="fr-CH"/>
      </w:rPr>
    </w:pPr>
    <w:r>
      <w:rPr>
        <w:lang w:val="fr-CH"/>
      </w:rPr>
      <w:t>INF.</w:t>
    </w:r>
    <w:r w:rsidR="009857A1">
      <w:rPr>
        <w:lang w:val="fr-CH"/>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C938" w14:textId="53A97049" w:rsidR="00652CFC" w:rsidRPr="00652CFC" w:rsidRDefault="00652CFC" w:rsidP="00652CFC">
    <w:pPr>
      <w:pStyle w:val="Header"/>
      <w:pBdr>
        <w:bottom w:val="single" w:sz="4" w:space="1" w:color="auto"/>
      </w:pBdr>
      <w:jc w:val="right"/>
      <w:rPr>
        <w:lang w:val="fr-CH"/>
      </w:rPr>
    </w:pPr>
    <w:r>
      <w:rPr>
        <w:lang w:val="fr-CH"/>
      </w:rPr>
      <w:t>INF.</w:t>
    </w:r>
    <w:r w:rsidR="002100B5">
      <w:rPr>
        <w:lang w:val="fr-CH"/>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CF1968"/>
    <w:multiLevelType w:val="hybridMultilevel"/>
    <w:tmpl w:val="A1B05110"/>
    <w:lvl w:ilvl="0" w:tplc="693CB8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611594"/>
    <w:multiLevelType w:val="hybridMultilevel"/>
    <w:tmpl w:val="6CECFE94"/>
    <w:lvl w:ilvl="0" w:tplc="693CB83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2BF21F9C"/>
    <w:multiLevelType w:val="hybridMultilevel"/>
    <w:tmpl w:val="445AB0CA"/>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5"/>
  </w:num>
  <w:num w:numId="13">
    <w:abstractNumId w:val="10"/>
  </w:num>
  <w:num w:numId="14">
    <w:abstractNumId w:val="19"/>
  </w:num>
  <w:num w:numId="15">
    <w:abstractNumId w:val="12"/>
  </w:num>
  <w:num w:numId="16">
    <w:abstractNumId w:val="11"/>
  </w:num>
  <w:num w:numId="17">
    <w:abstractNumId w:val="20"/>
  </w:num>
  <w:num w:numId="18">
    <w:abstractNumId w:val="14"/>
  </w:num>
  <w:num w:numId="19">
    <w:abstractNumId w:val="21"/>
  </w:num>
  <w:num w:numId="20">
    <w:abstractNumId w:val="17"/>
  </w:num>
  <w:num w:numId="21">
    <w:abstractNumId w:val="16"/>
  </w:num>
  <w:num w:numId="2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s-ES"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CH" w:vendorID="64" w:dllVersion="0" w:nlCheck="1" w:checkStyle="0"/>
  <w:activeWritingStyle w:appName="MSWord" w:lang="en-IE"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C4D51"/>
    <w:rsid w:val="00021559"/>
    <w:rsid w:val="00037F90"/>
    <w:rsid w:val="00046B1F"/>
    <w:rsid w:val="00047005"/>
    <w:rsid w:val="00050F6B"/>
    <w:rsid w:val="000531ED"/>
    <w:rsid w:val="000547A7"/>
    <w:rsid w:val="00057E97"/>
    <w:rsid w:val="00072C8C"/>
    <w:rsid w:val="000733B5"/>
    <w:rsid w:val="00081815"/>
    <w:rsid w:val="00091F01"/>
    <w:rsid w:val="000931C0"/>
    <w:rsid w:val="00096262"/>
    <w:rsid w:val="00097556"/>
    <w:rsid w:val="000A2EAA"/>
    <w:rsid w:val="000A3752"/>
    <w:rsid w:val="000A60BA"/>
    <w:rsid w:val="000A7267"/>
    <w:rsid w:val="000B0595"/>
    <w:rsid w:val="000B175B"/>
    <w:rsid w:val="000B259B"/>
    <w:rsid w:val="000B3A0F"/>
    <w:rsid w:val="000B4EF7"/>
    <w:rsid w:val="000B5327"/>
    <w:rsid w:val="000B536D"/>
    <w:rsid w:val="000B633F"/>
    <w:rsid w:val="000C2C03"/>
    <w:rsid w:val="000C2D2E"/>
    <w:rsid w:val="000C4D51"/>
    <w:rsid w:val="000C7F79"/>
    <w:rsid w:val="000E0415"/>
    <w:rsid w:val="000E4D44"/>
    <w:rsid w:val="0010391C"/>
    <w:rsid w:val="00104CDA"/>
    <w:rsid w:val="001103AA"/>
    <w:rsid w:val="0011666B"/>
    <w:rsid w:val="00125117"/>
    <w:rsid w:val="00155068"/>
    <w:rsid w:val="00165F3A"/>
    <w:rsid w:val="0017141F"/>
    <w:rsid w:val="001714BB"/>
    <w:rsid w:val="00181683"/>
    <w:rsid w:val="0019502A"/>
    <w:rsid w:val="001A57BD"/>
    <w:rsid w:val="001A6E55"/>
    <w:rsid w:val="001B13A5"/>
    <w:rsid w:val="001B4B04"/>
    <w:rsid w:val="001C6663"/>
    <w:rsid w:val="001C7895"/>
    <w:rsid w:val="001D0C8C"/>
    <w:rsid w:val="001D1419"/>
    <w:rsid w:val="001D26DF"/>
    <w:rsid w:val="001D3A03"/>
    <w:rsid w:val="001D3E41"/>
    <w:rsid w:val="001E0B9E"/>
    <w:rsid w:val="001E42D7"/>
    <w:rsid w:val="001E7B67"/>
    <w:rsid w:val="001F05C5"/>
    <w:rsid w:val="001F1897"/>
    <w:rsid w:val="001F7435"/>
    <w:rsid w:val="00202B08"/>
    <w:rsid w:val="00202DA8"/>
    <w:rsid w:val="00203753"/>
    <w:rsid w:val="002100B5"/>
    <w:rsid w:val="002102FF"/>
    <w:rsid w:val="0021114C"/>
    <w:rsid w:val="0021157B"/>
    <w:rsid w:val="00211E0B"/>
    <w:rsid w:val="00212F6A"/>
    <w:rsid w:val="00224287"/>
    <w:rsid w:val="0024023A"/>
    <w:rsid w:val="00243217"/>
    <w:rsid w:val="00252290"/>
    <w:rsid w:val="002615F8"/>
    <w:rsid w:val="00267F5F"/>
    <w:rsid w:val="00280FE8"/>
    <w:rsid w:val="00286B4D"/>
    <w:rsid w:val="002A3C85"/>
    <w:rsid w:val="002A603B"/>
    <w:rsid w:val="002C0F95"/>
    <w:rsid w:val="002D2556"/>
    <w:rsid w:val="002D3BD9"/>
    <w:rsid w:val="002D4643"/>
    <w:rsid w:val="002D4B6C"/>
    <w:rsid w:val="002E2940"/>
    <w:rsid w:val="002F175C"/>
    <w:rsid w:val="00302E18"/>
    <w:rsid w:val="003050A4"/>
    <w:rsid w:val="0030606F"/>
    <w:rsid w:val="003229D8"/>
    <w:rsid w:val="0033486A"/>
    <w:rsid w:val="003358CF"/>
    <w:rsid w:val="00345184"/>
    <w:rsid w:val="00352709"/>
    <w:rsid w:val="003571EA"/>
    <w:rsid w:val="003609C9"/>
    <w:rsid w:val="00371178"/>
    <w:rsid w:val="003839D9"/>
    <w:rsid w:val="0039609D"/>
    <w:rsid w:val="00397D16"/>
    <w:rsid w:val="003A6810"/>
    <w:rsid w:val="003B36D1"/>
    <w:rsid w:val="003C2CC4"/>
    <w:rsid w:val="003C7C2C"/>
    <w:rsid w:val="003D2520"/>
    <w:rsid w:val="003D4B23"/>
    <w:rsid w:val="003E5520"/>
    <w:rsid w:val="00400297"/>
    <w:rsid w:val="00402D9E"/>
    <w:rsid w:val="00403650"/>
    <w:rsid w:val="00410C89"/>
    <w:rsid w:val="00422E03"/>
    <w:rsid w:val="00426B9B"/>
    <w:rsid w:val="0043165A"/>
    <w:rsid w:val="004325CB"/>
    <w:rsid w:val="004356D2"/>
    <w:rsid w:val="00442A83"/>
    <w:rsid w:val="0045495B"/>
    <w:rsid w:val="00464C81"/>
    <w:rsid w:val="00475ED3"/>
    <w:rsid w:val="0048397A"/>
    <w:rsid w:val="00483F1B"/>
    <w:rsid w:val="004A12F2"/>
    <w:rsid w:val="004A28A3"/>
    <w:rsid w:val="004C2461"/>
    <w:rsid w:val="004C408F"/>
    <w:rsid w:val="004C7462"/>
    <w:rsid w:val="004D4E04"/>
    <w:rsid w:val="004D5426"/>
    <w:rsid w:val="004E0C05"/>
    <w:rsid w:val="004E4C86"/>
    <w:rsid w:val="004E77B2"/>
    <w:rsid w:val="00503DEB"/>
    <w:rsid w:val="00504B2D"/>
    <w:rsid w:val="00507993"/>
    <w:rsid w:val="00514989"/>
    <w:rsid w:val="0052136D"/>
    <w:rsid w:val="00522B58"/>
    <w:rsid w:val="00523CD7"/>
    <w:rsid w:val="0052775E"/>
    <w:rsid w:val="00541096"/>
    <w:rsid w:val="005420F2"/>
    <w:rsid w:val="00543B68"/>
    <w:rsid w:val="00546993"/>
    <w:rsid w:val="005628B6"/>
    <w:rsid w:val="005711CD"/>
    <w:rsid w:val="005748BA"/>
    <w:rsid w:val="0059363D"/>
    <w:rsid w:val="005A3D04"/>
    <w:rsid w:val="005B3DB3"/>
    <w:rsid w:val="005B4E13"/>
    <w:rsid w:val="005C68F0"/>
    <w:rsid w:val="005D2A29"/>
    <w:rsid w:val="005D5FE6"/>
    <w:rsid w:val="005E6A77"/>
    <w:rsid w:val="005F7B75"/>
    <w:rsid w:val="006001EE"/>
    <w:rsid w:val="00605042"/>
    <w:rsid w:val="00611FC4"/>
    <w:rsid w:val="006176FB"/>
    <w:rsid w:val="00623957"/>
    <w:rsid w:val="00630BAF"/>
    <w:rsid w:val="00633450"/>
    <w:rsid w:val="00635618"/>
    <w:rsid w:val="00640B26"/>
    <w:rsid w:val="0064238E"/>
    <w:rsid w:val="00643C92"/>
    <w:rsid w:val="00652CFC"/>
    <w:rsid w:val="00652D0A"/>
    <w:rsid w:val="00657C84"/>
    <w:rsid w:val="006623D5"/>
    <w:rsid w:val="00662BB6"/>
    <w:rsid w:val="00667F8F"/>
    <w:rsid w:val="006741F1"/>
    <w:rsid w:val="00684C21"/>
    <w:rsid w:val="00685BB1"/>
    <w:rsid w:val="006A2530"/>
    <w:rsid w:val="006B1C12"/>
    <w:rsid w:val="006C3589"/>
    <w:rsid w:val="006D37AF"/>
    <w:rsid w:val="006D51D0"/>
    <w:rsid w:val="006E564B"/>
    <w:rsid w:val="006E7191"/>
    <w:rsid w:val="00703577"/>
    <w:rsid w:val="00705894"/>
    <w:rsid w:val="007063F6"/>
    <w:rsid w:val="0072632A"/>
    <w:rsid w:val="007327D5"/>
    <w:rsid w:val="00760A73"/>
    <w:rsid w:val="007611CF"/>
    <w:rsid w:val="00761787"/>
    <w:rsid w:val="007629C8"/>
    <w:rsid w:val="00764668"/>
    <w:rsid w:val="0077047D"/>
    <w:rsid w:val="00776430"/>
    <w:rsid w:val="00797575"/>
    <w:rsid w:val="007B6BA5"/>
    <w:rsid w:val="007C3390"/>
    <w:rsid w:val="007C4F4B"/>
    <w:rsid w:val="007E01E9"/>
    <w:rsid w:val="007E63F3"/>
    <w:rsid w:val="007F1F2D"/>
    <w:rsid w:val="007F6611"/>
    <w:rsid w:val="007F7106"/>
    <w:rsid w:val="007F7A86"/>
    <w:rsid w:val="008116D7"/>
    <w:rsid w:val="00811920"/>
    <w:rsid w:val="00815AD0"/>
    <w:rsid w:val="0081771A"/>
    <w:rsid w:val="008242D7"/>
    <w:rsid w:val="008257B1"/>
    <w:rsid w:val="00826C3D"/>
    <w:rsid w:val="00843767"/>
    <w:rsid w:val="00854501"/>
    <w:rsid w:val="00863760"/>
    <w:rsid w:val="008679D9"/>
    <w:rsid w:val="00871389"/>
    <w:rsid w:val="00880848"/>
    <w:rsid w:val="00883999"/>
    <w:rsid w:val="00887652"/>
    <w:rsid w:val="008878DE"/>
    <w:rsid w:val="008979B1"/>
    <w:rsid w:val="008A6B25"/>
    <w:rsid w:val="008A6C4F"/>
    <w:rsid w:val="008A7B69"/>
    <w:rsid w:val="008B2335"/>
    <w:rsid w:val="008C69CA"/>
    <w:rsid w:val="008C7DAF"/>
    <w:rsid w:val="008E0678"/>
    <w:rsid w:val="008E0DAA"/>
    <w:rsid w:val="008E4D3A"/>
    <w:rsid w:val="008E5EDD"/>
    <w:rsid w:val="009223CA"/>
    <w:rsid w:val="00940F93"/>
    <w:rsid w:val="0094558F"/>
    <w:rsid w:val="00961690"/>
    <w:rsid w:val="0096589D"/>
    <w:rsid w:val="009760F3"/>
    <w:rsid w:val="0098203C"/>
    <w:rsid w:val="009857A1"/>
    <w:rsid w:val="00992058"/>
    <w:rsid w:val="009A0E8D"/>
    <w:rsid w:val="009A770D"/>
    <w:rsid w:val="009B1518"/>
    <w:rsid w:val="009B26E7"/>
    <w:rsid w:val="009C454F"/>
    <w:rsid w:val="009C5D9E"/>
    <w:rsid w:val="009D2A5B"/>
    <w:rsid w:val="009E1D8E"/>
    <w:rsid w:val="009F36F8"/>
    <w:rsid w:val="00A00A3F"/>
    <w:rsid w:val="00A01489"/>
    <w:rsid w:val="00A12EA2"/>
    <w:rsid w:val="00A3009E"/>
    <w:rsid w:val="00A3026E"/>
    <w:rsid w:val="00A338F1"/>
    <w:rsid w:val="00A47A60"/>
    <w:rsid w:val="00A566C9"/>
    <w:rsid w:val="00A676DA"/>
    <w:rsid w:val="00A72F22"/>
    <w:rsid w:val="00A7360F"/>
    <w:rsid w:val="00A748A6"/>
    <w:rsid w:val="00A769F4"/>
    <w:rsid w:val="00A776B4"/>
    <w:rsid w:val="00A8292C"/>
    <w:rsid w:val="00A8692E"/>
    <w:rsid w:val="00A94361"/>
    <w:rsid w:val="00AA293C"/>
    <w:rsid w:val="00AA66C0"/>
    <w:rsid w:val="00AC521A"/>
    <w:rsid w:val="00AD44C2"/>
    <w:rsid w:val="00AD48FA"/>
    <w:rsid w:val="00AE4840"/>
    <w:rsid w:val="00B11BB4"/>
    <w:rsid w:val="00B2046E"/>
    <w:rsid w:val="00B22BC2"/>
    <w:rsid w:val="00B30179"/>
    <w:rsid w:val="00B36690"/>
    <w:rsid w:val="00B418FF"/>
    <w:rsid w:val="00B41C8A"/>
    <w:rsid w:val="00B421C1"/>
    <w:rsid w:val="00B45B3A"/>
    <w:rsid w:val="00B52FD7"/>
    <w:rsid w:val="00B55C71"/>
    <w:rsid w:val="00B56E4A"/>
    <w:rsid w:val="00B56E9C"/>
    <w:rsid w:val="00B61320"/>
    <w:rsid w:val="00B61BB6"/>
    <w:rsid w:val="00B64B1F"/>
    <w:rsid w:val="00B6553F"/>
    <w:rsid w:val="00B70D00"/>
    <w:rsid w:val="00B70F1E"/>
    <w:rsid w:val="00B7236E"/>
    <w:rsid w:val="00B77D05"/>
    <w:rsid w:val="00B81206"/>
    <w:rsid w:val="00B81E12"/>
    <w:rsid w:val="00B8280B"/>
    <w:rsid w:val="00BA2681"/>
    <w:rsid w:val="00BA6AF3"/>
    <w:rsid w:val="00BB2232"/>
    <w:rsid w:val="00BB7CD1"/>
    <w:rsid w:val="00BB7FE9"/>
    <w:rsid w:val="00BC0129"/>
    <w:rsid w:val="00BC3FA0"/>
    <w:rsid w:val="00BC74E9"/>
    <w:rsid w:val="00BD55A0"/>
    <w:rsid w:val="00BE7E4D"/>
    <w:rsid w:val="00BF15A1"/>
    <w:rsid w:val="00BF68A8"/>
    <w:rsid w:val="00C10FE6"/>
    <w:rsid w:val="00C11A03"/>
    <w:rsid w:val="00C22C0C"/>
    <w:rsid w:val="00C4523D"/>
    <w:rsid w:val="00C4527F"/>
    <w:rsid w:val="00C463DD"/>
    <w:rsid w:val="00C467C9"/>
    <w:rsid w:val="00C4724C"/>
    <w:rsid w:val="00C50425"/>
    <w:rsid w:val="00C534A0"/>
    <w:rsid w:val="00C629A0"/>
    <w:rsid w:val="00C64629"/>
    <w:rsid w:val="00C73056"/>
    <w:rsid w:val="00C745C3"/>
    <w:rsid w:val="00C83A96"/>
    <w:rsid w:val="00C97AC8"/>
    <w:rsid w:val="00CB3E03"/>
    <w:rsid w:val="00CD57D2"/>
    <w:rsid w:val="00CE4A8F"/>
    <w:rsid w:val="00CE4B11"/>
    <w:rsid w:val="00D00610"/>
    <w:rsid w:val="00D0497E"/>
    <w:rsid w:val="00D170ED"/>
    <w:rsid w:val="00D2031B"/>
    <w:rsid w:val="00D25FE2"/>
    <w:rsid w:val="00D43252"/>
    <w:rsid w:val="00D4519C"/>
    <w:rsid w:val="00D47EEA"/>
    <w:rsid w:val="00D550D4"/>
    <w:rsid w:val="00D565BB"/>
    <w:rsid w:val="00D65303"/>
    <w:rsid w:val="00D773DF"/>
    <w:rsid w:val="00D80773"/>
    <w:rsid w:val="00D876F8"/>
    <w:rsid w:val="00D915E2"/>
    <w:rsid w:val="00D9255F"/>
    <w:rsid w:val="00D94790"/>
    <w:rsid w:val="00D95303"/>
    <w:rsid w:val="00D978C6"/>
    <w:rsid w:val="00DA15F5"/>
    <w:rsid w:val="00DA3C1C"/>
    <w:rsid w:val="00DA536A"/>
    <w:rsid w:val="00DB5A1E"/>
    <w:rsid w:val="00DB6CA5"/>
    <w:rsid w:val="00E046DF"/>
    <w:rsid w:val="00E11CF3"/>
    <w:rsid w:val="00E12A83"/>
    <w:rsid w:val="00E15557"/>
    <w:rsid w:val="00E27346"/>
    <w:rsid w:val="00E63E9D"/>
    <w:rsid w:val="00E71BC8"/>
    <w:rsid w:val="00E7260F"/>
    <w:rsid w:val="00E73D3A"/>
    <w:rsid w:val="00E73F5D"/>
    <w:rsid w:val="00E77E4E"/>
    <w:rsid w:val="00E96630"/>
    <w:rsid w:val="00EC106A"/>
    <w:rsid w:val="00EC32A0"/>
    <w:rsid w:val="00EC42CB"/>
    <w:rsid w:val="00EC5A86"/>
    <w:rsid w:val="00ED7A2A"/>
    <w:rsid w:val="00EE1694"/>
    <w:rsid w:val="00EE31F7"/>
    <w:rsid w:val="00EE663D"/>
    <w:rsid w:val="00EE6B3A"/>
    <w:rsid w:val="00EF1D7F"/>
    <w:rsid w:val="00F227A6"/>
    <w:rsid w:val="00F31E5F"/>
    <w:rsid w:val="00F36F0D"/>
    <w:rsid w:val="00F4272A"/>
    <w:rsid w:val="00F6100A"/>
    <w:rsid w:val="00F64E8A"/>
    <w:rsid w:val="00F66565"/>
    <w:rsid w:val="00F6714D"/>
    <w:rsid w:val="00F93781"/>
    <w:rsid w:val="00F962B7"/>
    <w:rsid w:val="00FA3772"/>
    <w:rsid w:val="00FB613B"/>
    <w:rsid w:val="00FC3C87"/>
    <w:rsid w:val="00FC68B7"/>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A2BA436"/>
  <w15:docId w15:val="{CCA78929-02D5-4BD1-9D6E-78FCC2A8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397300">
      <w:bodyDiv w:val="1"/>
      <w:marLeft w:val="0"/>
      <w:marRight w:val="0"/>
      <w:marTop w:val="0"/>
      <w:marBottom w:val="0"/>
      <w:divBdr>
        <w:top w:val="none" w:sz="0" w:space="0" w:color="auto"/>
        <w:left w:val="none" w:sz="0" w:space="0" w:color="auto"/>
        <w:bottom w:val="none" w:sz="0" w:space="0" w:color="auto"/>
        <w:right w:val="none" w:sz="0" w:space="0" w:color="auto"/>
      </w:divBdr>
      <w:divsChild>
        <w:div w:id="940186317">
          <w:marLeft w:val="0"/>
          <w:marRight w:val="0"/>
          <w:marTop w:val="0"/>
          <w:marBottom w:val="0"/>
          <w:divBdr>
            <w:top w:val="single" w:sz="6" w:space="0" w:color="666666"/>
            <w:left w:val="single" w:sz="6" w:space="0" w:color="666666"/>
            <w:bottom w:val="single" w:sz="6" w:space="0" w:color="666666"/>
            <w:right w:val="single" w:sz="6" w:space="0" w:color="666666"/>
          </w:divBdr>
          <w:divsChild>
            <w:div w:id="1826622326">
              <w:marLeft w:val="0"/>
              <w:marRight w:val="0"/>
              <w:marTop w:val="150"/>
              <w:marBottom w:val="0"/>
              <w:divBdr>
                <w:top w:val="none" w:sz="0" w:space="0" w:color="auto"/>
                <w:left w:val="none" w:sz="0" w:space="0" w:color="auto"/>
                <w:bottom w:val="none" w:sz="0" w:space="0" w:color="auto"/>
                <w:right w:val="none" w:sz="0" w:space="0" w:color="auto"/>
              </w:divBdr>
              <w:divsChild>
                <w:div w:id="979456422">
                  <w:marLeft w:val="0"/>
                  <w:marRight w:val="0"/>
                  <w:marTop w:val="0"/>
                  <w:marBottom w:val="0"/>
                  <w:divBdr>
                    <w:top w:val="none" w:sz="0" w:space="0" w:color="auto"/>
                    <w:left w:val="none" w:sz="0" w:space="0" w:color="auto"/>
                    <w:bottom w:val="none" w:sz="0" w:space="0" w:color="auto"/>
                    <w:right w:val="none" w:sz="0" w:space="0" w:color="auto"/>
                  </w:divBdr>
                  <w:divsChild>
                    <w:div w:id="658073479">
                      <w:marLeft w:val="0"/>
                      <w:marRight w:val="0"/>
                      <w:marTop w:val="0"/>
                      <w:marBottom w:val="0"/>
                      <w:divBdr>
                        <w:top w:val="none" w:sz="0" w:space="0" w:color="auto"/>
                        <w:left w:val="none" w:sz="0" w:space="0" w:color="auto"/>
                        <w:bottom w:val="none" w:sz="0" w:space="0" w:color="auto"/>
                        <w:right w:val="none" w:sz="0" w:space="0" w:color="auto"/>
                      </w:divBdr>
                      <w:divsChild>
                        <w:div w:id="2145928561">
                          <w:marLeft w:val="0"/>
                          <w:marRight w:val="0"/>
                          <w:marTop w:val="0"/>
                          <w:marBottom w:val="0"/>
                          <w:divBdr>
                            <w:top w:val="none" w:sz="0" w:space="0" w:color="auto"/>
                            <w:left w:val="none" w:sz="0" w:space="0" w:color="auto"/>
                            <w:bottom w:val="none" w:sz="0" w:space="0" w:color="auto"/>
                            <w:right w:val="none" w:sz="0" w:space="0" w:color="auto"/>
                          </w:divBdr>
                          <w:divsChild>
                            <w:div w:id="240142084">
                              <w:marLeft w:val="0"/>
                              <w:marRight w:val="0"/>
                              <w:marTop w:val="0"/>
                              <w:marBottom w:val="0"/>
                              <w:divBdr>
                                <w:top w:val="none" w:sz="0" w:space="0" w:color="auto"/>
                                <w:left w:val="none" w:sz="0" w:space="0" w:color="auto"/>
                                <w:bottom w:val="none" w:sz="0" w:space="0" w:color="auto"/>
                                <w:right w:val="none" w:sz="0" w:space="0" w:color="auto"/>
                              </w:divBdr>
                              <w:divsChild>
                                <w:div w:id="389816102">
                                  <w:marLeft w:val="0"/>
                                  <w:marRight w:val="0"/>
                                  <w:marTop w:val="0"/>
                                  <w:marBottom w:val="0"/>
                                  <w:divBdr>
                                    <w:top w:val="none" w:sz="0" w:space="0" w:color="auto"/>
                                    <w:left w:val="none" w:sz="0" w:space="0" w:color="auto"/>
                                    <w:bottom w:val="none" w:sz="0" w:space="0" w:color="auto"/>
                                    <w:right w:val="none" w:sz="0" w:space="0" w:color="auto"/>
                                  </w:divBdr>
                                  <w:divsChild>
                                    <w:div w:id="1233542031">
                                      <w:marLeft w:val="0"/>
                                      <w:marRight w:val="0"/>
                                      <w:marTop w:val="0"/>
                                      <w:marBottom w:val="0"/>
                                      <w:divBdr>
                                        <w:top w:val="none" w:sz="0" w:space="0" w:color="auto"/>
                                        <w:left w:val="none" w:sz="0" w:space="0" w:color="auto"/>
                                        <w:bottom w:val="none" w:sz="0" w:space="0" w:color="auto"/>
                                        <w:right w:val="none" w:sz="0" w:space="0" w:color="auto"/>
                                      </w:divBdr>
                                      <w:divsChild>
                                        <w:div w:id="648679780">
                                          <w:marLeft w:val="0"/>
                                          <w:marRight w:val="0"/>
                                          <w:marTop w:val="0"/>
                                          <w:marBottom w:val="0"/>
                                          <w:divBdr>
                                            <w:top w:val="none" w:sz="0" w:space="0" w:color="auto"/>
                                            <w:left w:val="none" w:sz="0" w:space="0" w:color="auto"/>
                                            <w:bottom w:val="none" w:sz="0" w:space="0" w:color="auto"/>
                                            <w:right w:val="none" w:sz="0" w:space="0" w:color="auto"/>
                                          </w:divBdr>
                                          <w:divsChild>
                                            <w:div w:id="2032683488">
                                              <w:marLeft w:val="0"/>
                                              <w:marRight w:val="0"/>
                                              <w:marTop w:val="0"/>
                                              <w:marBottom w:val="0"/>
                                              <w:divBdr>
                                                <w:top w:val="none" w:sz="0" w:space="0" w:color="auto"/>
                                                <w:left w:val="none" w:sz="0" w:space="0" w:color="auto"/>
                                                <w:bottom w:val="none" w:sz="0" w:space="0" w:color="auto"/>
                                                <w:right w:val="none" w:sz="0" w:space="0" w:color="auto"/>
                                              </w:divBdr>
                                              <w:divsChild>
                                                <w:div w:id="804661661">
                                                  <w:marLeft w:val="0"/>
                                                  <w:marRight w:val="0"/>
                                                  <w:marTop w:val="0"/>
                                                  <w:marBottom w:val="0"/>
                                                  <w:divBdr>
                                                    <w:top w:val="none" w:sz="0" w:space="0" w:color="auto"/>
                                                    <w:left w:val="none" w:sz="0" w:space="0" w:color="auto"/>
                                                    <w:bottom w:val="none" w:sz="0" w:space="0" w:color="auto"/>
                                                    <w:right w:val="none" w:sz="0" w:space="0" w:color="auto"/>
                                                  </w:divBdr>
                                                  <w:divsChild>
                                                    <w:div w:id="1187476913">
                                                      <w:marLeft w:val="0"/>
                                                      <w:marRight w:val="0"/>
                                                      <w:marTop w:val="0"/>
                                                      <w:marBottom w:val="0"/>
                                                      <w:divBdr>
                                                        <w:top w:val="none" w:sz="0" w:space="0" w:color="auto"/>
                                                        <w:left w:val="none" w:sz="0" w:space="0" w:color="auto"/>
                                                        <w:bottom w:val="none" w:sz="0" w:space="0" w:color="auto"/>
                                                        <w:right w:val="none" w:sz="0" w:space="0" w:color="auto"/>
                                                      </w:divBdr>
                                                      <w:divsChild>
                                                        <w:div w:id="552229472">
                                                          <w:marLeft w:val="0"/>
                                                          <w:marRight w:val="0"/>
                                                          <w:marTop w:val="0"/>
                                                          <w:marBottom w:val="0"/>
                                                          <w:divBdr>
                                                            <w:top w:val="none" w:sz="0" w:space="0" w:color="auto"/>
                                                            <w:left w:val="none" w:sz="0" w:space="0" w:color="auto"/>
                                                            <w:bottom w:val="none" w:sz="0" w:space="0" w:color="auto"/>
                                                            <w:right w:val="none" w:sz="0" w:space="0" w:color="auto"/>
                                                          </w:divBdr>
                                                          <w:divsChild>
                                                            <w:div w:id="1638290966">
                                                              <w:marLeft w:val="0"/>
                                                              <w:marRight w:val="0"/>
                                                              <w:marTop w:val="0"/>
                                                              <w:marBottom w:val="225"/>
                                                              <w:divBdr>
                                                                <w:top w:val="single" w:sz="6" w:space="11" w:color="DDDDDD"/>
                                                                <w:left w:val="none" w:sz="0" w:space="0" w:color="auto"/>
                                                                <w:bottom w:val="none" w:sz="0" w:space="0" w:color="auto"/>
                                                                <w:right w:val="none" w:sz="0" w:space="0" w:color="auto"/>
                                                              </w:divBdr>
                                                              <w:divsChild>
                                                                <w:div w:id="1173492395">
                                                                  <w:marLeft w:val="0"/>
                                                                  <w:marRight w:val="0"/>
                                                                  <w:marTop w:val="0"/>
                                                                  <w:marBottom w:val="0"/>
                                                                  <w:divBdr>
                                                                    <w:top w:val="none" w:sz="0" w:space="0" w:color="auto"/>
                                                                    <w:left w:val="none" w:sz="0" w:space="0" w:color="auto"/>
                                                                    <w:bottom w:val="none" w:sz="0" w:space="0" w:color="auto"/>
                                                                    <w:right w:val="none" w:sz="0" w:space="0" w:color="auto"/>
                                                                  </w:divBdr>
                                                                  <w:divsChild>
                                                                    <w:div w:id="1966499502">
                                                                      <w:marLeft w:val="0"/>
                                                                      <w:marRight w:val="0"/>
                                                                      <w:marTop w:val="0"/>
                                                                      <w:marBottom w:val="0"/>
                                                                      <w:divBdr>
                                                                        <w:top w:val="none" w:sz="0" w:space="0" w:color="auto"/>
                                                                        <w:left w:val="none" w:sz="0" w:space="0" w:color="auto"/>
                                                                        <w:bottom w:val="none" w:sz="0" w:space="0" w:color="auto"/>
                                                                        <w:right w:val="none" w:sz="0" w:space="0" w:color="auto"/>
                                                                      </w:divBdr>
                                                                    </w:div>
                                                                  </w:divsChild>
                                                                </w:div>
                                                                <w:div w:id="7159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nando/index.cfm?fuseaction=na.ma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growth/content/%E2%80%98blueguide%E2%80%99-implementation-eu-product-rules-0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C5E65-6512-4E31-899F-33E8154D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5</cp:revision>
  <cp:lastPrinted>2018-09-05T07:41:00Z</cp:lastPrinted>
  <dcterms:created xsi:type="dcterms:W3CDTF">2018-09-14T10:16:00Z</dcterms:created>
  <dcterms:modified xsi:type="dcterms:W3CDTF">2018-09-14T13:54:00Z</dcterms:modified>
</cp:coreProperties>
</file>