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F67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F67FC" w:rsidP="00CF67FC">
            <w:pPr>
              <w:jc w:val="right"/>
            </w:pPr>
            <w:r w:rsidRPr="00CF67FC">
              <w:rPr>
                <w:sz w:val="40"/>
              </w:rPr>
              <w:t>ECE</w:t>
            </w:r>
            <w:r>
              <w:t>/TRANS/WP.15/AC.1/2018/3</w:t>
            </w:r>
          </w:p>
        </w:tc>
      </w:tr>
      <w:tr w:rsidR="002D5AAC" w:rsidRPr="00CF67F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F67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F67FC" w:rsidRDefault="003262EC" w:rsidP="00CF67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2017</w:t>
            </w:r>
          </w:p>
          <w:p w:rsidR="00CF67FC" w:rsidRDefault="00CF67FC" w:rsidP="00CF67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F67FC" w:rsidRPr="008D53B6" w:rsidRDefault="00CF67FC" w:rsidP="00CF67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2C5F" w:rsidRPr="003262EC" w:rsidRDefault="003262EC" w:rsidP="003262EC">
      <w:pPr>
        <w:spacing w:before="120"/>
        <w:rPr>
          <w:sz w:val="28"/>
          <w:szCs w:val="28"/>
        </w:rPr>
      </w:pPr>
      <w:bookmarkStart w:id="1" w:name="bookmark_12"/>
      <w:r w:rsidRPr="003262EC">
        <w:rPr>
          <w:rFonts w:eastAsia="Times New Roman" w:cs="Times New Roman"/>
          <w:sz w:val="28"/>
          <w:szCs w:val="28"/>
        </w:rPr>
        <w:t>Комитет по внутреннему транспорту</w:t>
      </w:r>
      <w:bookmarkEnd w:id="1"/>
    </w:p>
    <w:p w:rsidR="003262EC" w:rsidRPr="003262EC" w:rsidRDefault="003262EC" w:rsidP="003262EC">
      <w:pPr>
        <w:spacing w:before="120"/>
        <w:rPr>
          <w:rFonts w:eastAsia="Times New Roman" w:cs="Times New Roman"/>
          <w:b/>
          <w:sz w:val="24"/>
          <w:szCs w:val="24"/>
          <w:lang w:val="en-US"/>
        </w:rPr>
      </w:pPr>
      <w:bookmarkStart w:id="2" w:name="bookmark_13"/>
      <w:r w:rsidRPr="003262EC">
        <w:rPr>
          <w:rFonts w:eastAsia="Times New Roman" w:cs="Times New Roman"/>
          <w:b/>
          <w:sz w:val="24"/>
          <w:szCs w:val="24"/>
        </w:rPr>
        <w:t>Рабочая группа по перевозкам опасных грузов</w:t>
      </w:r>
      <w:bookmarkEnd w:id="2"/>
    </w:p>
    <w:p w:rsidR="003262EC" w:rsidRPr="003262EC" w:rsidRDefault="003262EC" w:rsidP="003262EC">
      <w:pPr>
        <w:spacing w:before="120"/>
        <w:rPr>
          <w:rFonts w:eastAsia="Times New Roman" w:cs="Times New Roman"/>
          <w:b/>
          <w:szCs w:val="20"/>
        </w:rPr>
      </w:pPr>
      <w:bookmarkStart w:id="3" w:name="bookmark_14"/>
      <w:r w:rsidRPr="003262EC">
        <w:rPr>
          <w:rFonts w:eastAsia="Times New Roman" w:cs="Times New Roman"/>
          <w:b/>
          <w:szCs w:val="20"/>
        </w:rPr>
        <w:t xml:space="preserve">Совместное совещание Комиссии экспертов МПОГ </w:t>
      </w:r>
      <w:r w:rsidRPr="003262EC">
        <w:rPr>
          <w:rFonts w:eastAsia="Times New Roman" w:cs="Times New Roman"/>
          <w:b/>
          <w:szCs w:val="20"/>
        </w:rPr>
        <w:br/>
        <w:t>и</w:t>
      </w:r>
      <w:bookmarkEnd w:id="3"/>
      <w:r w:rsidRPr="003262EC">
        <w:rPr>
          <w:b/>
        </w:rPr>
        <w:t xml:space="preserve"> </w:t>
      </w:r>
      <w:bookmarkStart w:id="4" w:name="bookmark_15"/>
      <w:r w:rsidRPr="003262EC">
        <w:rPr>
          <w:rFonts w:eastAsia="Times New Roman" w:cs="Times New Roman"/>
          <w:b/>
          <w:szCs w:val="20"/>
        </w:rPr>
        <w:t>Рабочей группы по перевозкам опасных грузов</w:t>
      </w:r>
      <w:bookmarkEnd w:id="4"/>
    </w:p>
    <w:p w:rsidR="003262EC" w:rsidRPr="003262EC" w:rsidRDefault="003262EC" w:rsidP="002E5067">
      <w:pPr>
        <w:rPr>
          <w:rFonts w:eastAsia="Times New Roman" w:cs="Times New Roman"/>
          <w:szCs w:val="20"/>
        </w:rPr>
      </w:pPr>
      <w:bookmarkStart w:id="5" w:name="bookmark_16"/>
      <w:r w:rsidRPr="003262EC">
        <w:rPr>
          <w:rFonts w:eastAsia="Times New Roman" w:cs="Times New Roman"/>
          <w:szCs w:val="20"/>
        </w:rPr>
        <w:t>Берн, 12–16 марта 2018 года</w:t>
      </w:r>
      <w:bookmarkEnd w:id="5"/>
    </w:p>
    <w:p w:rsidR="003262EC" w:rsidRDefault="003262EC" w:rsidP="002E5067">
      <w:pPr>
        <w:rPr>
          <w:rFonts w:eastAsia="Times New Roman" w:cs="Times New Roman"/>
          <w:szCs w:val="20"/>
          <w:lang w:val="en-US"/>
        </w:rPr>
      </w:pPr>
      <w:bookmarkStart w:id="6" w:name="bookmark_17"/>
      <w:r w:rsidRPr="003262EC">
        <w:rPr>
          <w:rFonts w:eastAsia="Times New Roman" w:cs="Times New Roman"/>
          <w:szCs w:val="20"/>
        </w:rPr>
        <w:t>Пункт 6 предварительной повестки дня</w:t>
      </w:r>
      <w:bookmarkEnd w:id="6"/>
    </w:p>
    <w:p w:rsidR="003262EC" w:rsidRPr="003262EC" w:rsidRDefault="003262EC" w:rsidP="002E5067">
      <w:pPr>
        <w:rPr>
          <w:b/>
          <w:lang w:val="en-US"/>
        </w:rPr>
      </w:pPr>
      <w:bookmarkStart w:id="7" w:name="bookmark_18"/>
      <w:r w:rsidRPr="003262EC">
        <w:rPr>
          <w:rFonts w:eastAsia="Times New Roman" w:cs="Times New Roman"/>
          <w:b/>
          <w:szCs w:val="20"/>
        </w:rPr>
        <w:t>Доклады неофициальных рабочих групп</w:t>
      </w:r>
      <w:bookmarkEnd w:id="7"/>
    </w:p>
    <w:p w:rsidR="003262EC" w:rsidRPr="003262EC" w:rsidRDefault="003262EC" w:rsidP="003262EC">
      <w:pPr>
        <w:pStyle w:val="HChGR"/>
      </w:pPr>
      <w:bookmarkStart w:id="8" w:name="bookmark_19"/>
      <w:bookmarkStart w:id="9" w:name="footnoteBookmark_21"/>
      <w:r w:rsidRPr="003262EC">
        <w:tab/>
      </w:r>
      <w:r w:rsidRPr="003262EC">
        <w:tab/>
        <w:t>Перевозка сосудов под давлением, утвержденных Министер</w:t>
      </w:r>
      <w:r w:rsidR="00BA57FC">
        <w:t>ством транспорта Соединенных</w:t>
      </w:r>
      <w:r w:rsidRPr="003262EC">
        <w:t xml:space="preserve"> Штат</w:t>
      </w:r>
      <w:r w:rsidR="00BA57FC">
        <w:t>ов</w:t>
      </w:r>
      <w:r w:rsidRPr="003262EC">
        <w:t xml:space="preserve"> Америки (DOT)</w:t>
      </w:r>
      <w:bookmarkEnd w:id="8"/>
    </w:p>
    <w:p w:rsidR="003262EC" w:rsidRPr="003262EC" w:rsidRDefault="003262EC" w:rsidP="003262EC">
      <w:pPr>
        <w:pStyle w:val="H1GR"/>
      </w:pPr>
      <w:bookmarkStart w:id="10" w:name="bookmark_20"/>
      <w:r w:rsidRPr="003262EC">
        <w:tab/>
      </w:r>
      <w:r w:rsidRPr="003262EC">
        <w:tab/>
        <w:t>Передано Европейской ассоциацией по промышленным газам (ЕАПГ)</w:t>
      </w:r>
      <w:r w:rsidR="00481F5F" w:rsidRPr="00481F5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10"/>
    </w:p>
    <w:p w:rsidR="003262EC" w:rsidRPr="003262EC" w:rsidRDefault="003262EC" w:rsidP="003262EC">
      <w:pPr>
        <w:pStyle w:val="HChGR"/>
      </w:pPr>
      <w:bookmarkStart w:id="11" w:name="bookmark_22"/>
      <w:r w:rsidRPr="003262EC">
        <w:tab/>
      </w:r>
      <w:r w:rsidRPr="003262EC">
        <w:tab/>
        <w:t>Введение</w:t>
      </w:r>
      <w:bookmarkEnd w:id="11"/>
    </w:p>
    <w:p w:rsidR="003262EC" w:rsidRPr="003262EC" w:rsidRDefault="003262EC" w:rsidP="003262EC">
      <w:pPr>
        <w:pStyle w:val="SingleTxtGR"/>
      </w:pPr>
      <w:bookmarkStart w:id="12" w:name="bookmark_23"/>
      <w:r w:rsidRPr="003262EC">
        <w:t>1.</w:t>
      </w:r>
      <w:r w:rsidRPr="003262EC">
        <w:tab/>
        <w:t>На сессии Совместного совещания в сентябре 2017 года представитель ЕАПГ представил неофициальный документ INF.40, а представитель Соединенных Штатов Америки – неофициальный документ INF.51. В обоих документах Совместному совещанию вновь сообщалось о ходе подготовки представления «ходатайства о разработке нормативного документа», имеющего целью разрешить временный ввоз в Соединенные Штаты Америки некоторых европейских сосудов под давлением. Следует напомнить, что данное представление имеет целью запросить включить соотв</w:t>
      </w:r>
      <w:r w:rsidR="00332FB3">
        <w:t>етствующие поправки в Регламент</w:t>
      </w:r>
      <w:r w:rsidR="00332FB3">
        <w:rPr>
          <w:lang w:val="en-US"/>
        </w:rPr>
        <w:t> </w:t>
      </w:r>
      <w:r w:rsidR="00984974">
        <w:t>49 </w:t>
      </w:r>
      <w:r w:rsidRPr="003262EC">
        <w:t>CFR для создания в Соединенных Штатах, использования и свободной перевозки баллонов в соответствии с МПОГ/ДОПОГ, аналогично тому, как это предусмотрено для баллонов DOT в рамках многостороннего соглашения М299.</w:t>
      </w:r>
      <w:bookmarkStart w:id="13" w:name="_Hlk499547472"/>
      <w:bookmarkEnd w:id="12"/>
      <w:bookmarkEnd w:id="13"/>
    </w:p>
    <w:p w:rsidR="003262EC" w:rsidRPr="003262EC" w:rsidRDefault="003262EC" w:rsidP="003262EC">
      <w:pPr>
        <w:pStyle w:val="SingleTxtGR"/>
      </w:pPr>
      <w:bookmarkStart w:id="14" w:name="bookmark_24"/>
      <w:r w:rsidRPr="003262EC">
        <w:t>2.</w:t>
      </w:r>
      <w:r w:rsidRPr="003262EC">
        <w:tab/>
        <w:t xml:space="preserve">В Соединенных Штатах Америки </w:t>
      </w:r>
      <w:r w:rsidR="00332FB3">
        <w:t>деятельность по подготовке «</w:t>
      </w:r>
      <w:r w:rsidRPr="003262EC">
        <w:t>ходатайства о разработке нормативного документа</w:t>
      </w:r>
      <w:r w:rsidR="00332FB3">
        <w:t>»</w:t>
      </w:r>
      <w:r w:rsidRPr="003262EC">
        <w:t xml:space="preserve"> продолжается. Этап представления замечаний по </w:t>
      </w:r>
      <w:r w:rsidR="00054817">
        <w:t>«</w:t>
      </w:r>
      <w:r w:rsidRPr="003262EC">
        <w:t>ходатайству о разработке нормативного документа</w:t>
      </w:r>
      <w:r w:rsidR="00054817">
        <w:t>»</w:t>
      </w:r>
      <w:r w:rsidRPr="003262EC">
        <w:t xml:space="preserve"> завершен, при этом поступило лишь одно замечание. </w:t>
      </w:r>
      <w:bookmarkEnd w:id="14"/>
    </w:p>
    <w:p w:rsidR="003262EC" w:rsidRPr="003262EC" w:rsidRDefault="003262EC" w:rsidP="003262EC">
      <w:pPr>
        <w:pStyle w:val="SingleTxtGR"/>
      </w:pPr>
      <w:bookmarkStart w:id="15" w:name="bookmark_25"/>
      <w:r w:rsidRPr="003262EC">
        <w:t>3.</w:t>
      </w:r>
      <w:r w:rsidRPr="003262EC">
        <w:tab/>
        <w:t xml:space="preserve">Это замечание касается инструкции по упаковке Р208. Инструкция по упаковке Р208 применяется к адсорбированным газам класса 2. Замечание по </w:t>
      </w:r>
      <w:r w:rsidR="00054817">
        <w:t>«</w:t>
      </w:r>
      <w:r w:rsidRPr="003262EC">
        <w:t>ходатайству о разработке нормативного документа</w:t>
      </w:r>
      <w:r w:rsidR="00054817">
        <w:t>»</w:t>
      </w:r>
      <w:r w:rsidRPr="003262EC">
        <w:t xml:space="preserve"> предусматривало включение в ходатайство адсорбированных газов класса 2, о которых говорится в Р208. </w:t>
      </w:r>
      <w:r w:rsidRPr="003262EC">
        <w:lastRenderedPageBreak/>
        <w:t>Параллельно с этим в адрес ЕАПГ был направлен запрос относительно возможности включения в предлагаемый текст МПОГ/ДОПОГ адсорбированных газов класса 2, о которых говорится в Р208. Таким образом, в данном предложении этот запрос был учтен. ЕАПГ считает, что отсутствие такого упоминания является упущением, и соответствующий текст следовало бы включить в М299. Данная технология является относительно новой и не имеет широкого применения, чем можно объяснить, почему адсорбированные газы включены не были.</w:t>
      </w:r>
      <w:bookmarkStart w:id="16" w:name="_Hlk499546503"/>
      <w:bookmarkEnd w:id="15"/>
      <w:bookmarkEnd w:id="16"/>
    </w:p>
    <w:p w:rsidR="003262EC" w:rsidRPr="003262EC" w:rsidRDefault="003262EC" w:rsidP="003262EC">
      <w:pPr>
        <w:pStyle w:val="SingleTxtGR"/>
      </w:pPr>
      <w:bookmarkStart w:id="17" w:name="bookmark_26"/>
      <w:r w:rsidRPr="003262EC">
        <w:t>4.</w:t>
      </w:r>
      <w:r w:rsidRPr="003262EC">
        <w:tab/>
        <w:t>В ходатайстве Ассоциации по сжатым газам (АСГ) предусмотрена возможность импортировать европейские порожние баллоны в Соединенные Штаты и заполнять их для экспорта. Это предложение включает возможность импортировать порожние баллоны DOT для экспорта в страны, которые допускают использование таких баллонов.</w:t>
      </w:r>
      <w:bookmarkEnd w:id="17"/>
    </w:p>
    <w:p w:rsidR="003262EC" w:rsidRPr="003262EC" w:rsidRDefault="003262EC" w:rsidP="003262EC">
      <w:pPr>
        <w:pStyle w:val="SingleTxtGR"/>
      </w:pPr>
      <w:bookmarkStart w:id="18" w:name="bookmark_27"/>
      <w:r w:rsidRPr="003262EC">
        <w:t>5.</w:t>
      </w:r>
      <w:r w:rsidRPr="003262EC">
        <w:tab/>
        <w:t xml:space="preserve">Поскольку в деле представления </w:t>
      </w:r>
      <w:r w:rsidR="00054817">
        <w:t>«</w:t>
      </w:r>
      <w:r w:rsidRPr="003262EC">
        <w:t>ходатайства о ра</w:t>
      </w:r>
      <w:r w:rsidR="00054817">
        <w:t>зработке нормативного документа»</w:t>
      </w:r>
      <w:r w:rsidRPr="003262EC">
        <w:t xml:space="preserve"> был достигнут существенный прогресс, в настоящий момент ЕАПГ хотела бы сделать официальное предложение о внесении поправок в МПОГ/</w:t>
      </w:r>
      <w:r w:rsidR="00054817">
        <w:br/>
      </w:r>
      <w:r w:rsidRPr="003262EC">
        <w:t>ДОПОГ/ВОПОГ.</w:t>
      </w:r>
      <w:bookmarkEnd w:id="18"/>
    </w:p>
    <w:p w:rsidR="003262EC" w:rsidRPr="003262EC" w:rsidRDefault="003262EC" w:rsidP="00AA7166">
      <w:pPr>
        <w:pStyle w:val="HChGR"/>
      </w:pPr>
      <w:bookmarkStart w:id="19" w:name="bookmark_28"/>
      <w:r w:rsidRPr="003262EC">
        <w:tab/>
      </w:r>
      <w:r w:rsidRPr="003262EC">
        <w:tab/>
        <w:t>Проект предложения</w:t>
      </w:r>
      <w:bookmarkEnd w:id="19"/>
    </w:p>
    <w:p w:rsidR="003262EC" w:rsidRPr="003262EC" w:rsidRDefault="003262EC" w:rsidP="003262EC">
      <w:pPr>
        <w:pStyle w:val="SingleTxtGR"/>
      </w:pPr>
      <w:bookmarkStart w:id="20" w:name="bookmark_29"/>
      <w:r w:rsidRPr="003262EC">
        <w:t>6.</w:t>
      </w:r>
      <w:r w:rsidRPr="003262EC">
        <w:tab/>
        <w:t>Данный текст основан на многостороннем соглашении М299 ДОПОГ и предусматривает новое положение в пункте е) и включение газов класса 2 в инструкцию по упаковке Р208.</w:t>
      </w:r>
      <w:bookmarkEnd w:id="20"/>
    </w:p>
    <w:p w:rsidR="003262EC" w:rsidRPr="003262EC" w:rsidRDefault="003262EC" w:rsidP="003262EC">
      <w:pPr>
        <w:pStyle w:val="SingleTxtGR"/>
      </w:pPr>
      <w:bookmarkStart w:id="21" w:name="bookmark_30"/>
      <w:r w:rsidRPr="003262EC">
        <w:t>7.</w:t>
      </w:r>
      <w:r w:rsidRPr="003262EC">
        <w:tab/>
        <w:t>Предложение было разработано с целью включения как в ВОПОГ, так и в МПОГ и ДОПОГ. ЕАПГ не известно, насколько необходимо перевозить баллоны DOT водным транспортом, однако она включила этот вариант, с тем чтобы сохранить единообразие в отношении различных видов транспорта.</w:t>
      </w:r>
      <w:bookmarkEnd w:id="21"/>
    </w:p>
    <w:p w:rsidR="003262EC" w:rsidRPr="003262EC" w:rsidRDefault="003262EC" w:rsidP="003262EC">
      <w:pPr>
        <w:pStyle w:val="SingleTxtGR"/>
        <w:rPr>
          <w:vertAlign w:val="superscript"/>
        </w:rPr>
      </w:pPr>
      <w:bookmarkStart w:id="22" w:name="bookmark_31"/>
      <w:r w:rsidRPr="003262EC">
        <w:t>8.</w:t>
      </w:r>
      <w:r w:rsidRPr="003262EC">
        <w:tab/>
        <w:t xml:space="preserve">ЕАПГ высказывает то предположение, что наиболее подходящим местом для этого текста является раздел 1.1.4 – </w:t>
      </w:r>
      <w:r w:rsidRPr="00AA7166">
        <w:rPr>
          <w:b/>
          <w:i/>
        </w:rPr>
        <w:t>Применимость других правил</w:t>
      </w:r>
      <w:r w:rsidRPr="003262EC">
        <w:t xml:space="preserve"> МПОГ/</w:t>
      </w:r>
      <w:r w:rsidR="00054817">
        <w:br/>
      </w:r>
      <w:r w:rsidRPr="003262EC">
        <w:t>ДОПОГ/ВОПОГ, и предлагает изложить его следующим образом.</w:t>
      </w:r>
      <w:bookmarkEnd w:id="22"/>
    </w:p>
    <w:p w:rsidR="003262EC" w:rsidRPr="003262EC" w:rsidRDefault="00054817" w:rsidP="003262EC">
      <w:pPr>
        <w:pStyle w:val="SingleTxtGR"/>
      </w:pPr>
      <w:bookmarkStart w:id="23" w:name="bookmark_32"/>
      <w:r>
        <w:t>«</w:t>
      </w:r>
      <w:r w:rsidR="003262EC" w:rsidRPr="003262EC">
        <w:t>1.1.4.6</w:t>
      </w:r>
      <w:r w:rsidR="003262EC" w:rsidRPr="003262EC">
        <w:tab/>
        <w:t>(</w:t>
      </w:r>
      <w:r w:rsidR="003262EC" w:rsidRPr="00AA7166">
        <w:rPr>
          <w:i/>
        </w:rPr>
        <w:t>Зарезервирован</w:t>
      </w:r>
      <w:r w:rsidR="003262EC" w:rsidRPr="003262EC">
        <w:t>)</w:t>
      </w:r>
      <w:r w:rsidR="003262EC" w:rsidRPr="003262EC">
        <w:tab/>
        <w:t>(Только ДОПОГ)</w:t>
      </w:r>
      <w:bookmarkEnd w:id="23"/>
    </w:p>
    <w:p w:rsidR="003262EC" w:rsidRPr="003262EC" w:rsidRDefault="003262EC" w:rsidP="00054817">
      <w:pPr>
        <w:pStyle w:val="SingleTxtGR"/>
        <w:ind w:left="2268" w:hanging="1134"/>
      </w:pPr>
      <w:bookmarkStart w:id="24" w:name="bookmark_33"/>
      <w:r w:rsidRPr="003262EC">
        <w:t>1.1.4.7</w:t>
      </w:r>
      <w:r w:rsidRPr="003262EC">
        <w:tab/>
        <w:t>Независимо от положений пунктов 6.2.3.4, 6.2.3.5, 6.2.3.6, 6.2.3.7, 6.2.3.8 и 6.2.3.9 ДОПОГ/МПОГ газы и жидкости, перечисленные в таблицах подраздела 4.1.4.1 P200 и P208 ДОПОГ/МПОГ и импортированные в соответствии с подразделом 1.1.4.2 в сосудах под давлением многоразового использования, утвержденных Министерством транспорта Соединенных Штатов Америки, могут перевозиться от места временного складирования до конечного потребителя при выполнении следующих условий:</w:t>
      </w:r>
      <w:bookmarkEnd w:id="24"/>
    </w:p>
    <w:p w:rsidR="003262EC" w:rsidRPr="003262EC" w:rsidRDefault="003262EC" w:rsidP="00AA7166">
      <w:pPr>
        <w:pStyle w:val="SingleTxtGR"/>
        <w:ind w:left="2835" w:hanging="567"/>
      </w:pPr>
      <w:bookmarkStart w:id="25" w:name="bookmark_34"/>
      <w:r w:rsidRPr="003262EC">
        <w:t>a)</w:t>
      </w:r>
      <w:r w:rsidRPr="003262EC">
        <w:tab/>
        <w:t>При импорте из страны, не являющейся Договаривающейся стороной ДОПОГ/государством-участником МПОГ/</w:t>
      </w:r>
      <w:proofErr w:type="spellStart"/>
      <w:proofErr w:type="gramStart"/>
      <w:r w:rsidRPr="003262EC">
        <w:t>Догова</w:t>
      </w:r>
      <w:r w:rsidR="00332FB3">
        <w:t>-</w:t>
      </w:r>
      <w:r w:rsidRPr="003262EC">
        <w:t>ривающейся</w:t>
      </w:r>
      <w:proofErr w:type="spellEnd"/>
      <w:proofErr w:type="gramEnd"/>
      <w:r w:rsidRPr="003262EC">
        <w:t xml:space="preserve"> стороной ВОПОГ, соответствие сосудов под давлением требованиям настоящего подраздела проверяется и регистрируется грузоотправителем. Сведения о проверке хранятся в течение пяти лет для возможной проверки компетентным органом и включают в себя идентификационный номер сосудов под давлением, имя лица, проводившего проверку, и дату.</w:t>
      </w:r>
      <w:bookmarkEnd w:id="25"/>
    </w:p>
    <w:p w:rsidR="003262EC" w:rsidRPr="003262EC" w:rsidRDefault="003262EC" w:rsidP="00332FB3">
      <w:pPr>
        <w:pStyle w:val="SingleTxtGR"/>
        <w:ind w:left="2835" w:hanging="567"/>
      </w:pPr>
      <w:bookmarkStart w:id="26" w:name="bookmark_35"/>
      <w:r w:rsidRPr="003262EC">
        <w:t>b)</w:t>
      </w:r>
      <w:r w:rsidRPr="003262EC">
        <w:tab/>
        <w:t>Сосуды под давлением маркируются и снабжаются знаками опасности в соответствии с требованиями главы 5.2 МПОГ/</w:t>
      </w:r>
      <w:r w:rsidR="00054817">
        <w:br/>
      </w:r>
      <w:r w:rsidRPr="003262EC">
        <w:t>ДОПОГ/ВОПОГ.</w:t>
      </w:r>
      <w:bookmarkEnd w:id="26"/>
    </w:p>
    <w:p w:rsidR="003262EC" w:rsidRPr="003262EC" w:rsidRDefault="003262EC" w:rsidP="00332FB3">
      <w:pPr>
        <w:pStyle w:val="SingleTxtGR"/>
        <w:ind w:left="2835" w:hanging="567"/>
      </w:pPr>
      <w:bookmarkStart w:id="27" w:name="bookmark_36"/>
      <w:r w:rsidRPr="003262EC">
        <w:t>c)</w:t>
      </w:r>
      <w:r w:rsidRPr="003262EC">
        <w:tab/>
        <w:t>Должны быть выполнены</w:t>
      </w:r>
      <w:r w:rsidR="002D5E08">
        <w:t xml:space="preserve"> все соответствующие требования </w:t>
      </w:r>
      <w:r w:rsidRPr="003262EC">
        <w:t>МПОГ/ДОПОГ/ВОПОГ в отношении коэффициентов наполнения и периодичности проведения испытаний.</w:t>
      </w:r>
      <w:bookmarkEnd w:id="27"/>
    </w:p>
    <w:p w:rsidR="003262EC" w:rsidRPr="003262EC" w:rsidRDefault="003262EC" w:rsidP="00332FB3">
      <w:pPr>
        <w:pStyle w:val="SingleTxtGR"/>
        <w:ind w:left="2835" w:hanging="567"/>
      </w:pPr>
      <w:bookmarkStart w:id="28" w:name="bookmark_37"/>
      <w:r w:rsidRPr="003262EC">
        <w:lastRenderedPageBreak/>
        <w:t>d)</w:t>
      </w:r>
      <w:r w:rsidRPr="003262EC">
        <w:tab/>
        <w:t>В тех случаях, когда сосуды под давлением не заполнены или когда конечный пользователь не планирует продолжить использовать их для газа или жидкости, сосуды под давлением повторно не заполняются и возвращаются в ту страну, из которой они были импортированы.</w:t>
      </w:r>
      <w:bookmarkEnd w:id="28"/>
    </w:p>
    <w:p w:rsidR="003262EC" w:rsidRPr="003262EC" w:rsidRDefault="003262EC" w:rsidP="00332FB3">
      <w:pPr>
        <w:pStyle w:val="SingleTxtGR"/>
        <w:ind w:left="2835" w:hanging="567"/>
      </w:pPr>
      <w:bookmarkStart w:id="29" w:name="bookmark_38"/>
      <w:r w:rsidRPr="003262EC">
        <w:t>e)</w:t>
      </w:r>
      <w:r w:rsidRPr="003262EC">
        <w:tab/>
        <w:t>Импортируемые порожние сосуды под давлением, утвержденные Министерством транспорта Соединенных Штатов Америки, могут заполняться газами и жидкостями, перечисленными в таблицах подраздела 4.1.4.1 инструкции P200 ДОПОГ/МПОГ, при условии, что они экспортируются в страны, которые не являются государствами-участниками МПОГ/Договаривающимися сторонами ДОПОГ/</w:t>
      </w:r>
      <w:proofErr w:type="spellStart"/>
      <w:proofErr w:type="gramStart"/>
      <w:r w:rsidRPr="003262EC">
        <w:t>Договарива</w:t>
      </w:r>
      <w:r w:rsidR="00054817">
        <w:t>-</w:t>
      </w:r>
      <w:r w:rsidRPr="003262EC">
        <w:t>ющимися</w:t>
      </w:r>
      <w:proofErr w:type="spellEnd"/>
      <w:proofErr w:type="gramEnd"/>
      <w:r w:rsidRPr="003262EC">
        <w:t xml:space="preserve"> сторонам</w:t>
      </w:r>
      <w:r w:rsidR="002D5E08">
        <w:t>и</w:t>
      </w:r>
      <w:r w:rsidRPr="003262EC">
        <w:t xml:space="preserve"> ВОПОГ. Должны быть выполнены все соответствующие требования МПОГ/ДОПОГ в отношении коэффициентов наполнения и периодичности проведения испытаний. Сосуды под давлением маркируются и снабжаются знаками опасности в соответствии с требованиями главы 5.2 МПОГ/ДОПОГ/ВОПОГ.</w:t>
      </w:r>
      <w:bookmarkEnd w:id="29"/>
    </w:p>
    <w:p w:rsidR="003262EC" w:rsidRPr="003262EC" w:rsidRDefault="003262EC" w:rsidP="00332FB3">
      <w:pPr>
        <w:pStyle w:val="SingleTxtGR"/>
        <w:ind w:left="2835" w:hanging="567"/>
      </w:pPr>
      <w:bookmarkStart w:id="30" w:name="bookmark_39"/>
      <w:r w:rsidRPr="003262EC">
        <w:t>f)</w:t>
      </w:r>
      <w:r w:rsidRPr="003262EC">
        <w:tab/>
        <w:t>Грузоотправитель, оформляющий перевозку согласно МПОГ/</w:t>
      </w:r>
      <w:r w:rsidR="002D5E08">
        <w:br/>
      </w:r>
      <w:r w:rsidRPr="003262EC">
        <w:t>ДОПОГ/ВОПОГ, делает в транспортном документе следующую запись:</w:t>
      </w:r>
      <w:bookmarkEnd w:id="30"/>
    </w:p>
    <w:p w:rsidR="003262EC" w:rsidRPr="00054817" w:rsidRDefault="00BA57FC" w:rsidP="00332FB3">
      <w:pPr>
        <w:pStyle w:val="SingleTxtGR"/>
        <w:ind w:left="3969" w:hanging="567"/>
      </w:pPr>
      <w:bookmarkStart w:id="31" w:name="bookmark_40"/>
      <w:r w:rsidRPr="00BA57FC">
        <w:t>"</w:t>
      </w:r>
      <w:r w:rsidR="003262EC" w:rsidRPr="003262EC">
        <w:t>Перевозка в соответствии с пунктом 1.1.4.7</w:t>
      </w:r>
      <w:r w:rsidRPr="00BA57FC">
        <w:t>"</w:t>
      </w:r>
      <w:r w:rsidR="003262EC" w:rsidRPr="003262EC">
        <w:t>.</w:t>
      </w:r>
      <w:r w:rsidR="00054817">
        <w:t>»</w:t>
      </w:r>
      <w:r w:rsidR="003262EC" w:rsidRPr="003262EC">
        <w:t>.</w:t>
      </w:r>
      <w:bookmarkEnd w:id="31"/>
    </w:p>
    <w:p w:rsidR="00332FB3" w:rsidRPr="00054817" w:rsidRDefault="00332FB3" w:rsidP="00332FB3">
      <w:pPr>
        <w:pStyle w:val="SingleTxtGR"/>
        <w:spacing w:before="240" w:after="0"/>
        <w:jc w:val="center"/>
        <w:rPr>
          <w:u w:val="single"/>
        </w:rPr>
      </w:pPr>
      <w:r w:rsidRPr="00054817">
        <w:rPr>
          <w:u w:val="single"/>
        </w:rPr>
        <w:tab/>
      </w:r>
      <w:r w:rsidRPr="00054817">
        <w:rPr>
          <w:u w:val="single"/>
        </w:rPr>
        <w:tab/>
      </w:r>
      <w:r w:rsidRPr="00054817">
        <w:rPr>
          <w:u w:val="single"/>
        </w:rPr>
        <w:tab/>
      </w:r>
    </w:p>
    <w:bookmarkEnd w:id="9"/>
    <w:p w:rsidR="003262EC" w:rsidRPr="003262EC" w:rsidRDefault="003262EC" w:rsidP="002E5067"/>
    <w:sectPr w:rsidR="003262EC" w:rsidRPr="003262EC" w:rsidSect="00CF67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5C" w:rsidRPr="00A312BC" w:rsidRDefault="00E2705C" w:rsidP="00A312BC"/>
  </w:endnote>
  <w:endnote w:type="continuationSeparator" w:id="0">
    <w:p w:rsidR="00E2705C" w:rsidRPr="00A312BC" w:rsidRDefault="00E270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FC" w:rsidRPr="00CF67FC" w:rsidRDefault="00CF67FC">
    <w:pPr>
      <w:pStyle w:val="Footer"/>
    </w:pPr>
    <w:r w:rsidRPr="00CF67FC">
      <w:rPr>
        <w:b/>
        <w:sz w:val="18"/>
      </w:rPr>
      <w:fldChar w:fldCharType="begin"/>
    </w:r>
    <w:r w:rsidRPr="00CF67FC">
      <w:rPr>
        <w:b/>
        <w:sz w:val="18"/>
      </w:rPr>
      <w:instrText xml:space="preserve"> PAGE  \* MERGEFORMAT </w:instrText>
    </w:r>
    <w:r w:rsidRPr="00CF67FC">
      <w:rPr>
        <w:b/>
        <w:sz w:val="18"/>
      </w:rPr>
      <w:fldChar w:fldCharType="separate"/>
    </w:r>
    <w:r w:rsidR="00BD4732">
      <w:rPr>
        <w:b/>
        <w:noProof/>
        <w:sz w:val="18"/>
      </w:rPr>
      <w:t>2</w:t>
    </w:r>
    <w:r w:rsidRPr="00CF67FC">
      <w:rPr>
        <w:b/>
        <w:sz w:val="18"/>
      </w:rPr>
      <w:fldChar w:fldCharType="end"/>
    </w:r>
    <w:r>
      <w:rPr>
        <w:b/>
        <w:sz w:val="18"/>
      </w:rPr>
      <w:tab/>
    </w:r>
    <w:r>
      <w:t>GE.17-23040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FC" w:rsidRPr="00CF67FC" w:rsidRDefault="00CF67FC" w:rsidP="00CF67FC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GE.17-23040</w:t>
    </w:r>
    <w:r>
      <w:tab/>
    </w:r>
    <w:r w:rsidRPr="00CF67FC">
      <w:rPr>
        <w:b/>
        <w:sz w:val="18"/>
      </w:rPr>
      <w:fldChar w:fldCharType="begin"/>
    </w:r>
    <w:r w:rsidRPr="00CF67FC">
      <w:rPr>
        <w:b/>
        <w:sz w:val="18"/>
      </w:rPr>
      <w:instrText xml:space="preserve"> PAGE  \* MERGEFORMAT </w:instrText>
    </w:r>
    <w:r w:rsidRPr="00CF67FC">
      <w:rPr>
        <w:b/>
        <w:sz w:val="18"/>
      </w:rPr>
      <w:fldChar w:fldCharType="separate"/>
    </w:r>
    <w:r w:rsidR="00BD4732">
      <w:rPr>
        <w:b/>
        <w:noProof/>
        <w:sz w:val="18"/>
      </w:rPr>
      <w:t>3</w:t>
    </w:r>
    <w:r w:rsidRPr="00CF67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F67FC" w:rsidRDefault="00CF67FC" w:rsidP="00CF67F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CC57988" wp14:editId="2ED419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17-23040  (R)</w:t>
    </w:r>
    <w:r w:rsidR="00AA7166">
      <w:rPr>
        <w:lang w:val="en-US"/>
      </w:rPr>
      <w:t xml:space="preserve">  030118  030118</w:t>
    </w:r>
    <w:r>
      <w:br/>
    </w:r>
    <w:r w:rsidRPr="00CF67FC">
      <w:rPr>
        <w:rFonts w:ascii="C39T30Lfz" w:hAnsi="C39T30Lfz"/>
        <w:spacing w:val="0"/>
        <w:w w:val="100"/>
        <w:sz w:val="56"/>
      </w:rPr>
      <w:t></w:t>
    </w:r>
    <w:r w:rsidRPr="00CF67FC">
      <w:rPr>
        <w:rFonts w:ascii="C39T30Lfz" w:hAnsi="C39T30Lfz"/>
        <w:spacing w:val="0"/>
        <w:w w:val="100"/>
        <w:sz w:val="56"/>
      </w:rPr>
      <w:t></w:t>
    </w:r>
    <w:r w:rsidRPr="00CF67FC">
      <w:rPr>
        <w:rFonts w:ascii="C39T30Lfz" w:hAnsi="C39T30Lfz"/>
        <w:spacing w:val="0"/>
        <w:w w:val="100"/>
        <w:sz w:val="56"/>
      </w:rPr>
      <w:t></w:t>
    </w:r>
    <w:r w:rsidRPr="00CF67FC">
      <w:rPr>
        <w:rFonts w:ascii="C39T30Lfz" w:hAnsi="C39T30Lfz"/>
        <w:spacing w:val="0"/>
        <w:w w:val="100"/>
        <w:sz w:val="56"/>
      </w:rPr>
      <w:t></w:t>
    </w:r>
    <w:r w:rsidRPr="00CF67FC">
      <w:rPr>
        <w:rFonts w:ascii="C39T30Lfz" w:hAnsi="C39T30Lfz"/>
        <w:spacing w:val="0"/>
        <w:w w:val="100"/>
        <w:sz w:val="56"/>
      </w:rPr>
      <w:t></w:t>
    </w:r>
    <w:r w:rsidRPr="00CF67FC">
      <w:rPr>
        <w:rFonts w:ascii="C39T30Lfz" w:hAnsi="C39T30Lfz"/>
        <w:spacing w:val="0"/>
        <w:w w:val="100"/>
        <w:sz w:val="56"/>
      </w:rPr>
      <w:t></w:t>
    </w:r>
    <w:r w:rsidRPr="00CF67FC">
      <w:rPr>
        <w:rFonts w:ascii="C39T30Lfz" w:hAnsi="C39T30Lfz"/>
        <w:spacing w:val="0"/>
        <w:w w:val="100"/>
        <w:sz w:val="56"/>
      </w:rPr>
      <w:t></w:t>
    </w:r>
    <w:r w:rsidRPr="00CF67FC">
      <w:rPr>
        <w:rFonts w:ascii="C39T30Lfz" w:hAnsi="C39T30Lfz"/>
        <w:spacing w:val="0"/>
        <w:w w:val="100"/>
        <w:sz w:val="56"/>
      </w:rPr>
      <w:t></w:t>
    </w:r>
    <w:r w:rsidRPr="00CF67F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1/2018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5C" w:rsidRPr="001075E9" w:rsidRDefault="00E270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705C" w:rsidRDefault="00E270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81F5F" w:rsidRPr="00481F5F" w:rsidRDefault="00481F5F">
      <w:pPr>
        <w:pStyle w:val="FootnoteText"/>
        <w:rPr>
          <w:sz w:val="20"/>
          <w:lang w:val="ru-RU"/>
        </w:rPr>
      </w:pPr>
      <w:r>
        <w:tab/>
      </w:r>
      <w:r w:rsidRPr="00481F5F">
        <w:rPr>
          <w:rStyle w:val="FootnoteReference"/>
          <w:sz w:val="20"/>
          <w:vertAlign w:val="baseline"/>
          <w:lang w:val="ru-RU"/>
        </w:rPr>
        <w:t>*</w:t>
      </w:r>
      <w:r w:rsidRPr="00481F5F">
        <w:rPr>
          <w:rStyle w:val="FootnoteReference"/>
          <w:vertAlign w:val="baseline"/>
          <w:lang w:val="ru-RU"/>
        </w:rPr>
        <w:tab/>
      </w:r>
      <w:r w:rsidRPr="003262EC">
        <w:rPr>
          <w:lang w:val="ru-RU"/>
        </w:rPr>
        <w:t xml:space="preserve">В соответствии с программой работы Комитета по внутреннему транспорту </w:t>
      </w:r>
      <w:r w:rsidRPr="00AA7166">
        <w:rPr>
          <w:lang w:val="ru-RU"/>
        </w:rPr>
        <w:br/>
      </w:r>
      <w:r w:rsidRPr="003262EC">
        <w:rPr>
          <w:lang w:val="ru-RU"/>
        </w:rPr>
        <w:t>на 2018–2019 годы (ECE/TRANS/WP.15/237, приложение V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FC" w:rsidRPr="00CF67FC" w:rsidRDefault="00BD473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D67CD">
      <w:t>ECE/TRANS/WP.15/AC.1/2018/3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FC" w:rsidRPr="00CF67FC" w:rsidRDefault="00BD4732" w:rsidP="00CF67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67CD">
      <w:t>ECE/TRANS/WP.15/AC.1/2018/3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5C"/>
    <w:rsid w:val="00033EE1"/>
    <w:rsid w:val="00042B72"/>
    <w:rsid w:val="00054817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5E08"/>
    <w:rsid w:val="002E5067"/>
    <w:rsid w:val="002F405F"/>
    <w:rsid w:val="002F7EEC"/>
    <w:rsid w:val="00301299"/>
    <w:rsid w:val="00305C08"/>
    <w:rsid w:val="00307FB6"/>
    <w:rsid w:val="00317339"/>
    <w:rsid w:val="00322004"/>
    <w:rsid w:val="003262EC"/>
    <w:rsid w:val="00332FB3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1F5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745"/>
    <w:rsid w:val="00712895"/>
    <w:rsid w:val="00734ACB"/>
    <w:rsid w:val="00757357"/>
    <w:rsid w:val="00792497"/>
    <w:rsid w:val="007D67C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974"/>
    <w:rsid w:val="009A24AC"/>
    <w:rsid w:val="009C6FE6"/>
    <w:rsid w:val="009D7E7D"/>
    <w:rsid w:val="00A14DA8"/>
    <w:rsid w:val="00A312BC"/>
    <w:rsid w:val="00A84021"/>
    <w:rsid w:val="00A84D35"/>
    <w:rsid w:val="00A917B3"/>
    <w:rsid w:val="00AA7166"/>
    <w:rsid w:val="00AB4B51"/>
    <w:rsid w:val="00B10CC7"/>
    <w:rsid w:val="00B36DF7"/>
    <w:rsid w:val="00B539E7"/>
    <w:rsid w:val="00B62458"/>
    <w:rsid w:val="00BA57FC"/>
    <w:rsid w:val="00BC18B2"/>
    <w:rsid w:val="00BD33EE"/>
    <w:rsid w:val="00BD4732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CF67FC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2705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17A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4B2B89-2C6E-40A9-B193-B28D5C3C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3262E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ECE/TRANS/WP.15/AC.1/2018/3</vt:lpstr>
      <vt:lpstr>ECE/TRANS/WP.15/AC.1/2018/3</vt:lpstr>
      <vt:lpstr>A/</vt:lpstr>
    </vt:vector>
  </TitlesOfParts>
  <Company>DCM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ECE/TRANS/WP.15/AC.1/2018/3</dc:title>
  <dc:subject/>
  <dc:creator>Izotova Elena</dc:creator>
  <cp:keywords/>
  <cp:lastModifiedBy>Christine Barrio-Champeau</cp:lastModifiedBy>
  <cp:revision>2</cp:revision>
  <cp:lastPrinted>2018-01-03T11:31:00Z</cp:lastPrinted>
  <dcterms:created xsi:type="dcterms:W3CDTF">2018-01-12T12:01:00Z</dcterms:created>
  <dcterms:modified xsi:type="dcterms:W3CDTF">2018-01-12T12:01:00Z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