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6A162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6A1625" w:rsidP="006A1625">
            <w:pPr>
              <w:jc w:val="right"/>
            </w:pPr>
            <w:r w:rsidRPr="006A1625">
              <w:rPr>
                <w:sz w:val="40"/>
              </w:rPr>
              <w:t>ECE</w:t>
            </w:r>
            <w:r>
              <w:t>/TRANS/WP.15/AC.1/2018/19</w:t>
            </w:r>
          </w:p>
        </w:tc>
      </w:tr>
      <w:tr w:rsidR="001433FD" w:rsidRPr="00DB58B5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295CC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8FEE0AF" wp14:editId="44FE922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Default="006A1625" w:rsidP="00295CCA">
            <w:pPr>
              <w:spacing w:before="240"/>
            </w:pPr>
            <w:r>
              <w:t>Distr. générale</w:t>
            </w:r>
          </w:p>
          <w:p w:rsidR="006A1625" w:rsidRDefault="006A1625" w:rsidP="006A1625">
            <w:pPr>
              <w:spacing w:line="240" w:lineRule="exact"/>
            </w:pPr>
            <w:r>
              <w:t>26 juin 2018</w:t>
            </w:r>
          </w:p>
          <w:p w:rsidR="006A1625" w:rsidRDefault="006A1625" w:rsidP="006A1625">
            <w:pPr>
              <w:spacing w:line="240" w:lineRule="exact"/>
            </w:pPr>
            <w:r>
              <w:t>Français</w:t>
            </w:r>
          </w:p>
          <w:p w:rsidR="006A1625" w:rsidRPr="00DB58B5" w:rsidRDefault="006A1625" w:rsidP="006A1625">
            <w:pPr>
              <w:spacing w:line="240" w:lineRule="exact"/>
            </w:pPr>
            <w:r>
              <w:t>Original : anglais</w:t>
            </w:r>
          </w:p>
        </w:tc>
      </w:tr>
    </w:tbl>
    <w:p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A3280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6A1625" w:rsidRPr="0062780D" w:rsidRDefault="006A1625" w:rsidP="002770BE">
      <w:pPr>
        <w:spacing w:before="120"/>
        <w:rPr>
          <w:sz w:val="28"/>
          <w:szCs w:val="28"/>
        </w:rPr>
      </w:pPr>
      <w:r w:rsidRPr="0062780D">
        <w:rPr>
          <w:sz w:val="28"/>
          <w:szCs w:val="28"/>
        </w:rPr>
        <w:t>Comité des transports intérieurs</w:t>
      </w:r>
    </w:p>
    <w:p w:rsidR="006A1625" w:rsidRPr="00A32803" w:rsidRDefault="006A1625" w:rsidP="002770BE">
      <w:pPr>
        <w:spacing w:before="120"/>
        <w:rPr>
          <w:b/>
          <w:sz w:val="24"/>
          <w:szCs w:val="24"/>
        </w:rPr>
      </w:pPr>
      <w:r w:rsidRPr="00A32803">
        <w:rPr>
          <w:b/>
          <w:sz w:val="24"/>
          <w:szCs w:val="24"/>
        </w:rPr>
        <w:t>Groupe de travail du transport des marchandises dangereuses</w:t>
      </w:r>
    </w:p>
    <w:p w:rsidR="006A1625" w:rsidRPr="0062780D" w:rsidRDefault="006A1625" w:rsidP="00A32803">
      <w:pPr>
        <w:spacing w:before="120"/>
        <w:rPr>
          <w:b/>
        </w:rPr>
      </w:pPr>
      <w:r w:rsidRPr="0062780D">
        <w:rPr>
          <w:b/>
        </w:rPr>
        <w:t>Réunion commune de la Co</w:t>
      </w:r>
      <w:r w:rsidR="00A32803">
        <w:rPr>
          <w:b/>
        </w:rPr>
        <w:t xml:space="preserve">mmission d’experts du RID et </w:t>
      </w:r>
      <w:r w:rsidR="00A32803">
        <w:rPr>
          <w:b/>
        </w:rPr>
        <w:br/>
        <w:t xml:space="preserve">du </w:t>
      </w:r>
      <w:r w:rsidRPr="0062780D">
        <w:rPr>
          <w:b/>
        </w:rPr>
        <w:t>Groupe de travail des transports de marchandises dangereuses</w:t>
      </w:r>
    </w:p>
    <w:p w:rsidR="006A1625" w:rsidRPr="0062780D" w:rsidRDefault="002770BE" w:rsidP="006A1625">
      <w:r>
        <w:t>Genève, 17-</w:t>
      </w:r>
      <w:r w:rsidR="006A1625" w:rsidRPr="0062780D">
        <w:t>21 septembre 2018</w:t>
      </w:r>
    </w:p>
    <w:p w:rsidR="006A1625" w:rsidRPr="0062780D" w:rsidRDefault="006A1625" w:rsidP="006A1625">
      <w:r w:rsidRPr="0062780D">
        <w:t>Point 5 b) de l</w:t>
      </w:r>
      <w:r w:rsidR="00A32803">
        <w:t>’</w:t>
      </w:r>
      <w:r w:rsidRPr="0062780D">
        <w:t>ordre du jour provisoire</w:t>
      </w:r>
    </w:p>
    <w:p w:rsidR="006A1625" w:rsidRPr="0062780D" w:rsidRDefault="006A1625" w:rsidP="006A1625">
      <w:pPr>
        <w:rPr>
          <w:b/>
        </w:rPr>
      </w:pPr>
      <w:r w:rsidRPr="0062780D">
        <w:rPr>
          <w:b/>
        </w:rPr>
        <w:t>Propositions diverses d</w:t>
      </w:r>
      <w:r w:rsidR="00A32803">
        <w:rPr>
          <w:b/>
        </w:rPr>
        <w:t>’</w:t>
      </w:r>
      <w:r w:rsidRPr="0062780D">
        <w:rPr>
          <w:b/>
        </w:rPr>
        <w:t>amendements au RID/ADR/ADN</w:t>
      </w:r>
      <w:r w:rsidR="00A32803">
        <w:rPr>
          <w:b/>
        </w:rPr>
        <w:t> </w:t>
      </w:r>
      <w:r w:rsidRPr="0062780D">
        <w:rPr>
          <w:b/>
        </w:rPr>
        <w:t>:</w:t>
      </w:r>
    </w:p>
    <w:p w:rsidR="006A1625" w:rsidRPr="0062780D" w:rsidRDefault="006A1625" w:rsidP="006A1625">
      <w:pPr>
        <w:rPr>
          <w:b/>
          <w:bCs/>
        </w:rPr>
      </w:pPr>
      <w:r w:rsidRPr="0062780D">
        <w:rPr>
          <w:b/>
        </w:rPr>
        <w:t>nouvelles propositions</w:t>
      </w:r>
    </w:p>
    <w:p w:rsidR="006A1625" w:rsidRPr="0062780D" w:rsidRDefault="006A1625" w:rsidP="006A1625">
      <w:pPr>
        <w:pStyle w:val="HChG"/>
      </w:pPr>
      <w:r w:rsidRPr="0062780D">
        <w:tab/>
      </w:r>
      <w:r w:rsidRPr="0062780D">
        <w:tab/>
      </w:r>
      <w:r>
        <w:t xml:space="preserve">Numéro </w:t>
      </w:r>
      <w:r w:rsidRPr="0062780D">
        <w:t>ONU 1010 Butadiènes, stabilisés</w:t>
      </w:r>
    </w:p>
    <w:p w:rsidR="006A1625" w:rsidRPr="0062780D" w:rsidRDefault="006A1625" w:rsidP="006A1625">
      <w:pPr>
        <w:pStyle w:val="H1G"/>
        <w:rPr>
          <w:vertAlign w:val="superscript"/>
        </w:rPr>
      </w:pPr>
      <w:r w:rsidRPr="0062780D">
        <w:tab/>
      </w:r>
      <w:r w:rsidRPr="0062780D">
        <w:tab/>
        <w:t>Communication du Gouvernement espagnol</w:t>
      </w:r>
      <w:r w:rsidR="002770BE" w:rsidRPr="002770B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EE657B">
        <w:rPr>
          <w:b w:val="0"/>
          <w:position w:val="6"/>
          <w:sz w:val="20"/>
        </w:rPr>
        <w:t>,</w:t>
      </w:r>
      <w:r w:rsidRPr="002770BE">
        <w:rPr>
          <w:b w:val="0"/>
          <w:vertAlign w:val="superscript"/>
        </w:rPr>
        <w:t xml:space="preserve"> </w:t>
      </w:r>
      <w:r w:rsidR="002770BE" w:rsidRPr="002770BE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6A1625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6A1625" w:rsidRPr="000001E7" w:rsidRDefault="006A1625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6A1625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6A1625" w:rsidRDefault="006A1625" w:rsidP="00A32803">
            <w:pPr>
              <w:pStyle w:val="SingleTxtG"/>
              <w:ind w:left="3544" w:hanging="2410"/>
            </w:pPr>
            <w:r w:rsidRPr="0062780D">
              <w:rPr>
                <w:b/>
              </w:rPr>
              <w:t>Résumé analytique :</w:t>
            </w:r>
            <w:r w:rsidRPr="0062780D">
              <w:tab/>
              <w:t>Étudier la possibilité d</w:t>
            </w:r>
            <w:r w:rsidR="00A32803">
              <w:t>’</w:t>
            </w:r>
            <w:r w:rsidRPr="0062780D">
              <w:t>harmoniser la définition du</w:t>
            </w:r>
            <w:r w:rsidR="002770BE">
              <w:t xml:space="preserve"> </w:t>
            </w:r>
            <w:r>
              <w:t xml:space="preserve">numéro </w:t>
            </w:r>
            <w:r w:rsidRPr="0062780D">
              <w:t>ONU 1010 figurant dans le RID/ADR avec celle</w:t>
            </w:r>
            <w:r>
              <w:t xml:space="preserve"> qui figure</w:t>
            </w:r>
            <w:r w:rsidR="002770BE">
              <w:t xml:space="preserve"> </w:t>
            </w:r>
            <w:r w:rsidRPr="0062780D">
              <w:t>dans le Règlement type.</w:t>
            </w:r>
          </w:p>
        </w:tc>
      </w:tr>
      <w:tr w:rsidR="006A1625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6A1625" w:rsidRPr="0062780D" w:rsidRDefault="006A1625" w:rsidP="00A32803">
            <w:pPr>
              <w:pStyle w:val="SingleTxtG"/>
              <w:ind w:left="3544" w:hanging="2410"/>
              <w:rPr>
                <w:b/>
              </w:rPr>
            </w:pPr>
            <w:r w:rsidRPr="0062780D">
              <w:rPr>
                <w:b/>
              </w:rPr>
              <w:t>Mesure à prendre</w:t>
            </w:r>
            <w:r>
              <w:rPr>
                <w:b/>
              </w:rPr>
              <w:t> :</w:t>
            </w:r>
            <w:r w:rsidRPr="0062780D">
              <w:rPr>
                <w:b/>
              </w:rPr>
              <w:tab/>
            </w:r>
            <w:r w:rsidRPr="0062780D">
              <w:t>Modifier la description du</w:t>
            </w:r>
            <w:r w:rsidR="002770BE">
              <w:t xml:space="preserve"> </w:t>
            </w:r>
            <w:r>
              <w:t xml:space="preserve">numéro </w:t>
            </w:r>
            <w:r w:rsidRPr="0062780D">
              <w:t>ONU 1010 (voir tableau A du chapitre 3.2 du RID/ADR).</w:t>
            </w:r>
          </w:p>
        </w:tc>
      </w:tr>
      <w:tr w:rsidR="006A1625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6A1625" w:rsidRPr="0062780D" w:rsidRDefault="00942F68" w:rsidP="00A32803">
            <w:pPr>
              <w:pStyle w:val="SingleTxtG"/>
              <w:ind w:left="3544" w:hanging="2410"/>
              <w:jc w:val="left"/>
              <w:rPr>
                <w:b/>
              </w:rPr>
            </w:pPr>
            <w:r>
              <w:rPr>
                <w:b/>
              </w:rPr>
              <w:t>Documents </w:t>
            </w:r>
            <w:r w:rsidR="00924F3C" w:rsidRPr="006A1625">
              <w:rPr>
                <w:b/>
              </w:rPr>
              <w:t xml:space="preserve">: </w:t>
            </w:r>
            <w:r w:rsidR="00924F3C" w:rsidRPr="006A1625">
              <w:rPr>
                <w:b/>
              </w:rPr>
              <w:tab/>
            </w:r>
            <w:r w:rsidR="00924F3C" w:rsidRPr="006A1625">
              <w:t>ST/SG/AC.10/C.3/46, paragraphes 13 et 14</w:t>
            </w:r>
            <w:r w:rsidR="00A32803">
              <w:br/>
            </w:r>
            <w:r w:rsidR="00924F3C" w:rsidRPr="006A1625">
              <w:rPr>
                <w:lang w:val="en-US"/>
              </w:rPr>
              <w:t>ST/SG/AC.10/C.3/2003/12 (EIGA)</w:t>
            </w:r>
            <w:r w:rsidR="00A32803">
              <w:rPr>
                <w:lang w:val="en-US"/>
              </w:rPr>
              <w:br/>
            </w:r>
            <w:r w:rsidR="00924F3C" w:rsidRPr="006A1625">
              <w:t>INF.37 (Sous-Comité d</w:t>
            </w:r>
            <w:r w:rsidR="00A32803">
              <w:t>’</w:t>
            </w:r>
            <w:r w:rsidR="00924F3C" w:rsidRPr="006A1625">
              <w:t>experts du transport des marchandises dangereuses (Sous-Comité TMD</w:t>
            </w:r>
            <w:r w:rsidR="00A32803">
              <w:t>), vingt</w:t>
            </w:r>
            <w:r w:rsidR="00A32803">
              <w:noBreakHyphen/>
            </w:r>
            <w:r w:rsidR="00924F3C" w:rsidRPr="006A1625">
              <w:t>troisième session)</w:t>
            </w:r>
            <w:r w:rsidR="00A32803">
              <w:br/>
            </w:r>
            <w:r w:rsidR="00924F3C" w:rsidRPr="006A1625">
              <w:t xml:space="preserve">TRANS/WP.15/AC.1/94, paragraphes 10 à 13 </w:t>
            </w:r>
            <w:r w:rsidR="00A32803">
              <w:br/>
            </w:r>
            <w:r w:rsidR="00924F3C" w:rsidRPr="006A1625">
              <w:rPr>
                <w:bCs/>
              </w:rPr>
              <w:t>INF.4 (Session d</w:t>
            </w:r>
            <w:r w:rsidR="00A32803">
              <w:rPr>
                <w:bCs/>
              </w:rPr>
              <w:t>’</w:t>
            </w:r>
            <w:r>
              <w:rPr>
                <w:bCs/>
              </w:rPr>
              <w:t>automne</w:t>
            </w:r>
            <w:r w:rsidR="00924F3C" w:rsidRPr="006A1625">
              <w:rPr>
                <w:bCs/>
              </w:rPr>
              <w:t xml:space="preserve"> 2003 de la </w:t>
            </w:r>
            <w:r w:rsidR="00924F3C" w:rsidRPr="006A1625">
              <w:t>Réunion commune RID/ADR/ADN</w:t>
            </w:r>
            <w:r w:rsidR="00924F3C" w:rsidRPr="006A1625">
              <w:rPr>
                <w:bCs/>
              </w:rPr>
              <w:t>)</w:t>
            </w:r>
          </w:p>
        </w:tc>
      </w:tr>
      <w:tr w:rsidR="006A1625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6A1625" w:rsidRDefault="006A1625" w:rsidP="00216E0F"/>
        </w:tc>
      </w:tr>
    </w:tbl>
    <w:p w:rsidR="006A1625" w:rsidRDefault="006A1625" w:rsidP="005316B0"/>
    <w:p w:rsidR="009D15A9" w:rsidRPr="006A1625" w:rsidRDefault="006A1625" w:rsidP="002770BE">
      <w:pPr>
        <w:pStyle w:val="HChG"/>
      </w:pPr>
      <w:r>
        <w:br w:type="page"/>
      </w:r>
      <w:r w:rsidR="00924F3C" w:rsidRPr="006A1625">
        <w:lastRenderedPageBreak/>
        <w:tab/>
      </w:r>
      <w:r w:rsidR="00924F3C" w:rsidRPr="006A1625">
        <w:tab/>
        <w:t>Rappel des faits</w:t>
      </w:r>
    </w:p>
    <w:p w:rsidR="009D15A9" w:rsidRPr="006A1625" w:rsidRDefault="00924F3C" w:rsidP="006A1625">
      <w:pPr>
        <w:pStyle w:val="SingleTxtG"/>
      </w:pPr>
      <w:r w:rsidRPr="006A1625">
        <w:t>1.</w:t>
      </w:r>
      <w:r w:rsidRPr="006A1625">
        <w:tab/>
        <w:t>En 2016, l</w:t>
      </w:r>
      <w:r w:rsidR="00A32803">
        <w:t>’</w:t>
      </w:r>
      <w:r w:rsidRPr="006A1625">
        <w:t>expert de l</w:t>
      </w:r>
      <w:r w:rsidR="00A32803">
        <w:t>’</w:t>
      </w:r>
      <w:r w:rsidRPr="006A1625">
        <w:t>Espagne a</w:t>
      </w:r>
      <w:r w:rsidR="002770BE">
        <w:t xml:space="preserve"> </w:t>
      </w:r>
      <w:r w:rsidRPr="006A1625">
        <w:t>attiré l</w:t>
      </w:r>
      <w:r w:rsidR="00A32803">
        <w:t>’</w:t>
      </w:r>
      <w:r w:rsidRPr="006A1625">
        <w:t>attention du secrétariat du Sous-Comité d</w:t>
      </w:r>
      <w:r w:rsidR="00A32803">
        <w:t>’</w:t>
      </w:r>
      <w:r w:rsidRPr="006A1625">
        <w:t>experts du transport des marchandises dangereuses</w:t>
      </w:r>
      <w:r w:rsidR="002770BE">
        <w:t xml:space="preserve"> </w:t>
      </w:r>
      <w:r w:rsidRPr="006A1625">
        <w:t>sur une série d</w:t>
      </w:r>
      <w:r w:rsidR="00A32803">
        <w:t>’</w:t>
      </w:r>
      <w:r w:rsidRPr="006A1625">
        <w:t>incohérences en espagnol entre le nom et la description de certaines rubriques ONU figurant dans le Code maritime international des marchandises dangereuses (Code IMDG) et ceux de rubriques</w:t>
      </w:r>
      <w:r w:rsidR="002770BE">
        <w:t xml:space="preserve"> </w:t>
      </w:r>
      <w:r w:rsidRPr="006A1625">
        <w:t>qui figurent dans le Règlement type. Le secrétariat a</w:t>
      </w:r>
      <w:r w:rsidR="002770BE">
        <w:t xml:space="preserve"> </w:t>
      </w:r>
      <w:r w:rsidRPr="006A1625">
        <w:t>classé ces différences en les organisant en différents groupes (voir le document informel INF.42, soumis à la quarante-neuvième session du SCE Sous-Comité TMD). L</w:t>
      </w:r>
      <w:r w:rsidR="00A32803">
        <w:t>’</w:t>
      </w:r>
      <w:r w:rsidRPr="006A1625">
        <w:t>Espagne a poursuivi ses travaux sur cette question en s</w:t>
      </w:r>
      <w:r w:rsidR="00A32803">
        <w:t>’</w:t>
      </w:r>
      <w:r w:rsidRPr="006A1625">
        <w:t>intéressant non seulement à la version espagnole du Règlement type et du Code IMDG mais aussi à celle des Instructions techniques de l</w:t>
      </w:r>
      <w:r w:rsidR="00A32803">
        <w:t>’</w:t>
      </w:r>
      <w:r w:rsidRPr="006A1625">
        <w:t>Organisation de l</w:t>
      </w:r>
      <w:r w:rsidR="00A32803">
        <w:t>’</w:t>
      </w:r>
      <w:r w:rsidRPr="006A1625">
        <w:t>aviation civile internationale (OACI), à celle de l</w:t>
      </w:r>
      <w:r w:rsidR="00A32803">
        <w:t>’</w:t>
      </w:r>
      <w:r w:rsidRPr="006A1625">
        <w:t xml:space="preserve">ADR et à celle du RID. </w:t>
      </w:r>
    </w:p>
    <w:p w:rsidR="009D15A9" w:rsidRPr="006A1625" w:rsidRDefault="00924F3C" w:rsidP="006A1625">
      <w:pPr>
        <w:pStyle w:val="SingleTxtG"/>
      </w:pPr>
      <w:r w:rsidRPr="006A1625">
        <w:t>2.</w:t>
      </w:r>
      <w:r w:rsidRPr="006A1625">
        <w:tab/>
        <w:t>À l</w:t>
      </w:r>
      <w:r w:rsidR="00A32803">
        <w:t>’</w:t>
      </w:r>
      <w:r w:rsidRPr="006A1625">
        <w:t>occasion de ces travaux de révision, l</w:t>
      </w:r>
      <w:r w:rsidR="00A32803">
        <w:t>’</w:t>
      </w:r>
      <w:r w:rsidRPr="006A1625">
        <w:t>Espagne a constaté qu</w:t>
      </w:r>
      <w:r w:rsidR="00A32803">
        <w:t>’</w:t>
      </w:r>
      <w:r w:rsidRPr="006A1625">
        <w:t>il existait une différence entre le nom et la description du</w:t>
      </w:r>
      <w:r w:rsidR="002770BE">
        <w:t xml:space="preserve"> </w:t>
      </w:r>
      <w:r w:rsidRPr="006A1625">
        <w:t xml:space="preserve">numéro </w:t>
      </w:r>
      <w:r w:rsidR="004C51C9">
        <w:t>ONU </w:t>
      </w:r>
      <w:r w:rsidRPr="006A1625">
        <w:t>1010 figurant dans le Règlement type (dans toutes les langues) et ceux</w:t>
      </w:r>
      <w:r w:rsidR="002770BE">
        <w:t xml:space="preserve"> </w:t>
      </w:r>
      <w:r w:rsidRPr="006A1625">
        <w:t>qui figurent dans le RID/ADR.</w:t>
      </w:r>
    </w:p>
    <w:p w:rsidR="009D15A9" w:rsidRPr="006A1625" w:rsidRDefault="00924F3C" w:rsidP="006A1625">
      <w:pPr>
        <w:pStyle w:val="SingleTxtG"/>
      </w:pPr>
      <w:r w:rsidRPr="006A1625">
        <w:t>3.</w:t>
      </w:r>
      <w:r w:rsidRPr="006A1625">
        <w:tab/>
        <w:t>Dans le Règlement type, la rubrique du</w:t>
      </w:r>
      <w:r w:rsidR="002770BE">
        <w:t xml:space="preserve"> </w:t>
      </w:r>
      <w:r w:rsidRPr="006A1625">
        <w:t xml:space="preserve">numéro </w:t>
      </w:r>
      <w:r w:rsidR="004C51C9">
        <w:t>ONU </w:t>
      </w:r>
      <w:r w:rsidR="00346FFA">
        <w:t>1010 est libellée ainsi </w:t>
      </w:r>
      <w:r w:rsidRPr="006A1625">
        <w:t>:</w:t>
      </w:r>
    </w:p>
    <w:p w:rsidR="009D15A9" w:rsidRPr="006A1625" w:rsidRDefault="002770BE" w:rsidP="00346FFA">
      <w:pPr>
        <w:pStyle w:val="SingleTxtG"/>
        <w:ind w:left="1701"/>
      </w:pPr>
      <w:r>
        <w:t>« 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 w:rsidR="00942F68">
        <w:t> </w:t>
      </w:r>
      <w:r w:rsidR="00924F3C" w:rsidRPr="006A1625">
        <w:t>ONU</w:t>
      </w:r>
      <w:r>
        <w:t> </w:t>
      </w:r>
      <w:r w:rsidR="00924F3C" w:rsidRPr="006A1625">
        <w:t>1010 BUTADIÈNES STABILISÉS ou BUTADIÈNES ET HYDROCARBURES EN MÉLANGE STABILISÉ, cont</w:t>
      </w:r>
      <w:r w:rsidR="00346FFA">
        <w:t>enant plus de 40 % de butadiènes ».</w:t>
      </w:r>
    </w:p>
    <w:p w:rsidR="009D15A9" w:rsidRPr="00346FFA" w:rsidRDefault="00924F3C" w:rsidP="006A1625">
      <w:pPr>
        <w:pStyle w:val="SingleTxtG"/>
        <w:rPr>
          <w:spacing w:val="4"/>
        </w:rPr>
      </w:pPr>
      <w:r w:rsidRPr="006A1625">
        <w:t>4.</w:t>
      </w:r>
      <w:r w:rsidRPr="006A1625">
        <w:tab/>
      </w:r>
      <w:r w:rsidRPr="00346FFA">
        <w:rPr>
          <w:spacing w:val="4"/>
        </w:rPr>
        <w:t xml:space="preserve">Dans le même temps, la rubrique correspondante du </w:t>
      </w:r>
      <w:r w:rsidR="00346FFA" w:rsidRPr="00346FFA">
        <w:rPr>
          <w:spacing w:val="4"/>
        </w:rPr>
        <w:t>RID/ADR est libellée comme suit </w:t>
      </w:r>
      <w:r w:rsidRPr="00346FFA">
        <w:rPr>
          <w:spacing w:val="4"/>
        </w:rPr>
        <w:t>:</w:t>
      </w:r>
    </w:p>
    <w:p w:rsidR="009D15A9" w:rsidRPr="006A1625" w:rsidRDefault="00346FFA" w:rsidP="006A1625">
      <w:pPr>
        <w:pStyle w:val="SingleTxtG"/>
      </w:pPr>
      <w:r>
        <w:t>« 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 w:rsidR="00942F68">
        <w:t> </w:t>
      </w:r>
      <w:r w:rsidR="00924F3C" w:rsidRPr="006A1625">
        <w:t>ONU</w:t>
      </w:r>
      <w:r>
        <w:t> </w:t>
      </w:r>
      <w:r w:rsidR="00924F3C" w:rsidRPr="006A1625">
        <w:t>1010</w:t>
      </w:r>
      <w:r w:rsidR="002770BE">
        <w:t xml:space="preserve"> </w:t>
      </w:r>
      <w:r w:rsidR="00924F3C" w:rsidRPr="006A1625">
        <w:t>BUTADIÈNES STABILISÉS ou BUTADIÈNES ET HYDROCARBURES EN MÉLANGE STABILISÉ, qui, à 70</w:t>
      </w:r>
      <w:r>
        <w:t> </w:t>
      </w:r>
      <w:r w:rsidR="00924F3C" w:rsidRPr="006A1625">
        <w:t xml:space="preserve">°C, a une pression de vapeur ne dépassant pas 1,1 MPa (11 bar) </w:t>
      </w:r>
      <w:r>
        <w:t>et dont la masse volumique à 50 </w:t>
      </w:r>
      <w:r w:rsidR="00924F3C" w:rsidRPr="006A1625">
        <w:t>°C n</w:t>
      </w:r>
      <w:r w:rsidR="00A32803">
        <w:t>’</w:t>
      </w:r>
      <w:r>
        <w:t>est pas inférieure à 0,525 kg/l ».</w:t>
      </w:r>
    </w:p>
    <w:p w:rsidR="009D15A9" w:rsidRPr="006A1625" w:rsidRDefault="00924F3C" w:rsidP="006A1625">
      <w:pPr>
        <w:pStyle w:val="SingleTxtG"/>
      </w:pPr>
      <w:r w:rsidRPr="006A1625">
        <w:t>5.</w:t>
      </w:r>
      <w:r w:rsidRPr="006A1625">
        <w:tab/>
        <w:t>Ces deux définitions ne sont pas équivalentes et, suivant la description utilisée (celle du Règlement type ou celle du RID/ADR), il est clair que des substances différentes peuvent être transportées sous le</w:t>
      </w:r>
      <w:r w:rsidR="002770BE">
        <w:t xml:space="preserve"> </w:t>
      </w:r>
      <w:r w:rsidRPr="006A1625">
        <w:t xml:space="preserve">numéro </w:t>
      </w:r>
      <w:r w:rsidR="00346FFA">
        <w:t>ONU </w:t>
      </w:r>
      <w:r w:rsidRPr="006A1625">
        <w:t>1010.</w:t>
      </w:r>
    </w:p>
    <w:p w:rsidR="009D15A9" w:rsidRPr="006A1625" w:rsidRDefault="00924F3C" w:rsidP="002770BE">
      <w:pPr>
        <w:pStyle w:val="HChG"/>
      </w:pPr>
      <w:r w:rsidRPr="006A1625">
        <w:tab/>
      </w:r>
      <w:r w:rsidRPr="006A1625">
        <w:tab/>
        <w:t>Analyse de la question</w:t>
      </w:r>
    </w:p>
    <w:p w:rsidR="009D15A9" w:rsidRPr="006A1625" w:rsidRDefault="00924F3C" w:rsidP="006A1625">
      <w:pPr>
        <w:pStyle w:val="SingleTxtG"/>
      </w:pPr>
      <w:r w:rsidRPr="006A1625">
        <w:t>6.</w:t>
      </w:r>
      <w:r w:rsidRPr="006A1625">
        <w:tab/>
        <w:t>Cela fait plusieurs années qu</w:t>
      </w:r>
      <w:r w:rsidR="00A32803">
        <w:t>’</w:t>
      </w:r>
      <w:r w:rsidRPr="006A1625">
        <w:t>il existe des variations entre les descriptions figurant dans le Règlement type et celles qui figurent dans le RID/ADR.</w:t>
      </w:r>
      <w:r w:rsidR="002770BE">
        <w:t xml:space="preserve"> </w:t>
      </w:r>
      <w:r w:rsidRPr="006A1625">
        <w:t>La liste des documents et propositions pertinents de la Réunion commune et du</w:t>
      </w:r>
      <w:r w:rsidR="002770BE">
        <w:t xml:space="preserve"> </w:t>
      </w:r>
      <w:r w:rsidRPr="006A1625">
        <w:t>Sous-Comité TMD sur cette question figure dans le résumé ci-dessus.</w:t>
      </w:r>
    </w:p>
    <w:p w:rsidR="009D15A9" w:rsidRPr="006A1625" w:rsidRDefault="00924F3C" w:rsidP="006A1625">
      <w:pPr>
        <w:pStyle w:val="SingleTxtG"/>
      </w:pPr>
      <w:r w:rsidRPr="006A1625">
        <w:t>7.</w:t>
      </w:r>
      <w:r w:rsidRPr="006A1625">
        <w:tab/>
        <w:t>Il est ressorti des discussions que les avis étaient partagés. Des transporteurs européens ont considéré que certains mélanges contenant moins de 40</w:t>
      </w:r>
      <w:r w:rsidR="00E65042">
        <w:t> </w:t>
      </w:r>
      <w:r w:rsidRPr="006A1625">
        <w:t>% de butadiènes devaient aussi être stabilisés et qu</w:t>
      </w:r>
      <w:r w:rsidR="00A32803">
        <w:t>’</w:t>
      </w:r>
      <w:r w:rsidRPr="006A1625">
        <w:t>il serait dangereux de transporter ces substances sous une rubrique non spécifiée par ailleurs (NSA). Toutefois, les représentants des États-Unis d</w:t>
      </w:r>
      <w:r w:rsidR="00A32803">
        <w:t>’</w:t>
      </w:r>
      <w:r w:rsidRPr="006A1625">
        <w:t>Amérique n</w:t>
      </w:r>
      <w:r w:rsidR="00A32803">
        <w:t>’</w:t>
      </w:r>
      <w:r w:rsidRPr="006A1625">
        <w:t>ont pas été du même avis. La Réunion commune a donc fini par adopter une description différente de celle qui figurait dans le Règlement type.</w:t>
      </w:r>
    </w:p>
    <w:p w:rsidR="009D15A9" w:rsidRPr="006A1625" w:rsidRDefault="00924F3C" w:rsidP="006A1625">
      <w:pPr>
        <w:pStyle w:val="SingleTxtG"/>
      </w:pPr>
      <w:r w:rsidRPr="006A1625">
        <w:t>8.</w:t>
      </w:r>
      <w:r w:rsidRPr="006A1625">
        <w:tab/>
        <w:t>Néanmoins, il a été constaté depuis :</w:t>
      </w:r>
    </w:p>
    <w:p w:rsidR="009D15A9" w:rsidRPr="006A1625" w:rsidRDefault="00924F3C" w:rsidP="00346FFA">
      <w:pPr>
        <w:pStyle w:val="SingleTxtG"/>
        <w:ind w:firstLine="567"/>
      </w:pPr>
      <w:r w:rsidRPr="006A1625">
        <w:t>a)</w:t>
      </w:r>
      <w:r w:rsidRPr="006A1625">
        <w:tab/>
        <w:t>Qu</w:t>
      </w:r>
      <w:r w:rsidR="00A32803">
        <w:t>’</w:t>
      </w:r>
      <w:r w:rsidRPr="006A1625">
        <w:t>aucun accident, incident ou problème notoire n</w:t>
      </w:r>
      <w:r w:rsidR="00A32803">
        <w:t>’</w:t>
      </w:r>
      <w:r w:rsidRPr="006A1625">
        <w:t>avait été observé aux États-Unis d</w:t>
      </w:r>
      <w:r w:rsidR="00A32803">
        <w:t>’</w:t>
      </w:r>
      <w:r w:rsidRPr="006A1625">
        <w:t>Amérique dans le cadre du transport de substances sous le</w:t>
      </w:r>
      <w:r w:rsidR="002770BE">
        <w:t xml:space="preserve"> </w:t>
      </w:r>
      <w:r w:rsidRPr="006A1625">
        <w:t xml:space="preserve">numéro </w:t>
      </w:r>
      <w:r w:rsidR="00346FFA">
        <w:t>ONU </w:t>
      </w:r>
      <w:r w:rsidR="00EE657B">
        <w:t>1010 ;</w:t>
      </w:r>
      <w:r w:rsidRPr="006A1625">
        <w:t xml:space="preserve"> </w:t>
      </w:r>
    </w:p>
    <w:p w:rsidR="009D15A9" w:rsidRPr="006A1625" w:rsidRDefault="00924F3C" w:rsidP="00346FFA">
      <w:pPr>
        <w:pStyle w:val="SingleTxtG"/>
        <w:ind w:firstLine="567"/>
      </w:pPr>
      <w:r w:rsidRPr="006A1625">
        <w:t>b)</w:t>
      </w:r>
      <w:r w:rsidRPr="006A1625">
        <w:tab/>
        <w:t>Qu</w:t>
      </w:r>
      <w:r w:rsidR="00A32803">
        <w:t>’</w:t>
      </w:r>
      <w:r w:rsidRPr="006A1625">
        <w:t>en Espagne, et dans d</w:t>
      </w:r>
      <w:r w:rsidR="00A32803">
        <w:t>’</w:t>
      </w:r>
      <w:r w:rsidRPr="006A1625">
        <w:t>autres pays ayant été consultés, on ne transportait apparemment pas de butadiènes ni de mélanges contenant moins de 40</w:t>
      </w:r>
      <w:r w:rsidR="002770BE">
        <w:t> </w:t>
      </w:r>
      <w:r w:rsidRPr="006A1625">
        <w:t xml:space="preserve">% de butadiènes. </w:t>
      </w:r>
    </w:p>
    <w:p w:rsidR="009D15A9" w:rsidRPr="006A1625" w:rsidRDefault="00924F3C" w:rsidP="006A1625">
      <w:pPr>
        <w:pStyle w:val="SingleTxtG"/>
      </w:pPr>
      <w:r w:rsidRPr="006A1625">
        <w:t>9</w:t>
      </w:r>
      <w:r w:rsidRPr="006A1625">
        <w:tab/>
        <w:t xml:space="preserve">En outre, il a été </w:t>
      </w:r>
      <w:r w:rsidR="004C51C9">
        <w:t>ajouté au RID/ADR un paragraphe </w:t>
      </w:r>
      <w:r w:rsidRPr="006A1625">
        <w:t>2.2.2.2.1 indiquant d</w:t>
      </w:r>
      <w:r w:rsidR="00A32803">
        <w:t>’</w:t>
      </w:r>
      <w:r w:rsidRPr="006A1625">
        <w:t xml:space="preserve">une manière générale que </w:t>
      </w:r>
      <w:r w:rsidR="002770BE">
        <w:t>« </w:t>
      </w:r>
      <w:r w:rsidRPr="006A1625">
        <w:t>les gaz chimiquement instables (...) ne sont pas acceptés au transport à moins que les précautions nécessaires aient été prises pour en prévenir une éventuelle décomposition dangereuse ou polymérisation dangereuse (...)</w:t>
      </w:r>
      <w:r w:rsidR="002770BE">
        <w:t xml:space="preserve"> ». </w:t>
      </w:r>
    </w:p>
    <w:p w:rsidR="009D15A9" w:rsidRPr="006A1625" w:rsidRDefault="00924F3C" w:rsidP="006A1625">
      <w:pPr>
        <w:pStyle w:val="SingleTxtG"/>
      </w:pPr>
      <w:r w:rsidRPr="006A1625">
        <w:lastRenderedPageBreak/>
        <w:t>10.</w:t>
      </w:r>
      <w:r w:rsidRPr="006A1625">
        <w:tab/>
        <w:t>En d</w:t>
      </w:r>
      <w:r w:rsidR="00A32803">
        <w:t>’</w:t>
      </w:r>
      <w:r w:rsidRPr="006A1625">
        <w:t>autres termes, même si des substances contenant moins de 40</w:t>
      </w:r>
      <w:r w:rsidR="00346FFA">
        <w:t> </w:t>
      </w:r>
      <w:r w:rsidRPr="006A1625">
        <w:t>% de butadiènes étaient transportées, quel que soit le nu</w:t>
      </w:r>
      <w:r w:rsidR="004C51C9">
        <w:t>méro </w:t>
      </w:r>
      <w:r w:rsidRPr="006A1625">
        <w:t>ONU sous lequel elles le sont, il faudrait prendre les précautions nécessaires.</w:t>
      </w:r>
    </w:p>
    <w:p w:rsidR="009D15A9" w:rsidRPr="006A1625" w:rsidRDefault="00924F3C" w:rsidP="002770BE">
      <w:pPr>
        <w:pStyle w:val="HChG"/>
      </w:pPr>
      <w:r w:rsidRPr="006A1625">
        <w:tab/>
      </w:r>
      <w:r w:rsidRPr="006A1625">
        <w:tab/>
        <w:t>Proposition</w:t>
      </w:r>
    </w:p>
    <w:p w:rsidR="009D15A9" w:rsidRPr="006A1625" w:rsidRDefault="00924F3C" w:rsidP="006A1625">
      <w:pPr>
        <w:pStyle w:val="SingleTxtG"/>
      </w:pPr>
      <w:r w:rsidRPr="006A1625">
        <w:t>11.</w:t>
      </w:r>
      <w:r w:rsidRPr="006A1625">
        <w:tab/>
        <w:t>L</w:t>
      </w:r>
      <w:r w:rsidR="00A32803">
        <w:t>’</w:t>
      </w:r>
      <w:r w:rsidRPr="006A1625">
        <w:t>Espagne suggère que la possibilité d</w:t>
      </w:r>
      <w:r w:rsidR="00A32803">
        <w:t>’</w:t>
      </w:r>
      <w:r w:rsidRPr="006A1625">
        <w:t>harmoniser le nom et la description figurant</w:t>
      </w:r>
      <w:r w:rsidR="002770BE">
        <w:t xml:space="preserve"> </w:t>
      </w:r>
      <w:r w:rsidRPr="006A1625">
        <w:t>en regard du</w:t>
      </w:r>
      <w:r w:rsidR="002770BE">
        <w:t xml:space="preserve"> </w:t>
      </w:r>
      <w:r w:rsidRPr="006A1625">
        <w:t xml:space="preserve">numéro </w:t>
      </w:r>
      <w:r w:rsidR="004C51C9">
        <w:t>ONU </w:t>
      </w:r>
      <w:r w:rsidRPr="006A1625">
        <w:t>1010 avec ceux figurant dans le Règlement type soit étudiée.</w:t>
      </w:r>
    </w:p>
    <w:p w:rsidR="00446FE5" w:rsidRPr="006A1625" w:rsidRDefault="006A1625" w:rsidP="006A162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6A1625" w:rsidSect="006A162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495" w:rsidRDefault="00086495" w:rsidP="00F95C08">
      <w:pPr>
        <w:spacing w:line="240" w:lineRule="auto"/>
      </w:pPr>
    </w:p>
  </w:endnote>
  <w:endnote w:type="continuationSeparator" w:id="0">
    <w:p w:rsidR="00086495" w:rsidRPr="00AC3823" w:rsidRDefault="00086495" w:rsidP="00AC3823">
      <w:pPr>
        <w:pStyle w:val="Footer"/>
      </w:pPr>
    </w:p>
  </w:endnote>
  <w:endnote w:type="continuationNotice" w:id="1">
    <w:p w:rsidR="00086495" w:rsidRDefault="000864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25" w:rsidRPr="006A1625" w:rsidRDefault="006A1625" w:rsidP="006A1625">
    <w:pPr>
      <w:pStyle w:val="Footer"/>
      <w:tabs>
        <w:tab w:val="right" w:pos="9638"/>
      </w:tabs>
    </w:pPr>
    <w:r w:rsidRPr="006A1625">
      <w:rPr>
        <w:b/>
        <w:sz w:val="18"/>
      </w:rPr>
      <w:fldChar w:fldCharType="begin"/>
    </w:r>
    <w:r w:rsidRPr="006A1625">
      <w:rPr>
        <w:b/>
        <w:sz w:val="18"/>
      </w:rPr>
      <w:instrText xml:space="preserve"> PAGE  \* MERGEFORMAT </w:instrText>
    </w:r>
    <w:r w:rsidRPr="006A1625">
      <w:rPr>
        <w:b/>
        <w:sz w:val="18"/>
      </w:rPr>
      <w:fldChar w:fldCharType="separate"/>
    </w:r>
    <w:r w:rsidR="00924F3C">
      <w:rPr>
        <w:b/>
        <w:noProof/>
        <w:sz w:val="18"/>
      </w:rPr>
      <w:t>2</w:t>
    </w:r>
    <w:r w:rsidRPr="006A1625">
      <w:rPr>
        <w:b/>
        <w:sz w:val="18"/>
      </w:rPr>
      <w:fldChar w:fldCharType="end"/>
    </w:r>
    <w:r>
      <w:rPr>
        <w:b/>
        <w:sz w:val="18"/>
      </w:rPr>
      <w:tab/>
    </w:r>
    <w:r>
      <w:t>GE.18-10439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25" w:rsidRPr="006A1625" w:rsidRDefault="006A1625" w:rsidP="006A1625">
    <w:pPr>
      <w:pStyle w:val="Footer"/>
      <w:tabs>
        <w:tab w:val="right" w:pos="9638"/>
      </w:tabs>
      <w:rPr>
        <w:b/>
        <w:sz w:val="18"/>
      </w:rPr>
    </w:pPr>
    <w:r>
      <w:t>GE.18-10439</w:t>
    </w:r>
    <w:r>
      <w:tab/>
    </w:r>
    <w:r w:rsidRPr="006A1625">
      <w:rPr>
        <w:b/>
        <w:sz w:val="18"/>
      </w:rPr>
      <w:fldChar w:fldCharType="begin"/>
    </w:r>
    <w:r w:rsidRPr="006A1625">
      <w:rPr>
        <w:b/>
        <w:sz w:val="18"/>
      </w:rPr>
      <w:instrText xml:space="preserve"> PAGE  \* MERGEFORMAT </w:instrText>
    </w:r>
    <w:r w:rsidRPr="006A1625">
      <w:rPr>
        <w:b/>
        <w:sz w:val="18"/>
      </w:rPr>
      <w:fldChar w:fldCharType="separate"/>
    </w:r>
    <w:r w:rsidR="00924F3C">
      <w:rPr>
        <w:b/>
        <w:noProof/>
        <w:sz w:val="18"/>
      </w:rPr>
      <w:t>3</w:t>
    </w:r>
    <w:r w:rsidRPr="006A16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EE9" w:rsidRPr="006A1625" w:rsidRDefault="006A1625" w:rsidP="006A1625">
    <w:pPr>
      <w:pStyle w:val="Footer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33797F0" wp14:editId="06CC754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18-10439  (F)    110718    300718</w:t>
    </w:r>
    <w:r>
      <w:rPr>
        <w:sz w:val="20"/>
      </w:rPr>
      <w:br/>
    </w:r>
    <w:r w:rsidRPr="006A1625">
      <w:rPr>
        <w:rFonts w:ascii="C39T30Lfz" w:hAnsi="C39T30Lfz"/>
        <w:sz w:val="56"/>
      </w:rPr>
      <w:t></w:t>
    </w:r>
    <w:r w:rsidRPr="006A1625">
      <w:rPr>
        <w:rFonts w:ascii="C39T30Lfz" w:hAnsi="C39T30Lfz"/>
        <w:sz w:val="56"/>
      </w:rPr>
      <w:t></w:t>
    </w:r>
    <w:r w:rsidRPr="006A1625">
      <w:rPr>
        <w:rFonts w:ascii="C39T30Lfz" w:hAnsi="C39T30Lfz"/>
        <w:sz w:val="56"/>
      </w:rPr>
      <w:t></w:t>
    </w:r>
    <w:r w:rsidRPr="006A1625">
      <w:rPr>
        <w:rFonts w:ascii="C39T30Lfz" w:hAnsi="C39T30Lfz"/>
        <w:sz w:val="56"/>
      </w:rPr>
      <w:t></w:t>
    </w:r>
    <w:r w:rsidRPr="006A1625">
      <w:rPr>
        <w:rFonts w:ascii="C39T30Lfz" w:hAnsi="C39T30Lfz"/>
        <w:sz w:val="56"/>
      </w:rPr>
      <w:t></w:t>
    </w:r>
    <w:r w:rsidRPr="006A1625">
      <w:rPr>
        <w:rFonts w:ascii="C39T30Lfz" w:hAnsi="C39T30Lfz"/>
        <w:sz w:val="56"/>
      </w:rPr>
      <w:t></w:t>
    </w:r>
    <w:r w:rsidRPr="006A1625">
      <w:rPr>
        <w:rFonts w:ascii="C39T30Lfz" w:hAnsi="C39T30Lfz"/>
        <w:sz w:val="56"/>
      </w:rPr>
      <w:t></w:t>
    </w:r>
    <w:r w:rsidRPr="006A1625">
      <w:rPr>
        <w:rFonts w:ascii="C39T30Lfz" w:hAnsi="C39T30Lfz"/>
        <w:sz w:val="56"/>
      </w:rPr>
      <w:t></w:t>
    </w:r>
    <w:r w:rsidRPr="006A1625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ECE/TRANS/WP.15/AC.1/2018/1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1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495" w:rsidRPr="00AC3823" w:rsidRDefault="0008649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86495" w:rsidRPr="00AC3823" w:rsidRDefault="0008649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86495" w:rsidRPr="00AC3823" w:rsidRDefault="00086495">
      <w:pPr>
        <w:spacing w:line="240" w:lineRule="auto"/>
        <w:rPr>
          <w:sz w:val="2"/>
          <w:szCs w:val="2"/>
        </w:rPr>
      </w:pPr>
    </w:p>
  </w:footnote>
  <w:footnote w:id="2">
    <w:p w:rsidR="002770BE" w:rsidRPr="002770BE" w:rsidRDefault="002770BE">
      <w:pPr>
        <w:pStyle w:val="FootnoteText"/>
      </w:pPr>
      <w:r>
        <w:rPr>
          <w:rStyle w:val="FootnoteReference"/>
        </w:rPr>
        <w:tab/>
      </w:r>
      <w:r w:rsidRPr="002770B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AA2D95">
        <w:t xml:space="preserve">Conformément au programme de travail du Comité des transports </w:t>
      </w:r>
      <w:r>
        <w:t>intérieurs pour la période 2018</w:t>
      </w:r>
      <w:r>
        <w:noBreakHyphen/>
      </w:r>
      <w:r w:rsidR="00A32803">
        <w:t>2019, (</w:t>
      </w:r>
      <w:r w:rsidR="007E6179">
        <w:t>ECE/TRANS/2018/21/Add.1, M</w:t>
      </w:r>
      <w:r w:rsidRPr="00AA2D95">
        <w:t>odule 9 (9.2)</w:t>
      </w:r>
      <w:r>
        <w:t>)</w:t>
      </w:r>
      <w:r w:rsidRPr="00AA2D95">
        <w:t>.</w:t>
      </w:r>
    </w:p>
  </w:footnote>
  <w:footnote w:id="3">
    <w:p w:rsidR="002770BE" w:rsidRPr="002770BE" w:rsidRDefault="002770BE">
      <w:pPr>
        <w:pStyle w:val="FootnoteText"/>
      </w:pPr>
      <w:r>
        <w:rPr>
          <w:rStyle w:val="FootnoteReference"/>
        </w:rPr>
        <w:tab/>
      </w:r>
      <w:r w:rsidRPr="002770BE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AA2D95">
        <w:t>Diffusée par l</w:t>
      </w:r>
      <w:r w:rsidR="00A32803">
        <w:t>’</w:t>
      </w:r>
      <w:r w:rsidRPr="00AA2D95">
        <w:t>Organisation intergouvernementale pour les transports internationaux ferroviaires (OTIF) sous la cote OTIF/RID/RC/2018/19.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25" w:rsidRPr="006A1625" w:rsidRDefault="007B7D7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24F3C">
      <w:t>ECE/TRANS/WP.15/AC.1/2018/19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25" w:rsidRPr="006A1625" w:rsidRDefault="007B7D79" w:rsidP="006A162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24F3C">
      <w:t>ECE/TRANS/WP.15/AC.1/2018/19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95"/>
    <w:rsid w:val="00017F94"/>
    <w:rsid w:val="00023842"/>
    <w:rsid w:val="000334F9"/>
    <w:rsid w:val="0007796D"/>
    <w:rsid w:val="00086495"/>
    <w:rsid w:val="000B7790"/>
    <w:rsid w:val="000D3EE9"/>
    <w:rsid w:val="00111F2F"/>
    <w:rsid w:val="001433FD"/>
    <w:rsid w:val="0014365E"/>
    <w:rsid w:val="001541D3"/>
    <w:rsid w:val="00176178"/>
    <w:rsid w:val="001F525A"/>
    <w:rsid w:val="00223272"/>
    <w:rsid w:val="0024779E"/>
    <w:rsid w:val="002770BE"/>
    <w:rsid w:val="002832AC"/>
    <w:rsid w:val="00295CCA"/>
    <w:rsid w:val="002D03A1"/>
    <w:rsid w:val="002D7C93"/>
    <w:rsid w:val="00346FFA"/>
    <w:rsid w:val="00441C3B"/>
    <w:rsid w:val="00446B0A"/>
    <w:rsid w:val="00446FE5"/>
    <w:rsid w:val="00452396"/>
    <w:rsid w:val="004C51C9"/>
    <w:rsid w:val="004E468C"/>
    <w:rsid w:val="00506BE1"/>
    <w:rsid w:val="005316B0"/>
    <w:rsid w:val="005505B7"/>
    <w:rsid w:val="00573BE5"/>
    <w:rsid w:val="00586ED3"/>
    <w:rsid w:val="00596AA9"/>
    <w:rsid w:val="005B4719"/>
    <w:rsid w:val="005F2353"/>
    <w:rsid w:val="006A1625"/>
    <w:rsid w:val="00706363"/>
    <w:rsid w:val="0071601D"/>
    <w:rsid w:val="0074674C"/>
    <w:rsid w:val="007A62E6"/>
    <w:rsid w:val="007B7D79"/>
    <w:rsid w:val="007E6179"/>
    <w:rsid w:val="0080684C"/>
    <w:rsid w:val="00871C75"/>
    <w:rsid w:val="008776DC"/>
    <w:rsid w:val="00924F3C"/>
    <w:rsid w:val="00942F68"/>
    <w:rsid w:val="009705C8"/>
    <w:rsid w:val="009C1CF4"/>
    <w:rsid w:val="00A30353"/>
    <w:rsid w:val="00A32803"/>
    <w:rsid w:val="00AA113A"/>
    <w:rsid w:val="00AC3823"/>
    <w:rsid w:val="00AE323C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65042"/>
    <w:rsid w:val="00EE657B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48D939A-0304-48D8-8F8A-42683166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7467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467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4674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4674C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74674C"/>
  </w:style>
  <w:style w:type="character" w:customStyle="1" w:styleId="EndnoteTextChar">
    <w:name w:val="Endnote Text Char"/>
    <w:aliases w:val="2_G Char"/>
    <w:basedOn w:val="DefaultParagraphFont"/>
    <w:link w:val="End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A162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ECE/TRANS/WP.15/AC.1/2018/19</vt:lpstr>
      <vt:lpstr>ECE/TRANS/WP.15/AC.1/2018/19</vt:lpstr>
    </vt:vector>
  </TitlesOfParts>
  <Company>DCM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ECE/TRANS/WP.15/AC.1/2018/19</dc:title>
  <dc:subject/>
  <dc:creator>ROY</dc:creator>
  <cp:keywords/>
  <cp:lastModifiedBy>Christine Barrio-Champeau</cp:lastModifiedBy>
  <cp:revision>2</cp:revision>
  <cp:lastPrinted>2018-07-30T13:50:00Z</cp:lastPrinted>
  <dcterms:created xsi:type="dcterms:W3CDTF">2018-07-30T14:48:00Z</dcterms:created>
  <dcterms:modified xsi:type="dcterms:W3CDTF">2018-07-30T14:48:00Z</dcterms:modified>
</cp:coreProperties>
</file>