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012FA">
              <w:t>8</w:t>
            </w:r>
            <w:r>
              <w:t>/</w:t>
            </w:r>
            <w:r w:rsidR="001A1DCA">
              <w:t>14</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2A5964" w:rsidP="00B11BB4">
            <w:pPr>
              <w:suppressAutoHyphens w:val="0"/>
            </w:pPr>
            <w:r>
              <w:t>22</w:t>
            </w:r>
            <w:r w:rsidR="00B012FA">
              <w:t xml:space="preserve"> December</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012FA" w:rsidP="00BB7CD1">
      <w:r>
        <w:t>Bern</w:t>
      </w:r>
      <w:r w:rsidR="00BB7CD1">
        <w:t xml:space="preserve">, </w:t>
      </w:r>
      <w:r w:rsidR="00AE08DA">
        <w:t>1</w:t>
      </w:r>
      <w:r w:rsidR="002564BC">
        <w:t>2</w:t>
      </w:r>
      <w:r w:rsidR="00BB7CD1">
        <w:t>–</w:t>
      </w:r>
      <w:r w:rsidR="002564BC">
        <w:t>16</w:t>
      </w:r>
      <w:r>
        <w:t xml:space="preserve"> March</w:t>
      </w:r>
      <w:r w:rsidR="00F66565">
        <w:t xml:space="preserve"> </w:t>
      </w:r>
      <w:r w:rsidR="00BB7CD1">
        <w:t>201</w:t>
      </w:r>
      <w:r w:rsidR="002564BC">
        <w:t>8</w:t>
      </w:r>
    </w:p>
    <w:p w:rsidR="002A5964" w:rsidRDefault="002A5964" w:rsidP="002A5964">
      <w:r>
        <w:t>Item 5 (b) of the provisional agenda</w:t>
      </w:r>
    </w:p>
    <w:p w:rsidR="002A5964" w:rsidRDefault="002A5964" w:rsidP="002A5964">
      <w:pPr>
        <w:spacing w:line="240" w:lineRule="auto"/>
        <w:rPr>
          <w:b/>
          <w:bCs/>
        </w:rPr>
      </w:pPr>
      <w:r>
        <w:rPr>
          <w:b/>
        </w:rPr>
        <w:t>Proposals for amendments to RID/ADR/ADN:</w:t>
      </w:r>
      <w:r>
        <w:rPr>
          <w:b/>
        </w:rPr>
        <w:br/>
      </w:r>
      <w:r>
        <w:rPr>
          <w:b/>
          <w:bCs/>
        </w:rPr>
        <w:t>new proposals</w:t>
      </w:r>
    </w:p>
    <w:p w:rsidR="00C3172E" w:rsidRPr="00302B8D" w:rsidRDefault="00C3172E" w:rsidP="00DE4750">
      <w:pPr>
        <w:pStyle w:val="HChG"/>
      </w:pPr>
      <w:r w:rsidRPr="00302B8D">
        <w:tab/>
      </w:r>
      <w:r w:rsidRPr="00302B8D">
        <w:tab/>
      </w:r>
      <w:r w:rsidR="00B012FA">
        <w:rPr>
          <w:lang w:val="en-US"/>
        </w:rPr>
        <w:t xml:space="preserve">Marking of </w:t>
      </w:r>
      <w:r w:rsidR="00531AFA">
        <w:rPr>
          <w:lang w:val="en-US"/>
        </w:rPr>
        <w:t xml:space="preserve">wagons and containers loaded with </w:t>
      </w:r>
      <w:r w:rsidR="00B012FA">
        <w:rPr>
          <w:lang w:val="en-US"/>
        </w:rPr>
        <w:t>limited quantities</w:t>
      </w:r>
    </w:p>
    <w:p w:rsidR="00C3172E" w:rsidRDefault="00C3172E" w:rsidP="00C3172E">
      <w:pPr>
        <w:pStyle w:val="H1G"/>
        <w:rPr>
          <w:b w:val="0"/>
          <w:sz w:val="20"/>
        </w:rPr>
      </w:pPr>
      <w:r>
        <w:tab/>
      </w:r>
      <w:r>
        <w:tab/>
      </w:r>
      <w:r w:rsidR="0043040E">
        <w:t>T</w:t>
      </w:r>
      <w:r>
        <w:t xml:space="preserve">ransmitted by </w:t>
      </w:r>
      <w:r w:rsidR="0043040E">
        <w:t xml:space="preserve">the Government of </w:t>
      </w:r>
      <w:r w:rsidR="00AD13BA">
        <w:t xml:space="preserve">the </w:t>
      </w:r>
      <w:r w:rsidR="00B012FA">
        <w:t>Sweden</w:t>
      </w:r>
      <w:r w:rsidR="002564BC" w:rsidRPr="00897362">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E4750" w:rsidRPr="00E940D0" w:rsidTr="00021DCA">
        <w:trPr>
          <w:jc w:val="center"/>
        </w:trPr>
        <w:tc>
          <w:tcPr>
            <w:tcW w:w="9082" w:type="dxa"/>
            <w:shd w:val="clear" w:color="auto" w:fill="auto"/>
          </w:tcPr>
          <w:p w:rsidR="00DE4750" w:rsidRPr="00E940D0" w:rsidRDefault="00DE4750" w:rsidP="00021DCA">
            <w:pPr>
              <w:spacing w:before="240" w:after="120"/>
              <w:ind w:left="255"/>
              <w:rPr>
                <w:i/>
                <w:sz w:val="24"/>
              </w:rPr>
            </w:pPr>
            <w:r w:rsidRPr="00E940D0">
              <w:rPr>
                <w:i/>
                <w:sz w:val="24"/>
              </w:rPr>
              <w:t>Summary</w:t>
            </w:r>
          </w:p>
        </w:tc>
      </w:tr>
      <w:tr w:rsidR="00DE4750" w:rsidRPr="0035523F" w:rsidTr="00021DCA">
        <w:trPr>
          <w:jc w:val="center"/>
        </w:trPr>
        <w:tc>
          <w:tcPr>
            <w:tcW w:w="9082" w:type="dxa"/>
            <w:shd w:val="clear" w:color="auto" w:fill="auto"/>
          </w:tcPr>
          <w:p w:rsidR="00DE4750" w:rsidRPr="00CD0808" w:rsidRDefault="00DE4750" w:rsidP="002564BC">
            <w:pPr>
              <w:pStyle w:val="SingleTxtG"/>
              <w:tabs>
                <w:tab w:val="left" w:pos="3260"/>
              </w:tabs>
              <w:ind w:left="3260" w:hanging="2126"/>
              <w:jc w:val="left"/>
            </w:pPr>
            <w:r w:rsidRPr="00CD0808">
              <w:rPr>
                <w:b/>
              </w:rPr>
              <w:t>Executive summary:</w:t>
            </w:r>
            <w:r>
              <w:rPr>
                <w:b/>
              </w:rPr>
              <w:t xml:space="preserve"> </w:t>
            </w:r>
            <w:r w:rsidRPr="00CD0808">
              <w:tab/>
            </w:r>
            <w:r w:rsidR="00BA1092">
              <w:t xml:space="preserve">Wagons and containers containing limited quantities together with fully regulated dangerous goods do not have to bear the mark for limited quantities. This does not necessarily reflect the actual hazard </w:t>
            </w:r>
            <w:r w:rsidR="00BA1092">
              <w:tab/>
              <w:t xml:space="preserve">and might in fact be misleading in case of an accident.  </w:t>
            </w:r>
          </w:p>
        </w:tc>
      </w:tr>
      <w:tr w:rsidR="00DE4750" w:rsidRPr="00597302" w:rsidTr="00021DCA">
        <w:trPr>
          <w:jc w:val="center"/>
        </w:trPr>
        <w:tc>
          <w:tcPr>
            <w:tcW w:w="9082" w:type="dxa"/>
            <w:shd w:val="clear" w:color="auto" w:fill="auto"/>
          </w:tcPr>
          <w:p w:rsidR="00DE4750" w:rsidRPr="00CD0808" w:rsidRDefault="00DE4750" w:rsidP="00214D4D">
            <w:pPr>
              <w:pStyle w:val="SingleTxtG"/>
              <w:tabs>
                <w:tab w:val="left" w:pos="3260"/>
              </w:tabs>
              <w:ind w:left="3260" w:hanging="2126"/>
            </w:pPr>
            <w:r w:rsidRPr="00CD0808">
              <w:rPr>
                <w:b/>
              </w:rPr>
              <w:t>Action to be taken:</w:t>
            </w:r>
            <w:r>
              <w:rPr>
                <w:b/>
              </w:rPr>
              <w:t xml:space="preserve">     </w:t>
            </w:r>
            <w:r>
              <w:rPr>
                <w:b/>
              </w:rPr>
              <w:tab/>
            </w:r>
            <w:r w:rsidR="009950AD">
              <w:t>Amend sub-section</w:t>
            </w:r>
            <w:r w:rsidR="00214D4D">
              <w:t>s</w:t>
            </w:r>
            <w:r w:rsidR="009950AD">
              <w:t xml:space="preserve"> 3.4.13 (a) and (b) </w:t>
            </w:r>
            <w:r w:rsidR="00214D4D">
              <w:t xml:space="preserve">in RID </w:t>
            </w:r>
            <w:r w:rsidR="009950AD">
              <w:t>and sub-section 3.4.13 (b)</w:t>
            </w:r>
            <w:r w:rsidR="00214D4D">
              <w:t xml:space="preserve"> in ADR</w:t>
            </w:r>
            <w:r w:rsidR="009950AD">
              <w:t>.</w:t>
            </w:r>
          </w:p>
        </w:tc>
      </w:tr>
      <w:tr w:rsidR="00DE4750" w:rsidRPr="00AE331E" w:rsidTr="00021DCA">
        <w:trPr>
          <w:jc w:val="center"/>
        </w:trPr>
        <w:tc>
          <w:tcPr>
            <w:tcW w:w="9082" w:type="dxa"/>
            <w:shd w:val="clear" w:color="auto" w:fill="auto"/>
          </w:tcPr>
          <w:p w:rsidR="00DE4750" w:rsidRPr="00D43932" w:rsidRDefault="00DE4750" w:rsidP="00FB06F6">
            <w:pPr>
              <w:pStyle w:val="SingleTxtG"/>
              <w:tabs>
                <w:tab w:val="left" w:pos="3260"/>
              </w:tabs>
              <w:spacing w:after="0"/>
              <w:ind w:left="3260" w:hanging="2126"/>
              <w:jc w:val="left"/>
              <w:rPr>
                <w:b/>
                <w:lang w:val="en-US"/>
              </w:rPr>
            </w:pPr>
            <w:r w:rsidRPr="00CD0808">
              <w:rPr>
                <w:b/>
              </w:rPr>
              <w:t>Related documents:</w:t>
            </w:r>
            <w:r>
              <w:rPr>
                <w:b/>
              </w:rPr>
              <w:t xml:space="preserve">        </w:t>
            </w:r>
            <w:r w:rsidR="00FB06F6" w:rsidRPr="00FB06F6">
              <w:t>OTIF/RID/CE/GTP/2017/9</w:t>
            </w:r>
            <w:r w:rsidR="00FB06F6">
              <w:t xml:space="preserve"> (Sweden)</w:t>
            </w:r>
            <w:r w:rsidR="00FB06F6" w:rsidRPr="00FB06F6">
              <w:br/>
              <w:t>Final report of the 8th session of the RID Committee of Experts’ standing working group (Utrecht, 20 – 24 November 2017)</w:t>
            </w:r>
          </w:p>
        </w:tc>
      </w:tr>
      <w:tr w:rsidR="00DE4750" w:rsidRPr="00AE331E" w:rsidTr="00021DCA">
        <w:trPr>
          <w:jc w:val="center"/>
        </w:trPr>
        <w:tc>
          <w:tcPr>
            <w:tcW w:w="9082" w:type="dxa"/>
            <w:shd w:val="clear" w:color="auto" w:fill="auto"/>
          </w:tcPr>
          <w:p w:rsidR="00DE4750" w:rsidRPr="00D43932" w:rsidRDefault="00DE4750" w:rsidP="00021DCA">
            <w:pPr>
              <w:rPr>
                <w:lang w:val="en-US"/>
              </w:rPr>
            </w:pPr>
          </w:p>
        </w:tc>
      </w:tr>
    </w:tbl>
    <w:p w:rsidR="00DE4750" w:rsidRPr="0037099C" w:rsidRDefault="00DE4750" w:rsidP="00DE4750">
      <w:pPr>
        <w:pStyle w:val="HChG"/>
        <w:rPr>
          <w:lang w:val="nl-NL"/>
        </w:rPr>
      </w:pPr>
      <w:r>
        <w:tab/>
      </w:r>
      <w:r>
        <w:tab/>
      </w:r>
      <w:r w:rsidR="009950AD">
        <w:t>Background</w:t>
      </w:r>
    </w:p>
    <w:p w:rsidR="009950AD" w:rsidRDefault="004F7CA5" w:rsidP="009950AD">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r>
      <w:r w:rsidR="009950AD" w:rsidRPr="009950AD">
        <w:rPr>
          <w:rFonts w:eastAsiaTheme="minorEastAsia"/>
          <w:lang w:val="en-US" w:eastAsia="zh-CN"/>
        </w:rPr>
        <w:t xml:space="preserve">At the 8th session of the RID standing working group, Sweden submitted a document (2017/9) concerning marking of wagons containing limited quantities. However, the working </w:t>
      </w:r>
      <w:r w:rsidR="009950AD" w:rsidRPr="009950AD">
        <w:rPr>
          <w:rFonts w:eastAsiaTheme="minorEastAsia"/>
          <w:lang w:val="en-US" w:eastAsia="zh-CN"/>
        </w:rPr>
        <w:lastRenderedPageBreak/>
        <w:t xml:space="preserve">group was of the view that also containers should be considered and that, </w:t>
      </w:r>
      <w:r w:rsidR="000229B5">
        <w:rPr>
          <w:rFonts w:eastAsiaTheme="minorEastAsia"/>
          <w:lang w:val="en-US" w:eastAsia="zh-CN"/>
        </w:rPr>
        <w:t>therefore</w:t>
      </w:r>
      <w:r w:rsidR="009950AD" w:rsidRPr="009950AD">
        <w:rPr>
          <w:rFonts w:eastAsiaTheme="minorEastAsia"/>
          <w:lang w:val="en-US" w:eastAsia="zh-CN"/>
        </w:rPr>
        <w:t>, the question should be dealt with by the Joint Meeting.</w:t>
      </w:r>
    </w:p>
    <w:p w:rsidR="009950AD" w:rsidRPr="009950AD" w:rsidRDefault="009950AD" w:rsidP="009950AD">
      <w:pPr>
        <w:pStyle w:val="HChG"/>
        <w:ind w:firstLine="0"/>
      </w:pPr>
      <w:r w:rsidRPr="00042219">
        <w:t>Introduction</w:t>
      </w:r>
    </w:p>
    <w:p w:rsidR="009950AD" w:rsidRDefault="00260F3E" w:rsidP="004F7CA5">
      <w:pPr>
        <w:pStyle w:val="SingleTxtG"/>
      </w:pPr>
      <w:r>
        <w:tab/>
      </w:r>
      <w:r w:rsidR="004F7CA5">
        <w:t>2.</w:t>
      </w:r>
      <w:r>
        <w:tab/>
      </w:r>
      <w:r w:rsidR="009950AD" w:rsidRPr="00E870FA">
        <w:t xml:space="preserve">Sweden is of the </w:t>
      </w:r>
      <w:r w:rsidR="000229B5">
        <w:t>opinion</w:t>
      </w:r>
      <w:r w:rsidR="009950AD" w:rsidRPr="00E870FA">
        <w:t xml:space="preserve"> that there is a problem with the </w:t>
      </w:r>
      <w:r w:rsidR="009950AD">
        <w:t>placarding</w:t>
      </w:r>
      <w:r w:rsidR="009950AD" w:rsidRPr="00E870FA">
        <w:t xml:space="preserve"> and marking of wagons</w:t>
      </w:r>
      <w:r w:rsidR="009950AD">
        <w:t xml:space="preserve"> and containers</w:t>
      </w:r>
      <w:r w:rsidR="009950AD" w:rsidRPr="00E870FA">
        <w:t xml:space="preserve"> containing both limited quantities and other </w:t>
      </w:r>
      <w:r w:rsidR="009950AD">
        <w:t xml:space="preserve">dangerous </w:t>
      </w:r>
      <w:r w:rsidR="009950AD" w:rsidRPr="00E870FA">
        <w:t xml:space="preserve">goods. According to RID </w:t>
      </w:r>
      <w:r w:rsidR="000229B5">
        <w:t xml:space="preserve">sub-sections </w:t>
      </w:r>
      <w:r w:rsidR="009950AD" w:rsidRPr="00E870FA">
        <w:t>3.4.13 (a)</w:t>
      </w:r>
      <w:r w:rsidR="009950AD">
        <w:t xml:space="preserve"> and (b)</w:t>
      </w:r>
      <w:r w:rsidR="009950AD" w:rsidRPr="00E870FA">
        <w:t xml:space="preserve">, a wagon </w:t>
      </w:r>
      <w:r w:rsidR="009950AD" w:rsidRPr="009950AD">
        <w:t>or container may display the required placards</w:t>
      </w:r>
      <w:r w:rsidR="009950AD" w:rsidRPr="004B068F">
        <w:rPr>
          <w:sz w:val="22"/>
        </w:rPr>
        <w:t xml:space="preserve"> </w:t>
      </w:r>
      <w:r w:rsidR="009950AD" w:rsidRPr="00E870FA">
        <w:t xml:space="preserve">for the </w:t>
      </w:r>
      <w:r w:rsidR="009950AD">
        <w:t>fully regulated</w:t>
      </w:r>
      <w:r w:rsidR="009950AD" w:rsidRPr="00E870FA">
        <w:t xml:space="preserve"> goods </w:t>
      </w:r>
      <w:r w:rsidR="009950AD" w:rsidRPr="004B068F">
        <w:t>only</w:t>
      </w:r>
      <w:r w:rsidR="009950AD" w:rsidRPr="00E870FA">
        <w:t xml:space="preserve">. </w:t>
      </w:r>
      <w:r w:rsidR="009950AD">
        <w:t xml:space="preserve">According to </w:t>
      </w:r>
      <w:r w:rsidR="000229B5">
        <w:t xml:space="preserve">sub-section </w:t>
      </w:r>
      <w:r w:rsidR="009950AD">
        <w:t>3.4.13 (b)</w:t>
      </w:r>
      <w:r w:rsidR="000229B5">
        <w:t xml:space="preserve"> in ADR</w:t>
      </w:r>
      <w:r w:rsidR="009950AD">
        <w:t xml:space="preserve">, the same way of marking a container is possible for road transport. This means that a unit that is more or less full with limited quantities, but also contains </w:t>
      </w:r>
      <w:r w:rsidR="000229B5">
        <w:t>some</w:t>
      </w:r>
      <w:r w:rsidR="009950AD">
        <w:t xml:space="preserve"> fully regulated dangerous goods, may only display the hazard for the fully regulated goods. This does not necessarily reflect the actual hazard.</w:t>
      </w:r>
    </w:p>
    <w:p w:rsidR="009950AD" w:rsidRDefault="004F7CA5" w:rsidP="00260F3E">
      <w:pPr>
        <w:pStyle w:val="SingleTxtG"/>
      </w:pPr>
      <w:r>
        <w:t>3.</w:t>
      </w:r>
      <w:r>
        <w:tab/>
      </w:r>
      <w:r w:rsidR="009950AD" w:rsidRPr="00BD58AD">
        <w:t>A few examples of the separation of wagons</w:t>
      </w:r>
      <w:r w:rsidR="009950AD">
        <w:t>/containers</w:t>
      </w:r>
      <w:r w:rsidR="009950AD" w:rsidRPr="00BD58AD">
        <w:t xml:space="preserve"> containing d</w:t>
      </w:r>
      <w:r w:rsidR="009950AD">
        <w:t xml:space="preserve">angerous goods are shown below. </w:t>
      </w:r>
    </w:p>
    <w:p w:rsidR="009950AD" w:rsidRDefault="009950AD" w:rsidP="009950AD">
      <w:pPr>
        <w:ind w:left="1134"/>
      </w:pPr>
      <w:r>
        <w:t xml:space="preserve">To illustrate our concern, we can compare two of the examples in the table:  </w:t>
      </w:r>
    </w:p>
    <w:p w:rsidR="000229B5" w:rsidRDefault="000229B5" w:rsidP="009950AD">
      <w:pPr>
        <w:ind w:left="1134"/>
      </w:pPr>
    </w:p>
    <w:p w:rsidR="004F7CA5" w:rsidRDefault="009950AD" w:rsidP="004F7CA5">
      <w:pPr>
        <w:pStyle w:val="Bullet1G"/>
        <w:rPr>
          <w:rStyle w:val="SingleTxtGChar"/>
        </w:rPr>
      </w:pPr>
      <w:r w:rsidRPr="004F7CA5">
        <w:rPr>
          <w:rStyle w:val="SingleTxtGChar"/>
        </w:rPr>
        <w:t>In example 2, a wagon/container is loaded with 28 000 litres of ethanol in limited quantity. This wagon/container shall be displayed with the LQ-mark.</w:t>
      </w:r>
    </w:p>
    <w:p w:rsidR="009950AD" w:rsidRPr="00091625" w:rsidRDefault="009950AD" w:rsidP="004F7CA5">
      <w:pPr>
        <w:pStyle w:val="Bullet1G"/>
      </w:pPr>
      <w:r w:rsidRPr="004F7CA5">
        <w:rPr>
          <w:rStyle w:val="SingleTxtGChar"/>
        </w:rPr>
        <w:t>In example 5, we have a wagon/container with the same content as described above, i.e. 28 000 litres of ethanol in limited quantity. However, in this case 60 kg of an environmentally hazardous solid is loaded into the same wagon/container. Consequently, this wagon/container may be displayed with label number 9 only. In our view</w:t>
      </w:r>
      <w:r w:rsidRPr="00091625">
        <w:t>, this do</w:t>
      </w:r>
      <w:r w:rsidR="000229B5" w:rsidRPr="00091625">
        <w:t>es</w:t>
      </w:r>
      <w:r w:rsidRPr="00091625">
        <w:t xml:space="preserve"> not reflect the real hazard of the load.</w:t>
      </w:r>
    </w:p>
    <w:p w:rsidR="009950AD" w:rsidRPr="00BD58AD" w:rsidRDefault="009950AD" w:rsidP="009950AD">
      <w:pPr>
        <w:ind w:left="1134"/>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486"/>
        <w:gridCol w:w="3447"/>
      </w:tblGrid>
      <w:tr w:rsidR="007F2A80" w:rsidRPr="00BE3C42" w:rsidTr="009950AD">
        <w:tc>
          <w:tcPr>
            <w:tcW w:w="737" w:type="dxa"/>
            <w:tcBorders>
              <w:top w:val="single" w:sz="4" w:space="0" w:color="auto"/>
              <w:left w:val="single" w:sz="4" w:space="0" w:color="auto"/>
              <w:bottom w:val="single" w:sz="4" w:space="0" w:color="auto"/>
              <w:right w:val="nil"/>
            </w:tcBorders>
          </w:tcPr>
          <w:p w:rsidR="009950AD" w:rsidRPr="00D71474" w:rsidRDefault="009950AD" w:rsidP="009950AD">
            <w:pPr>
              <w:spacing w:after="200" w:line="276" w:lineRule="auto"/>
              <w:ind w:left="1134"/>
              <w:jc w:val="center"/>
            </w:pPr>
          </w:p>
        </w:tc>
        <w:tc>
          <w:tcPr>
            <w:tcW w:w="7933" w:type="dxa"/>
            <w:gridSpan w:val="2"/>
            <w:tcBorders>
              <w:top w:val="single" w:sz="4" w:space="0" w:color="auto"/>
              <w:left w:val="nil"/>
            </w:tcBorders>
            <w:shd w:val="clear" w:color="auto" w:fill="auto"/>
          </w:tcPr>
          <w:p w:rsidR="009950AD" w:rsidRPr="009950AD" w:rsidRDefault="009950AD" w:rsidP="009950AD">
            <w:pPr>
              <w:spacing w:after="200" w:line="276" w:lineRule="auto"/>
              <w:ind w:left="1134"/>
              <w:rPr>
                <w:rFonts w:ascii="Calibri" w:eastAsia="Calibri" w:hAnsi="Calibri"/>
                <w:b/>
                <w:lang w:val="en-US"/>
              </w:rPr>
            </w:pPr>
            <w:r w:rsidRPr="009950AD">
              <w:rPr>
                <w:b/>
              </w:rPr>
              <w:t>Container or wagon</w:t>
            </w:r>
          </w:p>
        </w:tc>
      </w:tr>
      <w:tr w:rsidR="007F2A80" w:rsidRPr="00BE3C42" w:rsidTr="009950AD">
        <w:tc>
          <w:tcPr>
            <w:tcW w:w="737" w:type="dxa"/>
            <w:tcBorders>
              <w:top w:val="single" w:sz="4" w:space="0" w:color="auto"/>
              <w:left w:val="single" w:sz="4" w:space="0" w:color="auto"/>
              <w:bottom w:val="single" w:sz="4" w:space="0" w:color="auto"/>
              <w:right w:val="single" w:sz="4" w:space="0" w:color="auto"/>
            </w:tcBorders>
          </w:tcPr>
          <w:p w:rsidR="009950AD" w:rsidRDefault="009950AD" w:rsidP="009950AD">
            <w:pPr>
              <w:ind w:left="1134"/>
            </w:pPr>
          </w:p>
        </w:tc>
        <w:tc>
          <w:tcPr>
            <w:tcW w:w="4486" w:type="dxa"/>
            <w:tcBorders>
              <w:left w:val="single" w:sz="4" w:space="0" w:color="auto"/>
            </w:tcBorders>
            <w:shd w:val="clear" w:color="auto" w:fill="auto"/>
          </w:tcPr>
          <w:p w:rsidR="009950AD" w:rsidRPr="009950AD" w:rsidRDefault="009950AD" w:rsidP="009950AD">
            <w:pPr>
              <w:ind w:left="1134"/>
              <w:rPr>
                <w:b/>
              </w:rPr>
            </w:pPr>
            <w:r w:rsidRPr="009950AD">
              <w:rPr>
                <w:b/>
              </w:rPr>
              <w:t>Content</w:t>
            </w:r>
          </w:p>
        </w:tc>
        <w:tc>
          <w:tcPr>
            <w:tcW w:w="3447" w:type="dxa"/>
            <w:shd w:val="clear" w:color="auto" w:fill="auto"/>
          </w:tcPr>
          <w:p w:rsidR="009950AD" w:rsidRPr="009950AD" w:rsidRDefault="009950AD" w:rsidP="009950AD">
            <w:pPr>
              <w:ind w:left="1134"/>
              <w:rPr>
                <w:b/>
              </w:rPr>
            </w:pPr>
            <w:r w:rsidRPr="009950AD">
              <w:rPr>
                <w:b/>
              </w:rPr>
              <w:t>Placarding/marking</w:t>
            </w:r>
          </w:p>
        </w:tc>
      </w:tr>
      <w:tr w:rsidR="007F2A80" w:rsidRPr="00BE3C42" w:rsidTr="009950AD">
        <w:tc>
          <w:tcPr>
            <w:tcW w:w="737" w:type="dxa"/>
            <w:tcBorders>
              <w:top w:val="single" w:sz="4" w:space="0" w:color="auto"/>
            </w:tcBorders>
          </w:tcPr>
          <w:p w:rsidR="009950AD" w:rsidRPr="00260F3E" w:rsidRDefault="009950AD" w:rsidP="00307FAA">
            <w:pPr>
              <w:spacing w:after="200" w:line="276" w:lineRule="auto"/>
              <w:ind w:left="-84"/>
              <w:jc w:val="center"/>
              <w:rPr>
                <w:rFonts w:eastAsia="Calibri"/>
                <w:lang w:val="en-US"/>
              </w:rPr>
            </w:pPr>
            <w:r w:rsidRPr="00260F3E">
              <w:rPr>
                <w:rFonts w:eastAsia="Calibri"/>
                <w:lang w:val="en-US"/>
              </w:rPr>
              <w:t>1</w:t>
            </w:r>
          </w:p>
        </w:tc>
        <w:tc>
          <w:tcPr>
            <w:tcW w:w="4486" w:type="dxa"/>
            <w:shd w:val="clear" w:color="auto" w:fill="auto"/>
          </w:tcPr>
          <w:p w:rsidR="009950AD" w:rsidRPr="00260F3E" w:rsidRDefault="009950AD" w:rsidP="009950AD">
            <w:pPr>
              <w:spacing w:after="200" w:line="276" w:lineRule="auto"/>
              <w:ind w:left="306"/>
              <w:rPr>
                <w:rFonts w:eastAsia="Calibri"/>
                <w:lang w:val="en-US"/>
              </w:rPr>
            </w:pPr>
            <w:r w:rsidRPr="00260F3E">
              <w:rPr>
                <w:rFonts w:eastAsia="Calibri"/>
                <w:lang w:val="en-US"/>
              </w:rPr>
              <w:t>50 litres of UN 1170 Ethanol, 3, III in 5 plastic jerricans á 10 litres</w:t>
            </w:r>
          </w:p>
        </w:tc>
        <w:tc>
          <w:tcPr>
            <w:tcW w:w="3447" w:type="dxa"/>
            <w:shd w:val="clear" w:color="auto" w:fill="auto"/>
          </w:tcPr>
          <w:p w:rsidR="009950AD" w:rsidRPr="00260F3E" w:rsidRDefault="009950AD" w:rsidP="007F2A80">
            <w:pPr>
              <w:spacing w:after="200" w:line="276" w:lineRule="auto"/>
              <w:rPr>
                <w:rFonts w:eastAsia="Calibri"/>
                <w:lang w:val="en-US"/>
              </w:rPr>
            </w:pPr>
            <w:r w:rsidRPr="00260F3E">
              <w:rPr>
                <w:rFonts w:eastAsia="Calibri"/>
                <w:lang w:val="en-US"/>
              </w:rPr>
              <w:t>L</w:t>
            </w:r>
            <w:r w:rsidR="007F2A80" w:rsidRPr="00260F3E">
              <w:rPr>
                <w:noProof/>
                <w:lang w:val="sv-SE" w:eastAsia="sv-SE"/>
              </w:rPr>
              <w:drawing>
                <wp:anchor distT="0" distB="0" distL="114300" distR="114300" simplePos="0" relativeHeight="251658240" behindDoc="1" locked="0" layoutInCell="1" allowOverlap="1">
                  <wp:simplePos x="0" y="0"/>
                  <wp:positionH relativeFrom="column">
                    <wp:posOffset>776605</wp:posOffset>
                  </wp:positionH>
                  <wp:positionV relativeFrom="paragraph">
                    <wp:posOffset>635</wp:posOffset>
                  </wp:positionV>
                  <wp:extent cx="493200" cy="493200"/>
                  <wp:effectExtent l="0" t="0" r="2540" b="2540"/>
                  <wp:wrapNone/>
                  <wp:docPr id="5" name="Bild 5" descr="https://www.msb.se/Upload/Forebyggande/farligt_gods/Skyltar_etiketter/bmp/Nr%203%20Brandfarliga%20v%c3%a4tskor%20v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sb.se/Upload/Forebyggande/farligt_gods/Skyltar_etiketter/bmp/Nr%203%20Brandfarliga%20v%c3%a4tskor%20vi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F3E">
              <w:rPr>
                <w:rFonts w:eastAsia="Calibri"/>
                <w:lang w:val="en-US"/>
              </w:rPr>
              <w:t>abel no 3</w:t>
            </w:r>
          </w:p>
          <w:p w:rsidR="00EA3763" w:rsidRPr="00260F3E" w:rsidRDefault="00EA3763" w:rsidP="009950AD">
            <w:pPr>
              <w:spacing w:after="200" w:line="276" w:lineRule="auto"/>
              <w:ind w:left="1134"/>
              <w:rPr>
                <w:rFonts w:eastAsia="Calibri"/>
                <w:lang w:val="en-US"/>
              </w:rPr>
            </w:pPr>
          </w:p>
        </w:tc>
      </w:tr>
      <w:tr w:rsidR="007F2A80" w:rsidRPr="00BE3C42" w:rsidTr="009950AD">
        <w:tc>
          <w:tcPr>
            <w:tcW w:w="737" w:type="dxa"/>
          </w:tcPr>
          <w:p w:rsidR="009950AD" w:rsidRPr="00260F3E" w:rsidRDefault="009950AD" w:rsidP="00307FAA">
            <w:pPr>
              <w:spacing w:after="200" w:line="276" w:lineRule="auto"/>
              <w:ind w:left="-84"/>
              <w:jc w:val="center"/>
              <w:rPr>
                <w:rFonts w:eastAsia="Calibri"/>
                <w:lang w:val="en-US"/>
              </w:rPr>
            </w:pPr>
            <w:r w:rsidRPr="00260F3E">
              <w:rPr>
                <w:rFonts w:eastAsia="Calibri"/>
                <w:lang w:val="en-US"/>
              </w:rPr>
              <w:t>2</w:t>
            </w:r>
          </w:p>
        </w:tc>
        <w:tc>
          <w:tcPr>
            <w:tcW w:w="4486" w:type="dxa"/>
            <w:shd w:val="clear" w:color="auto" w:fill="auto"/>
          </w:tcPr>
          <w:p w:rsidR="009950AD" w:rsidRPr="00260F3E" w:rsidRDefault="009950AD" w:rsidP="00307FAA">
            <w:pPr>
              <w:spacing w:after="200" w:line="276" w:lineRule="auto"/>
              <w:ind w:left="306"/>
              <w:rPr>
                <w:rFonts w:eastAsia="Calibri"/>
                <w:lang w:val="en-US"/>
              </w:rPr>
            </w:pPr>
            <w:r w:rsidRPr="00260F3E">
              <w:rPr>
                <w:rFonts w:eastAsia="Calibri"/>
                <w:lang w:val="en-US"/>
              </w:rPr>
              <w:t>28 000 litres UN 1170 Ethanol, 3, III   in 5600 plastic jerricans á 5 litres (LQ)</w:t>
            </w:r>
          </w:p>
        </w:tc>
        <w:tc>
          <w:tcPr>
            <w:tcW w:w="3447" w:type="dxa"/>
            <w:shd w:val="clear" w:color="auto" w:fill="auto"/>
          </w:tcPr>
          <w:p w:rsidR="009950AD" w:rsidRPr="00260F3E" w:rsidRDefault="007F2A80" w:rsidP="007F2A80">
            <w:pPr>
              <w:spacing w:after="200" w:line="276" w:lineRule="auto"/>
              <w:rPr>
                <w:rFonts w:eastAsia="Calibri"/>
                <w:lang w:val="en-US"/>
              </w:rPr>
            </w:pPr>
            <w:r w:rsidRPr="00260F3E">
              <w:rPr>
                <w:noProof/>
                <w:lang w:val="sv-SE" w:eastAsia="sv-SE"/>
              </w:rPr>
              <w:drawing>
                <wp:anchor distT="0" distB="0" distL="114300" distR="114300" simplePos="0" relativeHeight="251659264" behindDoc="1" locked="0" layoutInCell="1" allowOverlap="1">
                  <wp:simplePos x="0" y="0"/>
                  <wp:positionH relativeFrom="column">
                    <wp:posOffset>804545</wp:posOffset>
                  </wp:positionH>
                  <wp:positionV relativeFrom="paragraph">
                    <wp:posOffset>71755</wp:posOffset>
                  </wp:positionV>
                  <wp:extent cx="363600" cy="363600"/>
                  <wp:effectExtent l="76200" t="76200" r="93980" b="93980"/>
                  <wp:wrapNone/>
                  <wp:docPr id="2"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0AD" w:rsidRPr="00260F3E">
              <w:rPr>
                <w:rFonts w:eastAsia="Calibri"/>
                <w:lang w:val="en-US"/>
              </w:rPr>
              <w:t>LQ</w:t>
            </w:r>
            <w:r w:rsidRPr="00260F3E">
              <w:rPr>
                <w:rFonts w:eastAsia="Calibri"/>
                <w:lang w:val="en-US"/>
              </w:rPr>
              <w:br/>
            </w:r>
            <w:r w:rsidRPr="00260F3E">
              <w:rPr>
                <w:rFonts w:eastAsia="Calibri"/>
                <w:lang w:val="en-US"/>
              </w:rPr>
              <w:br/>
            </w:r>
          </w:p>
        </w:tc>
      </w:tr>
      <w:tr w:rsidR="007F2A80" w:rsidRPr="00BE3C42" w:rsidTr="009950AD">
        <w:tc>
          <w:tcPr>
            <w:tcW w:w="737" w:type="dxa"/>
          </w:tcPr>
          <w:p w:rsidR="009950AD" w:rsidRPr="00260F3E" w:rsidRDefault="009950AD" w:rsidP="00307FAA">
            <w:pPr>
              <w:spacing w:after="200" w:line="276" w:lineRule="auto"/>
              <w:ind w:left="-84"/>
              <w:jc w:val="center"/>
              <w:rPr>
                <w:rFonts w:eastAsia="Calibri"/>
                <w:lang w:val="en-US"/>
              </w:rPr>
            </w:pPr>
            <w:r w:rsidRPr="00260F3E">
              <w:rPr>
                <w:rFonts w:eastAsia="Calibri"/>
                <w:lang w:val="en-US"/>
              </w:rPr>
              <w:t>3</w:t>
            </w:r>
          </w:p>
        </w:tc>
        <w:tc>
          <w:tcPr>
            <w:tcW w:w="4486" w:type="dxa"/>
            <w:shd w:val="clear" w:color="auto" w:fill="auto"/>
          </w:tcPr>
          <w:p w:rsidR="009950AD" w:rsidRPr="00260F3E" w:rsidRDefault="009950AD" w:rsidP="00307FAA">
            <w:pPr>
              <w:spacing w:after="200" w:line="276" w:lineRule="auto"/>
              <w:ind w:left="306"/>
              <w:rPr>
                <w:rFonts w:eastAsia="Calibri"/>
                <w:lang w:val="en-US"/>
              </w:rPr>
            </w:pPr>
            <w:r w:rsidRPr="00260F3E">
              <w:rPr>
                <w:rFonts w:eastAsia="Calibri"/>
                <w:lang w:val="en-US"/>
              </w:rPr>
              <w:t>7 500 litres UN 1170 Ethanol, 3, III   in 1500 plastic jerricans á 5 litres (LQ)</w:t>
            </w:r>
          </w:p>
        </w:tc>
        <w:tc>
          <w:tcPr>
            <w:tcW w:w="3447" w:type="dxa"/>
            <w:shd w:val="clear" w:color="auto" w:fill="auto"/>
          </w:tcPr>
          <w:p w:rsidR="009950AD" w:rsidRPr="00260F3E" w:rsidRDefault="009950AD" w:rsidP="007F2A80">
            <w:pPr>
              <w:spacing w:after="200" w:line="276" w:lineRule="auto"/>
              <w:rPr>
                <w:rFonts w:eastAsia="Calibri"/>
                <w:lang w:val="en-US"/>
              </w:rPr>
            </w:pPr>
            <w:r w:rsidRPr="00260F3E">
              <w:rPr>
                <w:rFonts w:eastAsia="Calibri"/>
                <w:lang w:val="en-US"/>
              </w:rPr>
              <w:t>Not required</w:t>
            </w:r>
          </w:p>
        </w:tc>
      </w:tr>
      <w:tr w:rsidR="007F2A80" w:rsidRPr="00BE3C42" w:rsidTr="009950AD">
        <w:tc>
          <w:tcPr>
            <w:tcW w:w="737" w:type="dxa"/>
          </w:tcPr>
          <w:p w:rsidR="009950AD" w:rsidRPr="00260F3E" w:rsidRDefault="009950AD" w:rsidP="00307FAA">
            <w:pPr>
              <w:spacing w:after="200" w:line="276" w:lineRule="auto"/>
              <w:ind w:left="-84"/>
              <w:jc w:val="center"/>
              <w:rPr>
                <w:rFonts w:eastAsia="Calibri"/>
                <w:lang w:val="en-US"/>
              </w:rPr>
            </w:pPr>
            <w:r w:rsidRPr="00260F3E">
              <w:rPr>
                <w:rFonts w:eastAsia="Calibri"/>
                <w:lang w:val="en-US"/>
              </w:rPr>
              <w:t>4</w:t>
            </w:r>
          </w:p>
        </w:tc>
        <w:tc>
          <w:tcPr>
            <w:tcW w:w="4486" w:type="dxa"/>
            <w:shd w:val="clear" w:color="auto" w:fill="auto"/>
          </w:tcPr>
          <w:p w:rsidR="009950AD" w:rsidRPr="00260F3E" w:rsidRDefault="009950AD" w:rsidP="00307FAA">
            <w:pPr>
              <w:spacing w:after="200" w:line="276" w:lineRule="auto"/>
              <w:ind w:left="306"/>
              <w:rPr>
                <w:rFonts w:eastAsia="Calibri"/>
                <w:lang w:val="en-US"/>
              </w:rPr>
            </w:pPr>
            <w:r w:rsidRPr="00260F3E">
              <w:rPr>
                <w:rFonts w:eastAsia="Calibri"/>
                <w:lang w:val="en-US"/>
              </w:rPr>
              <w:t>Piggyback with  1250 litres UN 1170 Ethanol, 3, III  in 50 plastic jerricans á 25 litres</w:t>
            </w:r>
          </w:p>
        </w:tc>
        <w:tc>
          <w:tcPr>
            <w:tcW w:w="3447" w:type="dxa"/>
            <w:shd w:val="clear" w:color="auto" w:fill="auto"/>
          </w:tcPr>
          <w:p w:rsidR="009950AD" w:rsidRPr="00260F3E" w:rsidRDefault="007F2A80" w:rsidP="007F2A80">
            <w:pPr>
              <w:spacing w:after="200" w:line="276" w:lineRule="auto"/>
              <w:rPr>
                <w:rFonts w:eastAsia="Calibri"/>
                <w:lang w:val="en-US"/>
              </w:rPr>
            </w:pPr>
            <w:r w:rsidRPr="00260F3E">
              <w:rPr>
                <w:noProof/>
                <w:color w:val="333333"/>
                <w:sz w:val="18"/>
                <w:szCs w:val="18"/>
                <w:lang w:val="sv-SE" w:eastAsia="sv-SE"/>
              </w:rPr>
              <w:drawing>
                <wp:anchor distT="0" distB="0" distL="114300" distR="114300" simplePos="0" relativeHeight="251661312" behindDoc="1" locked="0" layoutInCell="1" allowOverlap="1">
                  <wp:simplePos x="0" y="0"/>
                  <wp:positionH relativeFrom="column">
                    <wp:posOffset>1269641</wp:posOffset>
                  </wp:positionH>
                  <wp:positionV relativeFrom="paragraph">
                    <wp:posOffset>22915</wp:posOffset>
                  </wp:positionV>
                  <wp:extent cx="564377" cy="428801"/>
                  <wp:effectExtent l="0" t="0" r="7620" b="0"/>
                  <wp:wrapNone/>
                  <wp:docPr id="8" name="Bild 8" descr="https://www.msb.se/Upload/Forebyggande/farligt_gods/Skyltar_etiketter/gif/Onumrerad%20sky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sb.se/Upload/Forebyggande/farligt_gods/Skyltar_etiketter/gif/Onumrerad%20skyl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77" cy="4288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0AD" w:rsidRPr="00260F3E">
              <w:rPr>
                <w:rFonts w:eastAsia="Calibri"/>
                <w:lang w:val="en-US"/>
              </w:rPr>
              <w:t>Orange colored plates</w:t>
            </w:r>
          </w:p>
        </w:tc>
      </w:tr>
      <w:tr w:rsidR="007F2A80" w:rsidRPr="00BE3C42" w:rsidTr="009950AD">
        <w:tc>
          <w:tcPr>
            <w:tcW w:w="737" w:type="dxa"/>
          </w:tcPr>
          <w:p w:rsidR="009950AD" w:rsidRPr="00260F3E" w:rsidRDefault="009950AD" w:rsidP="009950AD">
            <w:pPr>
              <w:spacing w:after="200" w:line="276" w:lineRule="auto"/>
              <w:ind w:left="-84"/>
              <w:jc w:val="center"/>
              <w:rPr>
                <w:rFonts w:eastAsia="Calibri"/>
                <w:lang w:val="en-US"/>
              </w:rPr>
            </w:pPr>
            <w:r w:rsidRPr="00260F3E">
              <w:rPr>
                <w:rFonts w:eastAsia="Calibri"/>
                <w:lang w:val="en-US"/>
              </w:rPr>
              <w:t>5</w:t>
            </w:r>
          </w:p>
        </w:tc>
        <w:tc>
          <w:tcPr>
            <w:tcW w:w="4486" w:type="dxa"/>
            <w:shd w:val="clear" w:color="auto" w:fill="auto"/>
          </w:tcPr>
          <w:p w:rsidR="009950AD" w:rsidRPr="00260F3E" w:rsidRDefault="009950AD" w:rsidP="009950AD">
            <w:pPr>
              <w:spacing w:after="200" w:line="276" w:lineRule="auto"/>
              <w:ind w:left="306"/>
              <w:rPr>
                <w:rFonts w:eastAsia="Calibri"/>
                <w:lang w:val="en-US"/>
              </w:rPr>
            </w:pPr>
            <w:r w:rsidRPr="00260F3E">
              <w:rPr>
                <w:rFonts w:eastAsia="Calibri"/>
                <w:lang w:val="en-US"/>
              </w:rPr>
              <w:t xml:space="preserve">60 kg UN 3077 Environmentally hazardous substance, solid, n.o.s., 9, III in a drum and               </w:t>
            </w:r>
            <w:r w:rsidRPr="00260F3E">
              <w:rPr>
                <w:rFonts w:eastAsia="Calibri"/>
                <w:lang w:val="en-US"/>
              </w:rPr>
              <w:br/>
              <w:t>28000 litres UN 1170 Ethanol, 3, III   in 5600 plastic jerricans á 5 litres (LQ)</w:t>
            </w:r>
          </w:p>
        </w:tc>
        <w:tc>
          <w:tcPr>
            <w:tcW w:w="3447" w:type="dxa"/>
            <w:shd w:val="clear" w:color="auto" w:fill="auto"/>
          </w:tcPr>
          <w:p w:rsidR="009950AD" w:rsidRPr="00260F3E" w:rsidRDefault="007F2A80" w:rsidP="007F2A80">
            <w:pPr>
              <w:spacing w:after="200" w:line="276" w:lineRule="auto"/>
              <w:rPr>
                <w:rFonts w:eastAsia="Calibri"/>
                <w:lang w:val="en-US"/>
              </w:rPr>
            </w:pPr>
            <w:r w:rsidRPr="00260F3E">
              <w:rPr>
                <w:noProof/>
                <w:lang w:val="sv-SE" w:eastAsia="sv-SE"/>
              </w:rPr>
              <w:drawing>
                <wp:anchor distT="0" distB="0" distL="114300" distR="114300" simplePos="0" relativeHeight="251660288" behindDoc="1" locked="0" layoutInCell="1" allowOverlap="1">
                  <wp:simplePos x="0" y="0"/>
                  <wp:positionH relativeFrom="column">
                    <wp:posOffset>816610</wp:posOffset>
                  </wp:positionH>
                  <wp:positionV relativeFrom="paragraph">
                    <wp:posOffset>92710</wp:posOffset>
                  </wp:positionV>
                  <wp:extent cx="403200" cy="406800"/>
                  <wp:effectExtent l="95250" t="95250" r="92710" b="88900"/>
                  <wp:wrapNone/>
                  <wp:docPr id="7"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0AD" w:rsidRPr="00260F3E">
              <w:rPr>
                <w:rFonts w:eastAsia="Calibri"/>
                <w:lang w:val="en-US"/>
              </w:rPr>
              <w:t>No 9</w:t>
            </w:r>
          </w:p>
        </w:tc>
      </w:tr>
    </w:tbl>
    <w:p w:rsidR="009950AD" w:rsidRPr="00BD58AD" w:rsidRDefault="009950AD" w:rsidP="009950AD">
      <w:pPr>
        <w:ind w:left="1134"/>
      </w:pPr>
      <w:r w:rsidRPr="00BD58AD">
        <w:t xml:space="preserve"> </w:t>
      </w:r>
    </w:p>
    <w:p w:rsidR="004F7CA5" w:rsidRDefault="004F7CA5" w:rsidP="00260F3E">
      <w:pPr>
        <w:pStyle w:val="SingleTxtG"/>
      </w:pPr>
      <w:r>
        <w:t>4.</w:t>
      </w:r>
      <w:r>
        <w:tab/>
      </w:r>
      <w:r w:rsidR="009950AD">
        <w:t>As shown in the table, it is the provisions for the fully regulated goods that take precedence and determines what kind of information that should be displayed on the wagon, and not necessarily the</w:t>
      </w:r>
      <w:r w:rsidR="00F913E2">
        <w:t xml:space="preserve"> </w:t>
      </w:r>
      <w:r w:rsidR="009950AD">
        <w:t xml:space="preserve">actual, and more relevant, hazard. This poses a problem. </w:t>
      </w:r>
      <w:r w:rsidR="009950AD" w:rsidRPr="00BD58AD">
        <w:t xml:space="preserve">The risk for </w:t>
      </w:r>
      <w:r w:rsidR="009950AD" w:rsidRPr="00BD58AD">
        <w:lastRenderedPageBreak/>
        <w:t>people and the en</w:t>
      </w:r>
      <w:r w:rsidR="009950AD">
        <w:t xml:space="preserve">vironment of e.g. a </w:t>
      </w:r>
      <w:r w:rsidR="009950AD" w:rsidRPr="002D2DC1">
        <w:t xml:space="preserve">drum with 60 kg of class 9, as in the </w:t>
      </w:r>
      <w:r w:rsidR="009950AD" w:rsidRPr="00BD58AD">
        <w:t>example above</w:t>
      </w:r>
      <w:r w:rsidR="009950AD">
        <w:t>,</w:t>
      </w:r>
      <w:r w:rsidR="009950AD" w:rsidRPr="00BD58AD">
        <w:t xml:space="preserve"> cannot be so crucial that </w:t>
      </w:r>
      <w:r w:rsidR="009950AD">
        <w:t xml:space="preserve">it </w:t>
      </w:r>
      <w:r w:rsidR="009950AD" w:rsidRPr="00BD58AD">
        <w:t>take</w:t>
      </w:r>
      <w:r w:rsidR="009950AD">
        <w:t>s</w:t>
      </w:r>
      <w:r w:rsidR="009950AD" w:rsidRPr="00BD58AD">
        <w:t xml:space="preserve"> precedence in terms of how to display the hazard on a wagon</w:t>
      </w:r>
      <w:r w:rsidR="009950AD">
        <w:t xml:space="preserve"> or a container</w:t>
      </w:r>
      <w:r w:rsidR="00C517D2">
        <w:t>.</w:t>
      </w:r>
    </w:p>
    <w:p w:rsidR="009950AD" w:rsidRPr="009950AD" w:rsidRDefault="004F7CA5" w:rsidP="00260F3E">
      <w:pPr>
        <w:pStyle w:val="SingleTxtG"/>
        <w:rPr>
          <w:rFonts w:eastAsiaTheme="minorEastAsia"/>
          <w:lang w:eastAsia="zh-CN"/>
        </w:rPr>
      </w:pPr>
      <w:r>
        <w:t>5.</w:t>
      </w:r>
      <w:r>
        <w:tab/>
      </w:r>
      <w:r w:rsidR="009950AD">
        <w:t xml:space="preserve">For the above mentioned reasons, we </w:t>
      </w:r>
      <w:r w:rsidR="00C517D2">
        <w:t>propose</w:t>
      </w:r>
      <w:r w:rsidR="009950AD">
        <w:t xml:space="preserve"> to amend the provisions for the marking of limited quantities to always require the LQ mark </w:t>
      </w:r>
      <w:r w:rsidR="00307FAA">
        <w:t xml:space="preserve">for carriage </w:t>
      </w:r>
      <w:r w:rsidR="009950AD">
        <w:t xml:space="preserve">above 8 tonnes. Even though the type of hazard is not shown by the LQ mark, it will make the rescue services aware of </w:t>
      </w:r>
      <w:r w:rsidR="00F64DBF">
        <w:t xml:space="preserve">that </w:t>
      </w:r>
      <w:r w:rsidR="009950AD">
        <w:t xml:space="preserve">the </w:t>
      </w:r>
      <w:r w:rsidR="00744E2A">
        <w:t xml:space="preserve">wagon/container is loaded with </w:t>
      </w:r>
      <w:r w:rsidR="009950AD">
        <w:t>dangerous goods</w:t>
      </w:r>
      <w:r w:rsidR="00F64DBF">
        <w:t xml:space="preserve"> </w:t>
      </w:r>
      <w:r w:rsidR="00744E2A">
        <w:t xml:space="preserve">that </w:t>
      </w:r>
      <w:r w:rsidR="00F64DBF">
        <w:t>consist</w:t>
      </w:r>
      <w:r w:rsidR="00744E2A">
        <w:t>s</w:t>
      </w:r>
      <w:r w:rsidR="00F64DBF">
        <w:t xml:space="preserve"> of a number of different </w:t>
      </w:r>
      <w:r w:rsidR="009950AD">
        <w:t>hazards.</w:t>
      </w:r>
    </w:p>
    <w:p w:rsidR="00DE4750" w:rsidRPr="00576C71" w:rsidRDefault="00DE4750" w:rsidP="002564BC">
      <w:pPr>
        <w:pStyle w:val="HChG"/>
        <w:rPr>
          <w:rFonts w:eastAsiaTheme="minorEastAsia"/>
          <w:lang w:val="en-US" w:eastAsia="zh-CN"/>
        </w:rPr>
      </w:pPr>
      <w:r w:rsidRPr="00E72409">
        <w:rPr>
          <w:rFonts w:eastAsiaTheme="minorEastAsia"/>
          <w:lang w:eastAsia="zh-CN"/>
        </w:rPr>
        <w:tab/>
      </w:r>
      <w:r w:rsidRPr="00E72409">
        <w:rPr>
          <w:rFonts w:eastAsiaTheme="minorEastAsia"/>
          <w:lang w:eastAsia="zh-CN"/>
        </w:rPr>
        <w:tab/>
      </w:r>
      <w:r w:rsidRPr="00576C71">
        <w:rPr>
          <w:rFonts w:eastAsiaTheme="minorEastAsia"/>
          <w:lang w:val="en-US" w:eastAsia="zh-CN"/>
        </w:rPr>
        <w:t>Proposal</w:t>
      </w:r>
      <w:r w:rsidR="002C134A">
        <w:rPr>
          <w:rFonts w:eastAsiaTheme="minorEastAsia"/>
          <w:lang w:val="en-US" w:eastAsia="zh-CN"/>
        </w:rPr>
        <w:t>s</w:t>
      </w:r>
    </w:p>
    <w:p w:rsidR="00C517D2" w:rsidRPr="002C134A" w:rsidRDefault="004F7CA5" w:rsidP="004F7CA5">
      <w:pPr>
        <w:pStyle w:val="SingleTxtG"/>
      </w:pPr>
      <w:r>
        <w:t>6.</w:t>
      </w:r>
      <w:r>
        <w:tab/>
      </w:r>
      <w:r w:rsidR="00C517D2" w:rsidRPr="002C134A">
        <w:t>Amend 3.4.13 (a) in RID as follows</w:t>
      </w:r>
      <w:r w:rsidR="00FB3838" w:rsidRPr="002C134A">
        <w:t xml:space="preserve"> (changes </w:t>
      </w:r>
      <w:r w:rsidR="00FB3838" w:rsidRPr="002C134A">
        <w:rPr>
          <w:u w:val="single"/>
        </w:rPr>
        <w:t>underlined</w:t>
      </w:r>
      <w:r w:rsidR="00FB3838" w:rsidRPr="002C134A">
        <w:t xml:space="preserve"> or </w:t>
      </w:r>
      <w:r w:rsidR="00FB3838" w:rsidRPr="002C134A">
        <w:rPr>
          <w:strike/>
        </w:rPr>
        <w:t>stricken through</w:t>
      </w:r>
      <w:r w:rsidR="00FB3838" w:rsidRPr="002C134A">
        <w:t>)</w:t>
      </w:r>
      <w:r w:rsidR="00C517D2" w:rsidRPr="002C134A">
        <w:t>:</w:t>
      </w:r>
    </w:p>
    <w:p w:rsidR="00C517D2" w:rsidRPr="00BD58AD" w:rsidRDefault="00C517D2" w:rsidP="00260F3E">
      <w:pPr>
        <w:pStyle w:val="SingleTxtG"/>
      </w:pPr>
      <w:r w:rsidRPr="00BD58AD">
        <w:t>"Wagons carrying dangerous goods packed in limited quantities shall be marked in accordance with 3.4.15 on both sides</w:t>
      </w:r>
      <w:r w:rsidRPr="00C517D2">
        <w:rPr>
          <w:u w:val="single"/>
        </w:rPr>
        <w:t>.</w:t>
      </w:r>
      <w:r w:rsidRPr="00BD58AD">
        <w:t xml:space="preserve"> </w:t>
      </w:r>
      <w:r w:rsidRPr="00C517D2">
        <w:rPr>
          <w:strike/>
        </w:rPr>
        <w:t>except w</w:t>
      </w:r>
      <w:r w:rsidRPr="00C517D2">
        <w:rPr>
          <w:u w:val="single"/>
        </w:rPr>
        <w:t>W</w:t>
      </w:r>
      <w:r w:rsidRPr="00BD58AD">
        <w:t xml:space="preserve">hen the </w:t>
      </w:r>
      <w:r>
        <w:t xml:space="preserve">wagon contains other dangerous </w:t>
      </w:r>
      <w:r w:rsidRPr="00BD58AD">
        <w:t>goods for which placarding in accordance with 5.3.1 is required</w:t>
      </w:r>
      <w:r w:rsidRPr="00C517D2">
        <w:rPr>
          <w:strike/>
        </w:rPr>
        <w:t>. In this latter case</w:t>
      </w:r>
      <w:r w:rsidRPr="00BD58AD">
        <w:t xml:space="preserve">, the wagon </w:t>
      </w:r>
      <w:r w:rsidRPr="00C517D2">
        <w:rPr>
          <w:strike/>
        </w:rPr>
        <w:t>may</w:t>
      </w:r>
      <w:r w:rsidRPr="00BD58AD">
        <w:t xml:space="preserve"> </w:t>
      </w:r>
      <w:r w:rsidRPr="00C517D2">
        <w:rPr>
          <w:u w:val="single"/>
        </w:rPr>
        <w:t>shall</w:t>
      </w:r>
      <w:r w:rsidRPr="00BD58AD">
        <w:t xml:space="preserve"> display the required placards </w:t>
      </w:r>
      <w:r w:rsidRPr="00C517D2">
        <w:rPr>
          <w:strike/>
        </w:rPr>
        <w:t>only, or both the placards</w:t>
      </w:r>
      <w:r w:rsidRPr="00BD58AD">
        <w:t xml:space="preserve"> in accordance with 5.3.1 and the marks in accordance with 3.4.15." </w:t>
      </w:r>
    </w:p>
    <w:p w:rsidR="00C517D2" w:rsidRPr="002C134A" w:rsidRDefault="004F7CA5" w:rsidP="004F7CA5">
      <w:pPr>
        <w:pStyle w:val="SingleTxtG"/>
      </w:pPr>
      <w:r>
        <w:t>7</w:t>
      </w:r>
      <w:r w:rsidR="00260F3E">
        <w:t>.</w:t>
      </w:r>
      <w:r w:rsidR="00260F3E">
        <w:tab/>
      </w:r>
      <w:r w:rsidR="00C517D2" w:rsidRPr="002C134A">
        <w:t>Amend 3.4.13 (b) in RID as follows</w:t>
      </w:r>
      <w:r w:rsidR="00FB3838" w:rsidRPr="002C134A">
        <w:t xml:space="preserve"> (changes </w:t>
      </w:r>
      <w:r w:rsidR="00FB3838" w:rsidRPr="002C134A">
        <w:rPr>
          <w:u w:val="single"/>
        </w:rPr>
        <w:t>underlined</w:t>
      </w:r>
      <w:r w:rsidR="00FB3838" w:rsidRPr="002C134A">
        <w:t xml:space="preserve"> or </w:t>
      </w:r>
      <w:r w:rsidR="00FB3838" w:rsidRPr="002C134A">
        <w:rPr>
          <w:strike/>
        </w:rPr>
        <w:t>stricken through</w:t>
      </w:r>
      <w:r w:rsidR="00FB3838" w:rsidRPr="002C134A">
        <w:t>)</w:t>
      </w:r>
      <w:r w:rsidR="00C517D2" w:rsidRPr="002C134A">
        <w:t>:</w:t>
      </w:r>
    </w:p>
    <w:p w:rsidR="00FB3838" w:rsidRDefault="00FB3838" w:rsidP="00260F3E">
      <w:pPr>
        <w:pStyle w:val="SingleTxtG"/>
      </w:pPr>
      <w:r>
        <w:t>“</w:t>
      </w:r>
      <w:r w:rsidR="00C517D2">
        <w:t xml:space="preserve">Large containers </w:t>
      </w:r>
      <w:r w:rsidR="00EA3763">
        <w:t>carrying</w:t>
      </w:r>
      <w:r w:rsidR="00C517D2">
        <w:t xml:space="preserve"> dangerous goods packed in limited quantities shall be marked in accordance with 3.4.15 on all four sides except when the large container contains other dangerous goods for which placarding in accordance with 5.3.1 is required. In this latter case, the large container may display the required placards only, or both the placards in accordance with 5.3.1 and the marks in accordance with 3.4.15</w:t>
      </w:r>
      <w:r>
        <w:t>.</w:t>
      </w:r>
    </w:p>
    <w:p w:rsidR="00C517D2" w:rsidRDefault="00FB3838" w:rsidP="00260F3E">
      <w:pPr>
        <w:pStyle w:val="SingleTxtG"/>
      </w:pPr>
      <w:r>
        <w:t>If the marks affixed to the large containers are not visible from outside the carrying wagon, the same marks shall also be affixed to both sides of the wagon.”</w:t>
      </w:r>
    </w:p>
    <w:p w:rsidR="00C517D2" w:rsidRDefault="004F7CA5" w:rsidP="00260F3E">
      <w:pPr>
        <w:ind w:left="1134"/>
      </w:pPr>
      <w:r>
        <w:t>8</w:t>
      </w:r>
      <w:r w:rsidR="00260F3E">
        <w:t>.</w:t>
      </w:r>
      <w:r w:rsidR="00260F3E">
        <w:tab/>
      </w:r>
      <w:r w:rsidR="00FB3838" w:rsidRPr="00260F3E">
        <w:t xml:space="preserve">Amend 3.4.13 (b) in </w:t>
      </w:r>
      <w:r w:rsidR="00C517D2" w:rsidRPr="00260F3E">
        <w:t xml:space="preserve">ADR </w:t>
      </w:r>
      <w:r w:rsidR="00FB3838" w:rsidRPr="00260F3E">
        <w:t>as follows (changes underlined or stricken through):</w:t>
      </w:r>
    </w:p>
    <w:p w:rsidR="004F7CA5" w:rsidRPr="00260F3E" w:rsidRDefault="004F7CA5" w:rsidP="00260F3E">
      <w:pPr>
        <w:ind w:left="1134"/>
      </w:pPr>
    </w:p>
    <w:p w:rsidR="00C517D2" w:rsidRDefault="00FB3838" w:rsidP="00260F3E">
      <w:pPr>
        <w:pStyle w:val="SingleTxtG"/>
      </w:pPr>
      <w:r>
        <w:t>“</w:t>
      </w:r>
      <w:r w:rsidR="00C517D2" w:rsidRPr="00FB3838">
        <w:t>Containers carrying dangerous goods packed in limited quantities, on transport units with a maximum mass exceeding 12 tonnes, shall be marked in accordance with 3.4.15 on all four sides</w:t>
      </w:r>
      <w:r w:rsidR="00C517D2" w:rsidRPr="00FB3838">
        <w:rPr>
          <w:u w:val="single"/>
        </w:rPr>
        <w:t>.</w:t>
      </w:r>
      <w:r w:rsidR="00C517D2" w:rsidRPr="00FB3838">
        <w:t xml:space="preserve"> </w:t>
      </w:r>
      <w:r w:rsidR="00C517D2" w:rsidRPr="00FB3838">
        <w:rPr>
          <w:strike/>
        </w:rPr>
        <w:t>except w</w:t>
      </w:r>
      <w:r w:rsidRPr="00FB3838">
        <w:rPr>
          <w:u w:val="single"/>
        </w:rPr>
        <w:t>W</w:t>
      </w:r>
      <w:r w:rsidR="00C517D2" w:rsidRPr="00FB3838">
        <w:t>hen the container contains other dangerous goods for which placarding in accordance with 5.3.1 is required</w:t>
      </w:r>
      <w:r w:rsidR="00C517D2" w:rsidRPr="00FB3838">
        <w:rPr>
          <w:strike/>
        </w:rPr>
        <w:t>. In this latter case</w:t>
      </w:r>
      <w:r w:rsidR="00C517D2" w:rsidRPr="00FB3838">
        <w:t>, the container</w:t>
      </w:r>
      <w:r w:rsidR="00C517D2">
        <w:t xml:space="preserve"> </w:t>
      </w:r>
      <w:r w:rsidR="00C517D2" w:rsidRPr="00FB3838">
        <w:rPr>
          <w:strike/>
        </w:rPr>
        <w:t>may</w:t>
      </w:r>
      <w:r w:rsidR="00C517D2" w:rsidRPr="00FB3838">
        <w:t xml:space="preserve"> </w:t>
      </w:r>
      <w:r w:rsidRPr="00FB3838">
        <w:rPr>
          <w:u w:val="single"/>
        </w:rPr>
        <w:t>shall</w:t>
      </w:r>
      <w:r w:rsidRPr="00FB3838">
        <w:t xml:space="preserve"> </w:t>
      </w:r>
      <w:r w:rsidR="00C517D2" w:rsidRPr="00FB3838">
        <w:t xml:space="preserve">display the required placards </w:t>
      </w:r>
      <w:r w:rsidR="00C517D2" w:rsidRPr="00FB3838">
        <w:rPr>
          <w:strike/>
        </w:rPr>
        <w:t>only, or both the placards</w:t>
      </w:r>
      <w:r w:rsidR="00C517D2" w:rsidRPr="00FB3838">
        <w:t xml:space="preserve"> in accordance with 5.3.1 and the marks in accordance with 3.4.15.</w:t>
      </w:r>
    </w:p>
    <w:p w:rsidR="00C517D2" w:rsidRPr="00FB3838" w:rsidRDefault="00C517D2" w:rsidP="00260F3E">
      <w:pPr>
        <w:pStyle w:val="SingleTxtG"/>
      </w:pPr>
      <w:r w:rsidRPr="00FB3838">
        <w:tab/>
        <w:t>The carrying transport unit need not be marked, except when the marks affixed to the containers are not visible from outside this carrying transport unit. In this latter case, the same marks shall be affixed at the front and at the rear of the transport unit.</w:t>
      </w:r>
      <w:r w:rsidR="00FB3838">
        <w:t>”</w:t>
      </w:r>
    </w:p>
    <w:p w:rsidR="00DE4750" w:rsidRPr="00576C71" w:rsidRDefault="00DE4750" w:rsidP="00DE4750">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081202" w:rsidRDefault="004F7CA5" w:rsidP="00260F3E">
      <w:pPr>
        <w:pStyle w:val="SingleTxtG"/>
      </w:pPr>
      <w:r>
        <w:t>9.</w:t>
      </w:r>
      <w:r>
        <w:tab/>
      </w:r>
      <w:r w:rsidR="00C517D2" w:rsidRPr="00BD58AD">
        <w:t xml:space="preserve">The emergency services would benefit from a more accurate display of the potential </w:t>
      </w:r>
      <w:r w:rsidR="00FB3838">
        <w:t>h</w:t>
      </w:r>
      <w:r w:rsidR="00C517D2" w:rsidRPr="00BD58AD">
        <w:t>azards.</w:t>
      </w:r>
      <w:r w:rsidR="00C517D2">
        <w:br/>
      </w:r>
    </w:p>
    <w:p w:rsidR="00FA16BB" w:rsidRPr="00FA16BB" w:rsidRDefault="00081202" w:rsidP="00081202">
      <w:pPr>
        <w:spacing w:before="240"/>
        <w:ind w:left="1134" w:right="992"/>
        <w:jc w:val="center"/>
        <w:rPr>
          <w:u w:val="single"/>
          <w:lang w:val="en-US"/>
        </w:rPr>
      </w:pPr>
      <w:r>
        <w:t>__________________</w:t>
      </w:r>
      <w:r w:rsidR="00C517D2">
        <w:br/>
      </w:r>
      <w:r w:rsidR="00C517D2">
        <w:br/>
      </w:r>
    </w:p>
    <w:sectPr w:rsidR="00FA16BB" w:rsidRPr="00FA16BB" w:rsidSect="00CF0197">
      <w:headerReference w:type="even" r:id="rId13"/>
      <w:headerReference w:type="default" r:id="rId14"/>
      <w:footerReference w:type="even" r:id="rId15"/>
      <w:footerReference w:type="default" r:id="rId16"/>
      <w:footnotePr>
        <w:numFmt w:val="chicago"/>
      </w:footnotePr>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81EB8">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81EB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2564BC" w:rsidRPr="00897362" w:rsidRDefault="002564BC" w:rsidP="002564BC">
      <w:pPr>
        <w:pStyle w:val="FootnoteText"/>
        <w:rPr>
          <w:lang w:val="fr-CH"/>
        </w:rPr>
      </w:pPr>
      <w:r>
        <w:rPr>
          <w:sz w:val="20"/>
        </w:rPr>
        <w:tab/>
      </w:r>
      <w:r w:rsidRPr="00897362">
        <w:rPr>
          <w:rStyle w:val="FootnoteReference"/>
          <w:sz w:val="20"/>
        </w:rPr>
        <w:t>*</w:t>
      </w:r>
      <w:r>
        <w:t xml:space="preserve"> </w:t>
      </w:r>
      <w:r>
        <w:tab/>
      </w:r>
      <w:r>
        <w:rPr>
          <w:color w:val="000000"/>
          <w:lang w:val="en-US" w:eastAsia="en-GB"/>
        </w:rPr>
        <w:t>In accordance with the draft programme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Header"/>
    </w:pPr>
    <w:r w:rsidRPr="009D2A5B">
      <w:t>ECE/TRANS/WP.15/AC.1/201</w:t>
    </w:r>
    <w:r w:rsidR="001A1DCA">
      <w:t>8</w:t>
    </w:r>
    <w:r w:rsidRPr="009D2A5B">
      <w:t>/</w:t>
    </w:r>
    <w:r w:rsidR="001A1DCA">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Header"/>
      <w:jc w:val="right"/>
    </w:pPr>
    <w:r w:rsidRPr="009D2A5B">
      <w:t>ECE/TRANS/WP.15/AC.1/201</w:t>
    </w:r>
    <w:r w:rsidR="002564BC">
      <w:t>8</w:t>
    </w:r>
    <w:r w:rsidRPr="009D2A5B">
      <w:t>/</w:t>
    </w:r>
    <w:r w:rsidR="002564BC">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1"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3"/>
  </w:num>
  <w:num w:numId="15">
    <w:abstractNumId w:val="14"/>
  </w:num>
  <w:num w:numId="16">
    <w:abstractNumId w:val="11"/>
  </w:num>
  <w:num w:numId="17">
    <w:abstractNumId w:val="20"/>
  </w:num>
  <w:num w:numId="18">
    <w:abstractNumId w:val="26"/>
  </w:num>
  <w:num w:numId="19">
    <w:abstractNumId w:val="24"/>
  </w:num>
  <w:num w:numId="20">
    <w:abstractNumId w:val="12"/>
  </w:num>
  <w:num w:numId="21">
    <w:abstractNumId w:val="15"/>
  </w:num>
  <w:num w:numId="22">
    <w:abstractNumId w:val="22"/>
  </w:num>
  <w:num w:numId="23">
    <w:abstractNumId w:val="13"/>
  </w:num>
  <w:num w:numId="24">
    <w:abstractNumId w:val="21"/>
  </w:num>
  <w:num w:numId="25">
    <w:abstractNumId w:val="17"/>
  </w:num>
  <w:num w:numId="26">
    <w:abstractNumId w:val="19"/>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13DE"/>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EF7"/>
    <w:rsid w:val="000C2C03"/>
    <w:rsid w:val="000C2D2E"/>
    <w:rsid w:val="000C4D51"/>
    <w:rsid w:val="000D230B"/>
    <w:rsid w:val="000E0415"/>
    <w:rsid w:val="001103AA"/>
    <w:rsid w:val="0011666B"/>
    <w:rsid w:val="001208E2"/>
    <w:rsid w:val="00126112"/>
    <w:rsid w:val="00155068"/>
    <w:rsid w:val="00165F3A"/>
    <w:rsid w:val="0017587F"/>
    <w:rsid w:val="001A1DC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564BC"/>
    <w:rsid w:val="00260F3E"/>
    <w:rsid w:val="00267F5F"/>
    <w:rsid w:val="00277C12"/>
    <w:rsid w:val="00286B4D"/>
    <w:rsid w:val="002A5964"/>
    <w:rsid w:val="002A603B"/>
    <w:rsid w:val="002C134A"/>
    <w:rsid w:val="002D2DC1"/>
    <w:rsid w:val="002D4643"/>
    <w:rsid w:val="002D4B6C"/>
    <w:rsid w:val="002F175C"/>
    <w:rsid w:val="00300853"/>
    <w:rsid w:val="00302B8D"/>
    <w:rsid w:val="00302E18"/>
    <w:rsid w:val="00307FAA"/>
    <w:rsid w:val="00312506"/>
    <w:rsid w:val="003229D8"/>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95D15"/>
    <w:rsid w:val="004A12F2"/>
    <w:rsid w:val="004C2461"/>
    <w:rsid w:val="004C7462"/>
    <w:rsid w:val="004D4E04"/>
    <w:rsid w:val="004D5426"/>
    <w:rsid w:val="004E0C05"/>
    <w:rsid w:val="004E77B2"/>
    <w:rsid w:val="004F7CA5"/>
    <w:rsid w:val="00503DEB"/>
    <w:rsid w:val="00504B2D"/>
    <w:rsid w:val="00511A9B"/>
    <w:rsid w:val="0052136D"/>
    <w:rsid w:val="00522B58"/>
    <w:rsid w:val="0052775E"/>
    <w:rsid w:val="00531AFA"/>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44E2A"/>
    <w:rsid w:val="007611CF"/>
    <w:rsid w:val="007629C8"/>
    <w:rsid w:val="00764081"/>
    <w:rsid w:val="007674FA"/>
    <w:rsid w:val="0077047D"/>
    <w:rsid w:val="007B6BA5"/>
    <w:rsid w:val="007C3390"/>
    <w:rsid w:val="007C4F4B"/>
    <w:rsid w:val="007D46D5"/>
    <w:rsid w:val="007E01E9"/>
    <w:rsid w:val="007E63F3"/>
    <w:rsid w:val="007F2A80"/>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2212D"/>
    <w:rsid w:val="009223CA"/>
    <w:rsid w:val="00940F93"/>
    <w:rsid w:val="0094558F"/>
    <w:rsid w:val="0094766B"/>
    <w:rsid w:val="00961690"/>
    <w:rsid w:val="009760F3"/>
    <w:rsid w:val="009950AD"/>
    <w:rsid w:val="009A0E8D"/>
    <w:rsid w:val="009B1518"/>
    <w:rsid w:val="009B192C"/>
    <w:rsid w:val="009B26E7"/>
    <w:rsid w:val="009B6669"/>
    <w:rsid w:val="009C3EED"/>
    <w:rsid w:val="009C454F"/>
    <w:rsid w:val="009D2A5B"/>
    <w:rsid w:val="00A00A3F"/>
    <w:rsid w:val="00A01489"/>
    <w:rsid w:val="00A2358C"/>
    <w:rsid w:val="00A3009E"/>
    <w:rsid w:val="00A3026E"/>
    <w:rsid w:val="00A338F1"/>
    <w:rsid w:val="00A43545"/>
    <w:rsid w:val="00A72F22"/>
    <w:rsid w:val="00A7360F"/>
    <w:rsid w:val="00A748A6"/>
    <w:rsid w:val="00A769F4"/>
    <w:rsid w:val="00A776B4"/>
    <w:rsid w:val="00A81407"/>
    <w:rsid w:val="00A8207E"/>
    <w:rsid w:val="00A9093D"/>
    <w:rsid w:val="00A9142D"/>
    <w:rsid w:val="00A94361"/>
    <w:rsid w:val="00AA293C"/>
    <w:rsid w:val="00AB25C8"/>
    <w:rsid w:val="00AD13BA"/>
    <w:rsid w:val="00AE08DA"/>
    <w:rsid w:val="00AE1E36"/>
    <w:rsid w:val="00AE6935"/>
    <w:rsid w:val="00AF3993"/>
    <w:rsid w:val="00B012FA"/>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E4A8F"/>
    <w:rsid w:val="00CF0197"/>
    <w:rsid w:val="00CF1BAD"/>
    <w:rsid w:val="00D2031B"/>
    <w:rsid w:val="00D25FE2"/>
    <w:rsid w:val="00D43252"/>
    <w:rsid w:val="00D47EEA"/>
    <w:rsid w:val="00D550D4"/>
    <w:rsid w:val="00D773DF"/>
    <w:rsid w:val="00D872AC"/>
    <w:rsid w:val="00D9255F"/>
    <w:rsid w:val="00D95303"/>
    <w:rsid w:val="00D978C6"/>
    <w:rsid w:val="00DA3C1C"/>
    <w:rsid w:val="00DD29BD"/>
    <w:rsid w:val="00DE1D53"/>
    <w:rsid w:val="00DE4750"/>
    <w:rsid w:val="00DF0F1A"/>
    <w:rsid w:val="00E046DF"/>
    <w:rsid w:val="00E15557"/>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31E5F"/>
    <w:rsid w:val="00F32BB7"/>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A978-B773-48C1-8FDA-5AAEAD98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963</Words>
  <Characters>5494</Characters>
  <Application>Microsoft Office Word</Application>
  <DocSecurity>0</DocSecurity>
  <Lines>45</Lines>
  <Paragraphs>12</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2017-12-21T07:37:00Z</cp:lastPrinted>
  <dcterms:created xsi:type="dcterms:W3CDTF">2017-12-21T09:24:00Z</dcterms:created>
  <dcterms:modified xsi:type="dcterms:W3CDTF">2017-12-22T08:54:00Z</dcterms:modified>
</cp:coreProperties>
</file>