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A135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A1359" w:rsidP="00DA1359">
            <w:pPr>
              <w:jc w:val="right"/>
            </w:pPr>
            <w:r w:rsidRPr="00DA1359">
              <w:rPr>
                <w:sz w:val="40"/>
              </w:rPr>
              <w:t>ECE</w:t>
            </w:r>
            <w:r>
              <w:t>/TRANS/WP.15/2018/3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A1359" w:rsidP="00C97039">
            <w:pPr>
              <w:spacing w:before="240"/>
            </w:pPr>
            <w:r>
              <w:t>Distr. générale</w:t>
            </w:r>
          </w:p>
          <w:p w:rsidR="00DA1359" w:rsidRDefault="00DA1359" w:rsidP="00DA1359">
            <w:pPr>
              <w:spacing w:line="240" w:lineRule="exact"/>
            </w:pPr>
            <w:r>
              <w:t>1</w:t>
            </w:r>
            <w:r w:rsidRPr="00DA1359">
              <w:rPr>
                <w:vertAlign w:val="superscript"/>
              </w:rPr>
              <w:t>er</w:t>
            </w:r>
            <w:r>
              <w:t> mars 2018</w:t>
            </w:r>
          </w:p>
          <w:p w:rsidR="00DA1359" w:rsidRDefault="00DA1359" w:rsidP="00DA1359">
            <w:pPr>
              <w:spacing w:line="240" w:lineRule="exact"/>
            </w:pPr>
            <w:r>
              <w:t>Français</w:t>
            </w:r>
          </w:p>
          <w:p w:rsidR="00DA1359" w:rsidRPr="00DB58B5" w:rsidRDefault="00DA1359" w:rsidP="00DA135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A135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A1359" w:rsidRPr="009E01B8" w:rsidRDefault="00DA1359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DA1359" w:rsidRPr="00992778" w:rsidRDefault="00DA1359" w:rsidP="00E85C74">
      <w:pPr>
        <w:spacing w:before="120"/>
        <w:rPr>
          <w:b/>
        </w:rPr>
      </w:pPr>
      <w:r>
        <w:rPr>
          <w:b/>
        </w:rPr>
        <w:t>104</w:t>
      </w:r>
      <w:r w:rsidRPr="00DA1359">
        <w:rPr>
          <w:b/>
          <w:vertAlign w:val="superscript"/>
        </w:rPr>
        <w:t>e</w:t>
      </w:r>
      <w:r>
        <w:rPr>
          <w:b/>
        </w:rPr>
        <w:t> </w:t>
      </w:r>
      <w:r w:rsidRPr="00992778">
        <w:rPr>
          <w:b/>
        </w:rPr>
        <w:t>session</w:t>
      </w:r>
    </w:p>
    <w:p w:rsidR="00DA1359" w:rsidRDefault="00DA1359" w:rsidP="00E85C74">
      <w:r>
        <w:t>Genève, 15-17 mai 2018</w:t>
      </w:r>
    </w:p>
    <w:p w:rsidR="00DA1359" w:rsidRDefault="00DA1359" w:rsidP="00E85C74">
      <w:r w:rsidRPr="00B93E72">
        <w:t xml:space="preserve">Point </w:t>
      </w:r>
      <w:r>
        <w:t>8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DA1359" w:rsidRPr="00EC302C" w:rsidRDefault="00DA1359" w:rsidP="00DA1359">
      <w:pPr>
        <w:outlineLvl w:val="0"/>
        <w:rPr>
          <w:b/>
          <w:bCs/>
          <w:lang w:val="fr-FR"/>
        </w:rPr>
      </w:pPr>
      <w:r>
        <w:rPr>
          <w:b/>
          <w:bCs/>
          <w:lang w:val="fr-FR"/>
        </w:rPr>
        <w:t>Questions diverses</w:t>
      </w:r>
    </w:p>
    <w:p w:rsidR="00DA1359" w:rsidRPr="004451C4" w:rsidRDefault="00DA1359" w:rsidP="00DA1359">
      <w:pPr>
        <w:pStyle w:val="HChG"/>
        <w:rPr>
          <w:lang w:val="fr-FR"/>
        </w:rPr>
      </w:pPr>
      <w:r>
        <w:tab/>
      </w:r>
      <w:r>
        <w:tab/>
      </w:r>
      <w:r w:rsidRPr="004451C4">
        <w:rPr>
          <w:lang w:val="fr-FR"/>
        </w:rPr>
        <w:t>Procédure de révision du titre de l</w:t>
      </w:r>
      <w:r>
        <w:rPr>
          <w:lang w:val="fr-FR"/>
        </w:rPr>
        <w:t>’</w:t>
      </w:r>
      <w:r w:rsidRPr="004451C4">
        <w:rPr>
          <w:lang w:val="fr-FR"/>
        </w:rPr>
        <w:t>ADR</w:t>
      </w:r>
    </w:p>
    <w:p w:rsidR="00DA1359" w:rsidRPr="00EA2E54" w:rsidRDefault="00DA1359" w:rsidP="00DA1359">
      <w:pPr>
        <w:pStyle w:val="H1G"/>
        <w:rPr>
          <w:lang w:val="fr-FR"/>
        </w:rPr>
      </w:pPr>
      <w:r w:rsidRPr="004451C4">
        <w:rPr>
          <w:lang w:val="fr-FR"/>
        </w:rPr>
        <w:tab/>
      </w:r>
      <w:r w:rsidRPr="004451C4">
        <w:rPr>
          <w:lang w:val="fr-FR"/>
        </w:rPr>
        <w:tab/>
      </w:r>
      <w:r w:rsidRPr="00EA2E54">
        <w:rPr>
          <w:lang w:val="fr-FR"/>
        </w:rPr>
        <w:t>Note du secrétariat</w:t>
      </w:r>
      <w:r w:rsidRPr="00DA135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A1359" w:rsidRPr="004451C4" w:rsidRDefault="00DA1359" w:rsidP="00DA1359">
      <w:pPr>
        <w:pStyle w:val="SingleTxtG"/>
        <w:rPr>
          <w:lang w:val="fr-FR"/>
        </w:rPr>
      </w:pPr>
      <w:r w:rsidRPr="004451C4">
        <w:rPr>
          <w:lang w:val="fr-FR"/>
        </w:rPr>
        <w:t>1.</w:t>
      </w:r>
      <w:r w:rsidRPr="004451C4">
        <w:rPr>
          <w:lang w:val="fr-FR"/>
        </w:rPr>
        <w:tab/>
      </w:r>
      <w:r>
        <w:rPr>
          <w:lang w:val="fr-FR"/>
        </w:rPr>
        <w:t>À</w:t>
      </w:r>
      <w:r w:rsidRPr="004451C4">
        <w:rPr>
          <w:lang w:val="fr-FR"/>
        </w:rPr>
        <w:t xml:space="preserve"> sa 103</w:t>
      </w:r>
      <w:r w:rsidRPr="00DA1359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4451C4">
        <w:rPr>
          <w:lang w:val="fr-FR"/>
        </w:rPr>
        <w:t>session</w:t>
      </w:r>
      <w:r>
        <w:rPr>
          <w:lang w:val="fr-FR"/>
        </w:rPr>
        <w:t>, le Groupe de travail a examiné</w:t>
      </w:r>
      <w:r w:rsidRPr="004451C4">
        <w:rPr>
          <w:lang w:val="fr-FR"/>
        </w:rPr>
        <w:t xml:space="preserve"> la proposition visant à supprimer le mot </w:t>
      </w:r>
      <w:r>
        <w:rPr>
          <w:lang w:val="fr-FR"/>
        </w:rPr>
        <w:t>« </w:t>
      </w:r>
      <w:r w:rsidRPr="004451C4">
        <w:rPr>
          <w:lang w:val="fr-FR"/>
        </w:rPr>
        <w:t>européen</w:t>
      </w:r>
      <w:r>
        <w:rPr>
          <w:lang w:val="fr-FR"/>
        </w:rPr>
        <w:t> » du titre de l’ADR.</w:t>
      </w:r>
    </w:p>
    <w:p w:rsidR="00DA1359" w:rsidRPr="00980815" w:rsidRDefault="00DA1359" w:rsidP="00DA1359">
      <w:pPr>
        <w:pStyle w:val="SingleTxtG"/>
        <w:rPr>
          <w:lang w:val="fr-FR"/>
        </w:rPr>
      </w:pPr>
      <w:r w:rsidRPr="004451C4">
        <w:rPr>
          <w:lang w:val="fr-FR"/>
        </w:rPr>
        <w:t>2.</w:t>
      </w:r>
      <w:r w:rsidRPr="004451C4">
        <w:rPr>
          <w:lang w:val="fr-FR"/>
        </w:rPr>
        <w:tab/>
        <w:t xml:space="preserve">Les participants ont constaté que le mot </w:t>
      </w:r>
      <w:r>
        <w:rPr>
          <w:lang w:val="fr-FR"/>
        </w:rPr>
        <w:t>« </w:t>
      </w:r>
      <w:r w:rsidRPr="004451C4">
        <w:rPr>
          <w:lang w:val="fr-FR"/>
        </w:rPr>
        <w:t>européen</w:t>
      </w:r>
      <w:r>
        <w:rPr>
          <w:lang w:val="fr-FR"/>
        </w:rPr>
        <w:t> »</w:t>
      </w:r>
      <w:r w:rsidRPr="004451C4">
        <w:rPr>
          <w:lang w:val="fr-FR"/>
        </w:rPr>
        <w:t xml:space="preserve"> dans l</w:t>
      </w:r>
      <w:r>
        <w:rPr>
          <w:lang w:val="fr-FR"/>
        </w:rPr>
        <w:t>’</w:t>
      </w:r>
      <w:r w:rsidRPr="004451C4">
        <w:rPr>
          <w:lang w:val="fr-FR"/>
        </w:rPr>
        <w:t>actuel tit</w:t>
      </w:r>
      <w:r>
        <w:rPr>
          <w:lang w:val="fr-FR"/>
        </w:rPr>
        <w:t>re de l’Accord européen relatif</w:t>
      </w:r>
      <w:r w:rsidRPr="004451C4">
        <w:rPr>
          <w:lang w:val="fr-FR"/>
        </w:rPr>
        <w:t xml:space="preserve"> au transport international des marchandises dangereuses par route (ADR) n</w:t>
      </w:r>
      <w:r>
        <w:rPr>
          <w:lang w:val="fr-FR"/>
        </w:rPr>
        <w:t>’</w:t>
      </w:r>
      <w:r w:rsidRPr="004451C4">
        <w:rPr>
          <w:lang w:val="fr-FR"/>
        </w:rPr>
        <w:t>était pas compatible avec la participation d</w:t>
      </w:r>
      <w:r>
        <w:rPr>
          <w:lang w:val="fr-FR"/>
        </w:rPr>
        <w:t>’É</w:t>
      </w:r>
      <w:r w:rsidRPr="004451C4">
        <w:rPr>
          <w:lang w:val="fr-FR"/>
        </w:rPr>
        <w:t xml:space="preserve">tats non européens à cet Accord car, en vertu de son article 6, </w:t>
      </w:r>
      <w:r>
        <w:rPr>
          <w:lang w:val="fr-FR"/>
        </w:rPr>
        <w:t>il est ouvert à la participation des pays membres de la Commission économique pour l’</w:t>
      </w:r>
      <w:r w:rsidRPr="004451C4">
        <w:rPr>
          <w:lang w:val="fr-FR"/>
        </w:rPr>
        <w:t xml:space="preserve">Europe </w:t>
      </w:r>
      <w:r>
        <w:rPr>
          <w:lang w:val="fr-FR"/>
        </w:rPr>
        <w:t>et des pays admis à la Commission à titre consultatif, conformément au paragraphe 8 du mandat de la Commission</w:t>
      </w:r>
      <w:r w:rsidRPr="004451C4">
        <w:rPr>
          <w:lang w:val="fr-FR"/>
        </w:rPr>
        <w:t xml:space="preserve">. </w:t>
      </w:r>
      <w:r>
        <w:rPr>
          <w:lang w:val="fr-FR"/>
        </w:rPr>
        <w:t>L’</w:t>
      </w:r>
      <w:r w:rsidRPr="00980815">
        <w:rPr>
          <w:lang w:val="fr-FR"/>
        </w:rPr>
        <w:t xml:space="preserve">ADR est aussi ouvert aux </w:t>
      </w:r>
      <w:r>
        <w:rPr>
          <w:lang w:val="fr-FR"/>
        </w:rPr>
        <w:t>pays susceptibles de participer à certain</w:t>
      </w:r>
      <w:r w:rsidRPr="00980815">
        <w:rPr>
          <w:lang w:val="fr-FR"/>
        </w:rPr>
        <w:t xml:space="preserve">s </w:t>
      </w:r>
      <w:r>
        <w:rPr>
          <w:lang w:val="fr-FR"/>
        </w:rPr>
        <w:t>travaux</w:t>
      </w:r>
      <w:r w:rsidRPr="00980815">
        <w:rPr>
          <w:lang w:val="fr-FR"/>
        </w:rPr>
        <w:t xml:space="preserve"> de la Commission économique pour l</w:t>
      </w:r>
      <w:r>
        <w:rPr>
          <w:lang w:val="fr-FR"/>
        </w:rPr>
        <w:t>’</w:t>
      </w:r>
      <w:r w:rsidRPr="00980815">
        <w:rPr>
          <w:lang w:val="fr-FR"/>
        </w:rPr>
        <w:t xml:space="preserve">Europe, </w:t>
      </w:r>
      <w:r>
        <w:rPr>
          <w:lang w:val="fr-FR"/>
        </w:rPr>
        <w:t>en application du</w:t>
      </w:r>
      <w:r w:rsidRPr="00980815">
        <w:rPr>
          <w:lang w:val="fr-FR"/>
        </w:rPr>
        <w:t xml:space="preserve"> paragraphe 11 de son man</w:t>
      </w:r>
      <w:r>
        <w:rPr>
          <w:lang w:val="fr-FR"/>
        </w:rPr>
        <w:t>dat</w:t>
      </w:r>
      <w:r w:rsidRPr="00980815">
        <w:rPr>
          <w:lang w:val="fr-FR"/>
        </w:rPr>
        <w:t>, en y adhérant après son entrée en vigueur</w:t>
      </w:r>
      <w:r>
        <w:rPr>
          <w:lang w:val="fr-FR"/>
        </w:rPr>
        <w:t>.</w:t>
      </w:r>
    </w:p>
    <w:p w:rsidR="00DA1359" w:rsidRPr="00980815" w:rsidRDefault="00DA1359" w:rsidP="00DA1359">
      <w:pPr>
        <w:pStyle w:val="SingleTxtG"/>
        <w:rPr>
          <w:lang w:val="fr-FR"/>
        </w:rPr>
      </w:pPr>
      <w:r w:rsidRPr="00980815">
        <w:rPr>
          <w:lang w:val="fr-FR"/>
        </w:rPr>
        <w:t>3.</w:t>
      </w:r>
      <w:r w:rsidRPr="00980815">
        <w:rPr>
          <w:lang w:val="fr-FR"/>
        </w:rPr>
        <w:tab/>
        <w:t>La proposition n</w:t>
      </w:r>
      <w:r>
        <w:rPr>
          <w:lang w:val="fr-FR"/>
        </w:rPr>
        <w:t>’</w:t>
      </w:r>
      <w:r w:rsidRPr="00980815">
        <w:rPr>
          <w:lang w:val="fr-FR"/>
        </w:rPr>
        <w:t xml:space="preserve">a soulevé aucune objection. Le Groupe de travail a chargé le </w:t>
      </w:r>
      <w:r>
        <w:rPr>
          <w:lang w:val="fr-FR"/>
        </w:rPr>
        <w:t>secré</w:t>
      </w:r>
      <w:r w:rsidRPr="00980815">
        <w:rPr>
          <w:lang w:val="fr-FR"/>
        </w:rPr>
        <w:t>tariat de consulter à nouveau le Bureau des affaires juridiques du Secrétariat de l</w:t>
      </w:r>
      <w:r>
        <w:rPr>
          <w:lang w:val="fr-FR"/>
        </w:rPr>
        <w:t>’</w:t>
      </w:r>
      <w:r w:rsidRPr="00980815">
        <w:rPr>
          <w:lang w:val="fr-FR"/>
        </w:rPr>
        <w:t xml:space="preserve">ONU sur la </w:t>
      </w:r>
      <w:r>
        <w:rPr>
          <w:lang w:val="fr-FR"/>
        </w:rPr>
        <w:t>procé</w:t>
      </w:r>
      <w:r w:rsidRPr="00980815">
        <w:rPr>
          <w:lang w:val="fr-FR"/>
        </w:rPr>
        <w:t xml:space="preserve">dure à suivre et de </w:t>
      </w:r>
      <w:r>
        <w:rPr>
          <w:lang w:val="fr-FR"/>
        </w:rPr>
        <w:t>pré</w:t>
      </w:r>
      <w:r w:rsidRPr="00980815">
        <w:rPr>
          <w:lang w:val="fr-FR"/>
        </w:rPr>
        <w:t>senter un</w:t>
      </w:r>
      <w:r>
        <w:rPr>
          <w:lang w:val="fr-FR"/>
        </w:rPr>
        <w:t>e</w:t>
      </w:r>
      <w:r w:rsidRPr="00980815">
        <w:rPr>
          <w:lang w:val="fr-FR"/>
        </w:rPr>
        <w:t xml:space="preserve"> version </w:t>
      </w:r>
      <w:r>
        <w:rPr>
          <w:lang w:val="fr-FR"/>
        </w:rPr>
        <w:t xml:space="preserve">mise à jour </w:t>
      </w:r>
      <w:r w:rsidRPr="00980815">
        <w:rPr>
          <w:lang w:val="fr-FR"/>
        </w:rPr>
        <w:t xml:space="preserve">du document ECE/TRANS/2010/2 </w:t>
      </w:r>
      <w:r>
        <w:rPr>
          <w:lang w:val="fr-FR"/>
        </w:rPr>
        <w:t>à sa</w:t>
      </w:r>
      <w:r w:rsidRPr="00980815">
        <w:rPr>
          <w:lang w:val="fr-FR"/>
        </w:rPr>
        <w:t xml:space="preserve"> </w:t>
      </w:r>
      <w:r>
        <w:rPr>
          <w:lang w:val="fr-FR"/>
        </w:rPr>
        <w:t>104</w:t>
      </w:r>
      <w:r w:rsidRPr="00DA1359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980815">
        <w:rPr>
          <w:lang w:val="fr-FR"/>
        </w:rPr>
        <w:t>session.</w:t>
      </w:r>
    </w:p>
    <w:p w:rsidR="00DA1359" w:rsidRPr="00980815" w:rsidRDefault="00DA1359" w:rsidP="00DA1359">
      <w:pPr>
        <w:pStyle w:val="SingleTxtG"/>
        <w:rPr>
          <w:lang w:val="fr-FR"/>
        </w:rPr>
      </w:pPr>
      <w:r w:rsidRPr="00980815">
        <w:rPr>
          <w:lang w:val="fr-FR"/>
        </w:rPr>
        <w:t>4.</w:t>
      </w:r>
      <w:r w:rsidRPr="00980815">
        <w:rPr>
          <w:lang w:val="fr-FR"/>
        </w:rPr>
        <w:tab/>
        <w:t>Le secrétariat a donc consulté le Bureau des affaires juridiques, lequel a confirmé la solution déjà présentée dans le document ECE/TRANS/</w:t>
      </w:r>
      <w:r>
        <w:rPr>
          <w:lang w:val="fr-FR"/>
        </w:rPr>
        <w:t>2010/</w:t>
      </w:r>
      <w:r w:rsidR="00067CE9">
        <w:rPr>
          <w:lang w:val="fr-FR"/>
        </w:rPr>
        <w:t>2</w:t>
      </w:r>
      <w:r>
        <w:rPr>
          <w:lang w:val="fr-FR"/>
        </w:rPr>
        <w:t>, qui est décrite ci-après</w:t>
      </w:r>
      <w:r w:rsidRPr="00980815">
        <w:rPr>
          <w:lang w:val="fr-FR"/>
        </w:rPr>
        <w:t>.</w:t>
      </w:r>
    </w:p>
    <w:p w:rsidR="00DA1359" w:rsidRPr="001411D1" w:rsidRDefault="00DA1359" w:rsidP="00DA1359">
      <w:pPr>
        <w:pStyle w:val="SingleTxtG"/>
        <w:rPr>
          <w:lang w:val="fr-FR"/>
        </w:rPr>
      </w:pPr>
      <w:r w:rsidRPr="00503075">
        <w:rPr>
          <w:lang w:val="fr-FR"/>
        </w:rPr>
        <w:t>5.</w:t>
      </w:r>
      <w:r w:rsidRPr="00503075">
        <w:rPr>
          <w:lang w:val="fr-FR"/>
        </w:rPr>
        <w:tab/>
      </w:r>
      <w:r w:rsidRPr="001411D1">
        <w:rPr>
          <w:lang w:val="fr-FR"/>
        </w:rPr>
        <w:t>L</w:t>
      </w:r>
      <w:r>
        <w:rPr>
          <w:lang w:val="fr-FR"/>
        </w:rPr>
        <w:t>’</w:t>
      </w:r>
      <w:r w:rsidRPr="001411D1">
        <w:rPr>
          <w:lang w:val="fr-FR"/>
        </w:rPr>
        <w:t>article 13 de l</w:t>
      </w:r>
      <w:r>
        <w:rPr>
          <w:lang w:val="fr-FR"/>
        </w:rPr>
        <w:t>’</w:t>
      </w:r>
      <w:r w:rsidRPr="001411D1">
        <w:rPr>
          <w:lang w:val="fr-FR"/>
        </w:rPr>
        <w:t>ADR prévoit une procédure de révision permettant de modifier le texte de l</w:t>
      </w:r>
      <w:r>
        <w:rPr>
          <w:lang w:val="fr-FR"/>
        </w:rPr>
        <w:t>’</w:t>
      </w:r>
      <w:r w:rsidRPr="001411D1">
        <w:rPr>
          <w:lang w:val="fr-FR"/>
        </w:rPr>
        <w:t>ADR. Cette procédure nécessite l</w:t>
      </w:r>
      <w:r>
        <w:rPr>
          <w:lang w:val="fr-FR"/>
        </w:rPr>
        <w:t>’</w:t>
      </w:r>
      <w:r w:rsidRPr="001411D1">
        <w:rPr>
          <w:lang w:val="fr-FR"/>
        </w:rPr>
        <w:t>organisation d</w:t>
      </w:r>
      <w:r>
        <w:rPr>
          <w:lang w:val="fr-FR"/>
        </w:rPr>
        <w:t>’</w:t>
      </w:r>
      <w:r w:rsidRPr="001411D1">
        <w:rPr>
          <w:lang w:val="fr-FR"/>
        </w:rPr>
        <w:t>une conférence des parties, à la demande de l</w:t>
      </w:r>
      <w:r>
        <w:rPr>
          <w:lang w:val="fr-FR"/>
        </w:rPr>
        <w:t>’</w:t>
      </w:r>
      <w:r w:rsidRPr="001411D1">
        <w:rPr>
          <w:lang w:val="fr-FR"/>
        </w:rPr>
        <w:t>une d</w:t>
      </w:r>
      <w:r>
        <w:rPr>
          <w:lang w:val="fr-FR"/>
        </w:rPr>
        <w:t>’</w:t>
      </w:r>
      <w:r w:rsidRPr="001411D1">
        <w:rPr>
          <w:lang w:val="fr-FR"/>
        </w:rPr>
        <w:t>entre elles et après qu</w:t>
      </w:r>
      <w:r>
        <w:rPr>
          <w:lang w:val="fr-FR"/>
        </w:rPr>
        <w:t>’</w:t>
      </w:r>
      <w:r w:rsidRPr="001411D1">
        <w:rPr>
          <w:lang w:val="fr-FR"/>
        </w:rPr>
        <w:t>un quart au moins</w:t>
      </w:r>
      <w:r>
        <w:rPr>
          <w:lang w:val="fr-FR"/>
        </w:rPr>
        <w:t xml:space="preserve"> des Parties ont signifié leur </w:t>
      </w:r>
      <w:r w:rsidRPr="001411D1">
        <w:rPr>
          <w:lang w:val="fr-FR"/>
        </w:rPr>
        <w:t>assentiment. Le texte de l</w:t>
      </w:r>
      <w:r>
        <w:rPr>
          <w:lang w:val="fr-FR"/>
        </w:rPr>
        <w:t>’</w:t>
      </w:r>
      <w:r w:rsidRPr="001411D1">
        <w:rPr>
          <w:lang w:val="fr-FR"/>
        </w:rPr>
        <w:t>article 13 est reproduit ci-dessous</w:t>
      </w:r>
      <w:r>
        <w:rPr>
          <w:lang w:val="fr-FR"/>
        </w:rPr>
        <w:t> </w:t>
      </w:r>
      <w:r w:rsidRPr="001411D1">
        <w:rPr>
          <w:lang w:val="fr-FR"/>
        </w:rPr>
        <w:t>:</w:t>
      </w:r>
    </w:p>
    <w:p w:rsidR="00DA1359" w:rsidRPr="001411D1" w:rsidRDefault="00DA1359" w:rsidP="00DA1359">
      <w:pPr>
        <w:pStyle w:val="SingleTxtG"/>
        <w:ind w:left="1701"/>
        <w:rPr>
          <w:b/>
          <w:lang w:val="fr-FR"/>
        </w:rPr>
      </w:pPr>
      <w:r w:rsidRPr="00DA1359">
        <w:rPr>
          <w:lang w:val="fr-FR"/>
        </w:rPr>
        <w:t>« </w:t>
      </w:r>
      <w:r w:rsidRPr="001411D1">
        <w:rPr>
          <w:b/>
          <w:lang w:val="fr-FR"/>
        </w:rPr>
        <w:t>Article 13</w:t>
      </w:r>
    </w:p>
    <w:p w:rsidR="00DA1359" w:rsidRPr="001411D1" w:rsidRDefault="00DA1359" w:rsidP="00DA1359">
      <w:pPr>
        <w:pStyle w:val="SingleTxtG"/>
        <w:ind w:left="1701"/>
        <w:rPr>
          <w:lang w:val="fr-FR"/>
        </w:rPr>
      </w:pPr>
      <w:r w:rsidRPr="001411D1">
        <w:rPr>
          <w:lang w:val="fr-FR"/>
        </w:rPr>
        <w:t>1.</w:t>
      </w:r>
      <w:r w:rsidRPr="001411D1">
        <w:rPr>
          <w:lang w:val="fr-FR"/>
        </w:rPr>
        <w:tab/>
        <w:t xml:space="preserve">Après que le présent Accord aura été en vigueur pendant trois ans, toute Partie contractante pourra, par notification adressée au Secrétaire général de </w:t>
      </w:r>
      <w:r w:rsidRPr="001411D1">
        <w:rPr>
          <w:lang w:val="fr-FR"/>
        </w:rPr>
        <w:lastRenderedPageBreak/>
        <w:t>l</w:t>
      </w:r>
      <w:r>
        <w:rPr>
          <w:lang w:val="fr-FR"/>
        </w:rPr>
        <w:t xml:space="preserve">’Organisation des Nations </w:t>
      </w:r>
      <w:r w:rsidRPr="001411D1">
        <w:rPr>
          <w:lang w:val="fr-FR"/>
        </w:rPr>
        <w:t>Unies, demander la convocation d</w:t>
      </w:r>
      <w:r>
        <w:rPr>
          <w:lang w:val="fr-FR"/>
        </w:rPr>
        <w:t>’</w:t>
      </w:r>
      <w:r w:rsidRPr="001411D1">
        <w:rPr>
          <w:lang w:val="fr-FR"/>
        </w:rPr>
        <w:t>une conférence à l</w:t>
      </w:r>
      <w:r>
        <w:rPr>
          <w:lang w:val="fr-FR"/>
        </w:rPr>
        <w:t>’</w:t>
      </w:r>
      <w:r w:rsidRPr="001411D1">
        <w:rPr>
          <w:lang w:val="fr-FR"/>
        </w:rPr>
        <w:t>effet de réviser le texte de l</w:t>
      </w:r>
      <w:r>
        <w:rPr>
          <w:lang w:val="fr-FR"/>
        </w:rPr>
        <w:t>’</w:t>
      </w:r>
      <w:r w:rsidRPr="001411D1">
        <w:rPr>
          <w:lang w:val="fr-FR"/>
        </w:rPr>
        <w:t>Accord. Le Secrétaire général notifiera cette demande</w:t>
      </w:r>
      <w:r>
        <w:rPr>
          <w:lang w:val="fr-FR"/>
        </w:rPr>
        <w:t xml:space="preserve"> </w:t>
      </w:r>
      <w:r w:rsidRPr="001411D1">
        <w:rPr>
          <w:lang w:val="fr-FR"/>
        </w:rPr>
        <w:t>à toutes les Parties contractantes et convoquera une conférence de révision si, dans un délai de quatre mois à dater de la notification adressée par lui, le quart au moins des Parties contractantes lui signifient leur assentiment à cette demande.</w:t>
      </w:r>
    </w:p>
    <w:p w:rsidR="00DA1359" w:rsidRPr="001411D1" w:rsidRDefault="00DA1359" w:rsidP="00DA1359">
      <w:pPr>
        <w:pStyle w:val="SingleTxtG"/>
        <w:ind w:left="1701"/>
        <w:rPr>
          <w:lang w:val="fr-FR"/>
        </w:rPr>
      </w:pPr>
      <w:r w:rsidRPr="001411D1">
        <w:rPr>
          <w:lang w:val="fr-FR"/>
        </w:rPr>
        <w:t>2.</w:t>
      </w:r>
      <w:r w:rsidRPr="001411D1">
        <w:rPr>
          <w:lang w:val="fr-FR"/>
        </w:rPr>
        <w:tab/>
        <w:t>Si une conférence est convoquée conformément au paragraphe 1 du présent article, le Secrétaire général en avisera toutes les Parties contractantes et les invitera à présenter, dans un délai de trois mois, les propositions qu</w:t>
      </w:r>
      <w:r>
        <w:rPr>
          <w:lang w:val="fr-FR"/>
        </w:rPr>
        <w:t>’</w:t>
      </w:r>
      <w:r w:rsidRPr="001411D1">
        <w:rPr>
          <w:lang w:val="fr-FR"/>
        </w:rPr>
        <w:t>elles souhaiteraient voir examiner par la conférence. Le Secrétaire général communiquera à toutes les Parties contractantes l</w:t>
      </w:r>
      <w:r>
        <w:rPr>
          <w:lang w:val="fr-FR"/>
        </w:rPr>
        <w:t>’</w:t>
      </w:r>
      <w:r w:rsidRPr="001411D1">
        <w:rPr>
          <w:lang w:val="fr-FR"/>
        </w:rPr>
        <w:t>ordre du jour provisoire de la conférence ainsi que le texte de ces propositions, trois mois au moins avant la date d</w:t>
      </w:r>
      <w:r>
        <w:rPr>
          <w:lang w:val="fr-FR"/>
        </w:rPr>
        <w:t>’</w:t>
      </w:r>
      <w:r w:rsidRPr="001411D1">
        <w:rPr>
          <w:lang w:val="fr-FR"/>
        </w:rPr>
        <w:t>ouverture de la conférence.</w:t>
      </w:r>
    </w:p>
    <w:p w:rsidR="00DA1359" w:rsidRPr="001411D1" w:rsidRDefault="00DA1359" w:rsidP="00DA1359">
      <w:pPr>
        <w:pStyle w:val="SingleTxtG"/>
        <w:ind w:left="1701"/>
        <w:rPr>
          <w:lang w:val="fr-FR"/>
        </w:rPr>
      </w:pPr>
      <w:r w:rsidRPr="001411D1">
        <w:rPr>
          <w:lang w:val="fr-FR"/>
        </w:rPr>
        <w:t>3.</w:t>
      </w:r>
      <w:r w:rsidRPr="001411D1">
        <w:rPr>
          <w:lang w:val="fr-FR"/>
        </w:rPr>
        <w:tab/>
        <w:t>Le Secrétaire général invitera à toute conférence convoquée conformément au présent article tous les États visés au paragraphe 1 de l</w:t>
      </w:r>
      <w:r>
        <w:rPr>
          <w:lang w:val="fr-FR"/>
        </w:rPr>
        <w:t>’</w:t>
      </w:r>
      <w:r w:rsidRPr="001411D1">
        <w:rPr>
          <w:lang w:val="fr-FR"/>
        </w:rPr>
        <w:t>article 6, ainsi que les pays devenus Parties contractantes en application du paragraphe 2 de l</w:t>
      </w:r>
      <w:r>
        <w:rPr>
          <w:lang w:val="fr-FR"/>
        </w:rPr>
        <w:t>’article 6. ».</w:t>
      </w:r>
    </w:p>
    <w:p w:rsidR="00DA1359" w:rsidRPr="001411D1" w:rsidRDefault="00DA1359" w:rsidP="00DA1359">
      <w:pPr>
        <w:pStyle w:val="SingleTxtG"/>
        <w:rPr>
          <w:lang w:val="fr-FR"/>
        </w:rPr>
      </w:pPr>
      <w:r>
        <w:rPr>
          <w:lang w:val="fr-FR"/>
        </w:rPr>
        <w:t>6</w:t>
      </w:r>
      <w:r w:rsidRPr="001411D1">
        <w:rPr>
          <w:lang w:val="fr-FR"/>
        </w:rPr>
        <w:t>.</w:t>
      </w:r>
      <w:r w:rsidRPr="001411D1">
        <w:rPr>
          <w:lang w:val="fr-FR"/>
        </w:rPr>
        <w:tab/>
        <w:t>Dans le passé, les Parties à l</w:t>
      </w:r>
      <w:r>
        <w:rPr>
          <w:lang w:val="fr-FR"/>
        </w:rPr>
        <w:t>’</w:t>
      </w:r>
      <w:r w:rsidRPr="001411D1">
        <w:rPr>
          <w:lang w:val="fr-FR"/>
        </w:rPr>
        <w:t>ADR ont adopté des amendements au texte de l</w:t>
      </w:r>
      <w:r>
        <w:rPr>
          <w:lang w:val="fr-FR"/>
        </w:rPr>
        <w:t>’</w:t>
      </w:r>
      <w:r w:rsidRPr="001411D1">
        <w:rPr>
          <w:lang w:val="fr-FR"/>
        </w:rPr>
        <w:t>Accord en rédigeant des protocoles d</w:t>
      </w:r>
      <w:r>
        <w:rPr>
          <w:lang w:val="fr-FR"/>
        </w:rPr>
        <w:t>’</w:t>
      </w:r>
      <w:r w:rsidRPr="001411D1">
        <w:rPr>
          <w:lang w:val="fr-FR"/>
        </w:rPr>
        <w:t>amendement (deux en l</w:t>
      </w:r>
      <w:r>
        <w:rPr>
          <w:lang w:val="fr-FR"/>
        </w:rPr>
        <w:t>’</w:t>
      </w:r>
      <w:r w:rsidRPr="001411D1">
        <w:rPr>
          <w:lang w:val="fr-FR"/>
        </w:rPr>
        <w:t>occurrence, dont l</w:t>
      </w:r>
      <w:r>
        <w:rPr>
          <w:lang w:val="fr-FR"/>
        </w:rPr>
        <w:t>’</w:t>
      </w:r>
      <w:r w:rsidRPr="001411D1">
        <w:rPr>
          <w:lang w:val="fr-FR"/>
        </w:rPr>
        <w:t>un n</w:t>
      </w:r>
      <w:r>
        <w:rPr>
          <w:lang w:val="fr-FR"/>
        </w:rPr>
        <w:t>’</w:t>
      </w:r>
      <w:r w:rsidRPr="001411D1">
        <w:rPr>
          <w:lang w:val="fr-FR"/>
        </w:rPr>
        <w:t>est pas encore entré en vigueur). Comme les conditions régissant l</w:t>
      </w:r>
      <w:r>
        <w:rPr>
          <w:lang w:val="fr-FR"/>
        </w:rPr>
        <w:t>’</w:t>
      </w:r>
      <w:r w:rsidRPr="001411D1">
        <w:rPr>
          <w:lang w:val="fr-FR"/>
        </w:rPr>
        <w:t>entrée en vigueur des amendements ne sont pas indiquées dans l</w:t>
      </w:r>
      <w:r>
        <w:rPr>
          <w:lang w:val="fr-FR"/>
        </w:rPr>
        <w:t>’</w:t>
      </w:r>
      <w:r w:rsidRPr="001411D1">
        <w:rPr>
          <w:lang w:val="fr-FR"/>
        </w:rPr>
        <w:t>ADR, les Parties peuvent décider de mettre en place une méthode d</w:t>
      </w:r>
      <w:r>
        <w:rPr>
          <w:lang w:val="fr-FR"/>
        </w:rPr>
        <w:t>’</w:t>
      </w:r>
      <w:r w:rsidRPr="001411D1">
        <w:rPr>
          <w:lang w:val="fr-FR"/>
        </w:rPr>
        <w:t>acceptation de l</w:t>
      </w:r>
      <w:r>
        <w:rPr>
          <w:lang w:val="fr-FR"/>
        </w:rPr>
        <w:t>’</w:t>
      </w:r>
      <w:r w:rsidRPr="001411D1">
        <w:rPr>
          <w:lang w:val="fr-FR"/>
        </w:rPr>
        <w:t>entrée en vigueur fondée sur le principe de la non-objection. Compte tenu du type d</w:t>
      </w:r>
      <w:r>
        <w:rPr>
          <w:lang w:val="fr-FR"/>
        </w:rPr>
        <w:t>’</w:t>
      </w:r>
      <w:r w:rsidRPr="001411D1">
        <w:rPr>
          <w:lang w:val="fr-FR"/>
        </w:rPr>
        <w:t>amendement concerné et dans un souci de clarté, il serait souhaitable de préciser que l</w:t>
      </w:r>
      <w:r>
        <w:rPr>
          <w:lang w:val="fr-FR"/>
        </w:rPr>
        <w:t>’</w:t>
      </w:r>
      <w:r w:rsidRPr="001411D1">
        <w:rPr>
          <w:lang w:val="fr-FR"/>
        </w:rPr>
        <w:t>amendement, une fois en vigueur, aura force contraignante pour toutes les parties et que tout État devenant Partie contractante, après que les conditions fixées pour l</w:t>
      </w:r>
      <w:r>
        <w:rPr>
          <w:lang w:val="fr-FR"/>
        </w:rPr>
        <w:t>’</w:t>
      </w:r>
      <w:r w:rsidRPr="001411D1">
        <w:rPr>
          <w:lang w:val="fr-FR"/>
        </w:rPr>
        <w:t>entrée en vigueur de l</w:t>
      </w:r>
      <w:r>
        <w:rPr>
          <w:lang w:val="fr-FR"/>
        </w:rPr>
        <w:t>’</w:t>
      </w:r>
      <w:r w:rsidRPr="001411D1">
        <w:rPr>
          <w:lang w:val="fr-FR"/>
        </w:rPr>
        <w:t>amendement auront été réunies, sera considéré comme Partie à l</w:t>
      </w:r>
      <w:r>
        <w:rPr>
          <w:lang w:val="fr-FR"/>
        </w:rPr>
        <w:t>’</w:t>
      </w:r>
      <w:r w:rsidRPr="001411D1">
        <w:rPr>
          <w:lang w:val="fr-FR"/>
        </w:rPr>
        <w:t>Accord tel que modifié par le Protocole.</w:t>
      </w:r>
    </w:p>
    <w:p w:rsidR="00DA1359" w:rsidRPr="001411D1" w:rsidRDefault="00DA1359" w:rsidP="00DA1359">
      <w:pPr>
        <w:pStyle w:val="SingleTxtG"/>
        <w:rPr>
          <w:lang w:val="fr-FR"/>
        </w:rPr>
      </w:pPr>
      <w:r>
        <w:rPr>
          <w:lang w:val="fr-FR"/>
        </w:rPr>
        <w:t>7</w:t>
      </w:r>
      <w:r w:rsidRPr="001411D1">
        <w:rPr>
          <w:lang w:val="fr-FR"/>
        </w:rPr>
        <w:t>.</w:t>
      </w:r>
      <w:r w:rsidRPr="001411D1">
        <w:rPr>
          <w:lang w:val="fr-FR"/>
        </w:rPr>
        <w:tab/>
        <w:t>Au cas où les Parties décideraient de mettre à exécution leur projet d</w:t>
      </w:r>
      <w:r>
        <w:rPr>
          <w:lang w:val="fr-FR"/>
        </w:rPr>
        <w:t>’</w:t>
      </w:r>
      <w:r w:rsidRPr="001411D1">
        <w:rPr>
          <w:lang w:val="fr-FR"/>
        </w:rPr>
        <w:t>amendement, le Bureau des affaires juridiques est à leur disposition pour examiner le projet avant son adoption.</w:t>
      </w:r>
    </w:p>
    <w:p w:rsidR="00DA1359" w:rsidRPr="001411D1" w:rsidRDefault="00DA1359" w:rsidP="00DA1359">
      <w:pPr>
        <w:pStyle w:val="SingleTxtG"/>
        <w:rPr>
          <w:lang w:val="fr-FR"/>
        </w:rPr>
      </w:pPr>
      <w:r>
        <w:rPr>
          <w:lang w:val="fr-FR"/>
        </w:rPr>
        <w:t>8</w:t>
      </w:r>
      <w:r w:rsidRPr="001411D1">
        <w:rPr>
          <w:lang w:val="fr-FR"/>
        </w:rPr>
        <w:t>.</w:t>
      </w:r>
      <w:r w:rsidRPr="001411D1">
        <w:rPr>
          <w:lang w:val="fr-FR"/>
        </w:rPr>
        <w:tab/>
        <w:t>Le secrétariat tien</w:t>
      </w:r>
      <w:r>
        <w:rPr>
          <w:lang w:val="fr-FR"/>
        </w:rPr>
        <w:t xml:space="preserve">t à rappeler au Comité que les </w:t>
      </w:r>
      <w:r w:rsidRPr="001411D1">
        <w:rPr>
          <w:lang w:val="fr-FR"/>
        </w:rPr>
        <w:t>5</w:t>
      </w:r>
      <w:r>
        <w:rPr>
          <w:lang w:val="fr-FR"/>
        </w:rPr>
        <w:t>0</w:t>
      </w:r>
      <w:r w:rsidRPr="001411D1">
        <w:rPr>
          <w:lang w:val="fr-FR"/>
        </w:rPr>
        <w:t xml:space="preserve"> pays ci-après sont actuellement Parties à l</w:t>
      </w:r>
      <w:r>
        <w:rPr>
          <w:lang w:val="fr-FR"/>
        </w:rPr>
        <w:t>’</w:t>
      </w:r>
      <w:r w:rsidRPr="001411D1">
        <w:rPr>
          <w:lang w:val="fr-FR"/>
        </w:rPr>
        <w:t>ADR</w:t>
      </w:r>
      <w:r w:rsidR="002F0A43">
        <w:rPr>
          <w:lang w:val="fr-FR"/>
        </w:rPr>
        <w:t> </w:t>
      </w:r>
      <w:r w:rsidRPr="001411D1">
        <w:rPr>
          <w:lang w:val="fr-FR"/>
        </w:rPr>
        <w:t>: Albanie, Allemagne, Andorre, Autriche, Azerbaïdjan, Bélarus, Belgique, Bosnie-Herzégovine, Bulgarie, Chypre, Croatie, Danemark, Espagne, Estonie, ex</w:t>
      </w:r>
      <w:r>
        <w:rPr>
          <w:lang w:val="fr-FR"/>
        </w:rPr>
        <w:noBreakHyphen/>
      </w:r>
      <w:r w:rsidRPr="001411D1">
        <w:rPr>
          <w:lang w:val="fr-FR"/>
        </w:rPr>
        <w:t xml:space="preserve">République yougoslave de Macédoine, Fédération de Russie, Finlande, France, </w:t>
      </w:r>
      <w:r>
        <w:rPr>
          <w:lang w:val="fr-FR"/>
        </w:rPr>
        <w:t xml:space="preserve">Géorgie, </w:t>
      </w:r>
      <w:r w:rsidRPr="001411D1">
        <w:rPr>
          <w:lang w:val="fr-FR"/>
        </w:rPr>
        <w:t xml:space="preserve">Grèce, Hongrie, Irlande, </w:t>
      </w:r>
      <w:r>
        <w:rPr>
          <w:lang w:val="fr-FR"/>
        </w:rPr>
        <w:t xml:space="preserve">Islande, </w:t>
      </w:r>
      <w:r w:rsidRPr="001411D1">
        <w:rPr>
          <w:lang w:val="fr-FR"/>
        </w:rPr>
        <w:t>Italie, Kazakhstan, Lettonie, Liechtenstein, Lituanie, Luxembourg, Malte, Maroc, Monténégro, Norvège, Pays-Bas, Pologne, Portugal, République de Moldova, République tchèque, Roumanie, Royaume-Uni de Grande-Bretagne et d</w:t>
      </w:r>
      <w:r>
        <w:rPr>
          <w:lang w:val="fr-FR"/>
        </w:rPr>
        <w:t>’</w:t>
      </w:r>
      <w:r w:rsidRPr="001411D1">
        <w:rPr>
          <w:lang w:val="fr-FR"/>
        </w:rPr>
        <w:t xml:space="preserve">Irlande du Nord, </w:t>
      </w:r>
      <w:r w:rsidR="00067CE9">
        <w:rPr>
          <w:lang w:val="fr-FR"/>
        </w:rPr>
        <w:t xml:space="preserve">Saint-Marin, </w:t>
      </w:r>
      <w:r w:rsidRPr="001411D1">
        <w:rPr>
          <w:lang w:val="fr-FR"/>
        </w:rPr>
        <w:t xml:space="preserve">Serbie, Slovaquie, Slovénie, Suède, Suisse, </w:t>
      </w:r>
      <w:r>
        <w:rPr>
          <w:lang w:val="fr-FR"/>
        </w:rPr>
        <w:t xml:space="preserve">Tadjikistan, </w:t>
      </w:r>
      <w:r w:rsidRPr="001411D1">
        <w:rPr>
          <w:lang w:val="fr-FR"/>
        </w:rPr>
        <w:t>Tunisie</w:t>
      </w:r>
      <w:r>
        <w:rPr>
          <w:lang w:val="fr-FR"/>
        </w:rPr>
        <w:t>, Turquie</w:t>
      </w:r>
      <w:r w:rsidRPr="001411D1">
        <w:rPr>
          <w:lang w:val="fr-FR"/>
        </w:rPr>
        <w:t xml:space="preserve"> et Ukraine. </w:t>
      </w:r>
    </w:p>
    <w:p w:rsidR="00DA1359" w:rsidRPr="00503075" w:rsidRDefault="00DA1359" w:rsidP="00DA1359">
      <w:pPr>
        <w:pStyle w:val="SingleTxtG"/>
        <w:rPr>
          <w:lang w:val="fr-FR"/>
        </w:rPr>
      </w:pPr>
      <w:r w:rsidRPr="00503075">
        <w:rPr>
          <w:lang w:val="fr-FR"/>
        </w:rPr>
        <w:t>9.</w:t>
      </w:r>
      <w:r w:rsidRPr="00503075">
        <w:rPr>
          <w:lang w:val="fr-FR"/>
        </w:rPr>
        <w:tab/>
        <w:t>Pour l</w:t>
      </w:r>
      <w:r>
        <w:rPr>
          <w:lang w:val="fr-FR"/>
        </w:rPr>
        <w:t>’</w:t>
      </w:r>
      <w:r w:rsidRPr="00503075">
        <w:rPr>
          <w:lang w:val="fr-FR"/>
        </w:rPr>
        <w:t>ONU, l</w:t>
      </w:r>
      <w:r>
        <w:rPr>
          <w:lang w:val="fr-FR"/>
        </w:rPr>
        <w:t>’</w:t>
      </w:r>
      <w:r w:rsidRPr="00503075">
        <w:rPr>
          <w:lang w:val="fr-FR"/>
        </w:rPr>
        <w:t xml:space="preserve">ADR fait partie des principaux instruments juridiques qui devraient permettre de lutter contre la crise de la sécurité routière. </w:t>
      </w:r>
      <w:r>
        <w:rPr>
          <w:lang w:val="fr-FR"/>
        </w:rPr>
        <w:t>Du reste, un certain nombre d’États non membres de la CEE se sont déclarés intéressés par une adhésion à cet Accord.</w:t>
      </w:r>
    </w:p>
    <w:p w:rsidR="00DA1359" w:rsidRPr="00EA2E54" w:rsidRDefault="00DA1359" w:rsidP="00DA1359">
      <w:pPr>
        <w:pStyle w:val="SingleTxtG"/>
        <w:rPr>
          <w:lang w:val="fr-FR"/>
        </w:rPr>
      </w:pPr>
      <w:r w:rsidRPr="00503075">
        <w:rPr>
          <w:lang w:val="fr-FR"/>
        </w:rPr>
        <w:t>10.</w:t>
      </w:r>
      <w:r w:rsidRPr="00503075">
        <w:rPr>
          <w:lang w:val="fr-FR"/>
        </w:rPr>
        <w:tab/>
        <w:t xml:space="preserve">Les auteurs de la Résolution ministérielle ayant pour </w:t>
      </w:r>
      <w:r>
        <w:rPr>
          <w:lang w:val="fr-FR"/>
        </w:rPr>
        <w:t>thè</w:t>
      </w:r>
      <w:r w:rsidR="002F0A43">
        <w:rPr>
          <w:lang w:val="fr-FR"/>
        </w:rPr>
        <w:t>me « </w:t>
      </w:r>
      <w:r>
        <w:rPr>
          <w:lang w:val="fr-FR"/>
        </w:rPr>
        <w:t>embrasser</w:t>
      </w:r>
      <w:r w:rsidRPr="00503075">
        <w:rPr>
          <w:lang w:val="fr-FR"/>
        </w:rPr>
        <w:t xml:space="preserve"> l</w:t>
      </w:r>
      <w:r>
        <w:rPr>
          <w:lang w:val="fr-FR"/>
        </w:rPr>
        <w:t>’ère</w:t>
      </w:r>
      <w:r w:rsidRPr="00503075">
        <w:rPr>
          <w:lang w:val="fr-FR"/>
        </w:rPr>
        <w:t xml:space="preserve"> nouvelle de la viabilité des transports intérieurs et de la mobilité</w:t>
      </w:r>
      <w:r>
        <w:rPr>
          <w:lang w:val="fr-FR"/>
        </w:rPr>
        <w:t> », adoptée le</w:t>
      </w:r>
      <w:r w:rsidRPr="00503075">
        <w:rPr>
          <w:lang w:val="fr-FR"/>
        </w:rPr>
        <w:t xml:space="preserve"> 21</w:t>
      </w:r>
      <w:r>
        <w:rPr>
          <w:lang w:val="fr-FR"/>
        </w:rPr>
        <w:t xml:space="preserve"> février </w:t>
      </w:r>
      <w:r w:rsidRPr="00503075">
        <w:rPr>
          <w:lang w:val="fr-FR"/>
        </w:rPr>
        <w:t>2017</w:t>
      </w:r>
      <w:r>
        <w:rPr>
          <w:lang w:val="fr-FR"/>
        </w:rPr>
        <w:t>, ont conçu le dessein de faire du Comité des transports intérieurs le centre régional et mondial des conventions concer</w:t>
      </w:r>
      <w:r w:rsidR="002F0A43">
        <w:rPr>
          <w:lang w:val="fr-FR"/>
        </w:rPr>
        <w:t>nant les transports intérieurs.</w:t>
      </w:r>
    </w:p>
    <w:p w:rsidR="00DA1359" w:rsidRPr="00DA1359" w:rsidRDefault="00DA1359" w:rsidP="00DA1359">
      <w:pPr>
        <w:pStyle w:val="SingleTxtG"/>
        <w:rPr>
          <w:lang w:val="fr-FR"/>
        </w:rPr>
      </w:pPr>
      <w:r w:rsidRPr="00503075">
        <w:rPr>
          <w:lang w:val="fr-FR"/>
        </w:rPr>
        <w:t>11.</w:t>
      </w:r>
      <w:r w:rsidRPr="00503075">
        <w:rPr>
          <w:lang w:val="fr-FR"/>
        </w:rPr>
        <w:tab/>
      </w:r>
      <w:r w:rsidRPr="00DA1359">
        <w:rPr>
          <w:lang w:val="fr-FR"/>
        </w:rPr>
        <w:t>Par conséquent, pour qu’une conférence d’examen soit convoquée, il faudrait tout d’abord qu’une Partie en fasse la demande, puis qu’un quart au moins des Parties (à</w:t>
      </w:r>
      <w:r>
        <w:rPr>
          <w:lang w:val="fr-FR"/>
        </w:rPr>
        <w:t> </w:t>
      </w:r>
      <w:r w:rsidRPr="00DA1359">
        <w:rPr>
          <w:lang w:val="fr-FR"/>
        </w:rPr>
        <w:t>savoir</w:t>
      </w:r>
      <w:r>
        <w:rPr>
          <w:lang w:val="fr-FR"/>
        </w:rPr>
        <w:t> </w:t>
      </w:r>
      <w:r w:rsidRPr="00DA1359">
        <w:rPr>
          <w:lang w:val="fr-FR"/>
        </w:rPr>
        <w:t>13) signifient leur assentiment à cette demande.</w:t>
      </w:r>
    </w:p>
    <w:p w:rsidR="00DA1359" w:rsidRPr="001411D1" w:rsidRDefault="00DA1359" w:rsidP="00DA1359">
      <w:pPr>
        <w:pStyle w:val="SingleTxtG"/>
        <w:rPr>
          <w:lang w:val="fr-FR"/>
        </w:rPr>
      </w:pPr>
      <w:r w:rsidRPr="00503075">
        <w:rPr>
          <w:lang w:val="fr-FR"/>
        </w:rPr>
        <w:t>12.</w:t>
      </w:r>
      <w:r w:rsidRPr="00503075">
        <w:rPr>
          <w:lang w:val="fr-FR"/>
        </w:rPr>
        <w:tab/>
      </w:r>
      <w:r>
        <w:rPr>
          <w:lang w:val="fr-FR"/>
        </w:rPr>
        <w:t>Le</w:t>
      </w:r>
      <w:r w:rsidRPr="001411D1">
        <w:rPr>
          <w:lang w:val="fr-FR"/>
        </w:rPr>
        <w:t xml:space="preserve"> Protocole d</w:t>
      </w:r>
      <w:r>
        <w:rPr>
          <w:lang w:val="fr-FR"/>
        </w:rPr>
        <w:t>’</w:t>
      </w:r>
      <w:r w:rsidRPr="001411D1">
        <w:rPr>
          <w:lang w:val="fr-FR"/>
        </w:rPr>
        <w:t>amendement à l</w:t>
      </w:r>
      <w:r>
        <w:rPr>
          <w:lang w:val="fr-FR"/>
        </w:rPr>
        <w:t>’</w:t>
      </w:r>
      <w:r w:rsidRPr="001411D1">
        <w:rPr>
          <w:lang w:val="fr-FR"/>
        </w:rPr>
        <w:t>ADR de 1993 a montré que lorsque les conditions d</w:t>
      </w:r>
      <w:r>
        <w:rPr>
          <w:lang w:val="fr-FR"/>
        </w:rPr>
        <w:t>’</w:t>
      </w:r>
      <w:r w:rsidRPr="001411D1">
        <w:rPr>
          <w:lang w:val="fr-FR"/>
        </w:rPr>
        <w:t>entrée en vigueur imposaient le dépôt d</w:t>
      </w:r>
      <w:r>
        <w:rPr>
          <w:lang w:val="fr-FR"/>
        </w:rPr>
        <w:t>’</w:t>
      </w:r>
      <w:r w:rsidRPr="001411D1">
        <w:rPr>
          <w:lang w:val="fr-FR"/>
        </w:rPr>
        <w:t>un instrument de signature définitive, ou de ratification, d</w:t>
      </w:r>
      <w:r>
        <w:rPr>
          <w:lang w:val="fr-FR"/>
        </w:rPr>
        <w:t>’</w:t>
      </w:r>
      <w:r w:rsidRPr="001411D1">
        <w:rPr>
          <w:lang w:val="fr-FR"/>
        </w:rPr>
        <w:t>acceptation ou d</w:t>
      </w:r>
      <w:r>
        <w:rPr>
          <w:lang w:val="fr-FR"/>
        </w:rPr>
        <w:t>’</w:t>
      </w:r>
      <w:r w:rsidRPr="001411D1">
        <w:rPr>
          <w:lang w:val="fr-FR"/>
        </w:rPr>
        <w:t>approbation, ou d</w:t>
      </w:r>
      <w:r>
        <w:rPr>
          <w:lang w:val="fr-FR"/>
        </w:rPr>
        <w:t>’</w:t>
      </w:r>
      <w:r w:rsidRPr="001411D1">
        <w:rPr>
          <w:lang w:val="fr-FR"/>
        </w:rPr>
        <w:t>adhésion</w:t>
      </w:r>
      <w:r>
        <w:rPr>
          <w:lang w:val="fr-FR"/>
        </w:rPr>
        <w:t xml:space="preserve"> </w:t>
      </w:r>
      <w:r w:rsidRPr="001411D1">
        <w:rPr>
          <w:lang w:val="fr-FR"/>
        </w:rPr>
        <w:t>par toutes les Parties à l</w:t>
      </w:r>
      <w:r>
        <w:rPr>
          <w:lang w:val="fr-FR"/>
        </w:rPr>
        <w:t>’</w:t>
      </w:r>
      <w:r w:rsidRPr="001411D1">
        <w:rPr>
          <w:lang w:val="fr-FR"/>
        </w:rPr>
        <w:t>ADR, et qu</w:t>
      </w:r>
      <w:r>
        <w:rPr>
          <w:lang w:val="fr-FR"/>
        </w:rPr>
        <w:t>’</w:t>
      </w:r>
      <w:r w:rsidRPr="001411D1">
        <w:rPr>
          <w:lang w:val="fr-FR"/>
        </w:rPr>
        <w:t>elles n</w:t>
      </w:r>
      <w:r>
        <w:rPr>
          <w:lang w:val="fr-FR"/>
        </w:rPr>
        <w:t>’</w:t>
      </w:r>
      <w:r w:rsidRPr="001411D1">
        <w:rPr>
          <w:lang w:val="fr-FR"/>
        </w:rPr>
        <w:t>avaient pas encore été remplies, une méthode d</w:t>
      </w:r>
      <w:r>
        <w:rPr>
          <w:lang w:val="fr-FR"/>
        </w:rPr>
        <w:t>’</w:t>
      </w:r>
      <w:r w:rsidRPr="001411D1">
        <w:rPr>
          <w:lang w:val="fr-FR"/>
        </w:rPr>
        <w:t>acceptation de l</w:t>
      </w:r>
      <w:r>
        <w:rPr>
          <w:lang w:val="fr-FR"/>
        </w:rPr>
        <w:t>’</w:t>
      </w:r>
      <w:r w:rsidRPr="001411D1">
        <w:rPr>
          <w:lang w:val="fr-FR"/>
        </w:rPr>
        <w:t>entrée en vigueur fondée sur le principe de la non-objection semblait effectivement plus efficace. Néanmoins, une telle méthode ne peut être envisagée que s</w:t>
      </w:r>
      <w:r>
        <w:rPr>
          <w:lang w:val="fr-FR"/>
        </w:rPr>
        <w:t>’</w:t>
      </w:r>
      <w:r w:rsidRPr="001411D1">
        <w:rPr>
          <w:lang w:val="fr-FR"/>
        </w:rPr>
        <w:t>il existe suffisamment de preuves permettant d</w:t>
      </w:r>
      <w:r>
        <w:rPr>
          <w:lang w:val="fr-FR"/>
        </w:rPr>
        <w:t>’</w:t>
      </w:r>
      <w:r w:rsidRPr="001411D1">
        <w:rPr>
          <w:lang w:val="fr-FR"/>
        </w:rPr>
        <w:t>affirmer qu</w:t>
      </w:r>
      <w:r>
        <w:rPr>
          <w:lang w:val="fr-FR"/>
        </w:rPr>
        <w:t>’</w:t>
      </w:r>
      <w:r w:rsidRPr="001411D1">
        <w:rPr>
          <w:lang w:val="fr-FR"/>
        </w:rPr>
        <w:t>aucune Partie ne formulerait d</w:t>
      </w:r>
      <w:r>
        <w:rPr>
          <w:lang w:val="fr-FR"/>
        </w:rPr>
        <w:t>’</w:t>
      </w:r>
      <w:r w:rsidRPr="001411D1">
        <w:rPr>
          <w:lang w:val="fr-FR"/>
        </w:rPr>
        <w:t>objection à l</w:t>
      </w:r>
      <w:r>
        <w:rPr>
          <w:lang w:val="fr-FR"/>
        </w:rPr>
        <w:t>’</w:t>
      </w:r>
      <w:r w:rsidRPr="001411D1">
        <w:rPr>
          <w:lang w:val="fr-FR"/>
        </w:rPr>
        <w:t>encontre de l</w:t>
      </w:r>
      <w:r>
        <w:rPr>
          <w:lang w:val="fr-FR"/>
        </w:rPr>
        <w:t>’</w:t>
      </w:r>
      <w:r w:rsidRPr="001411D1">
        <w:rPr>
          <w:lang w:val="fr-FR"/>
        </w:rPr>
        <w:t xml:space="preserve">amendement. </w:t>
      </w:r>
    </w:p>
    <w:p w:rsidR="00DA1359" w:rsidRPr="009E3930" w:rsidRDefault="00DA1359" w:rsidP="00DA1359">
      <w:pPr>
        <w:pStyle w:val="SingleTxtG"/>
        <w:rPr>
          <w:lang w:val="fr-FR"/>
        </w:rPr>
      </w:pPr>
      <w:r w:rsidRPr="009E3930">
        <w:rPr>
          <w:lang w:val="fr-FR"/>
        </w:rPr>
        <w:lastRenderedPageBreak/>
        <w:t>13.</w:t>
      </w:r>
      <w:r w:rsidRPr="009E3930">
        <w:rPr>
          <w:lang w:val="fr-FR"/>
        </w:rPr>
        <w:tab/>
        <w:t>A la 104</w:t>
      </w:r>
      <w:r w:rsidRPr="00DA1359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9E3930">
        <w:rPr>
          <w:lang w:val="fr-FR"/>
        </w:rPr>
        <w:t>session du Groupe de travail, les Parties contractantes à l</w:t>
      </w:r>
      <w:r>
        <w:rPr>
          <w:lang w:val="fr-FR"/>
        </w:rPr>
        <w:t>’</w:t>
      </w:r>
      <w:r w:rsidRPr="009E3930">
        <w:rPr>
          <w:lang w:val="fr-FR"/>
        </w:rPr>
        <w:t>ADR souhaiteront sans doute se demander si ell</w:t>
      </w:r>
      <w:r>
        <w:rPr>
          <w:lang w:val="fr-FR"/>
        </w:rPr>
        <w:t>e</w:t>
      </w:r>
      <w:r w:rsidRPr="009E3930">
        <w:rPr>
          <w:lang w:val="fr-FR"/>
        </w:rPr>
        <w:t>s accepteraient en principe de convoquer une</w:t>
      </w:r>
      <w:r>
        <w:rPr>
          <w:lang w:val="fr-FR"/>
        </w:rPr>
        <w:t xml:space="preserve"> conférence spéciale, une session extraordinaire qui se tiendrait pendant le Comité des transports intérieurs en février 2019 ou encore une conférence qui se tiendrait pendant la 106</w:t>
      </w:r>
      <w:r w:rsidRPr="00067CE9">
        <w:rPr>
          <w:vertAlign w:val="superscript"/>
          <w:lang w:val="fr-FR"/>
        </w:rPr>
        <w:t>e</w:t>
      </w:r>
      <w:r w:rsidR="00067CE9">
        <w:rPr>
          <w:lang w:val="fr-FR"/>
        </w:rPr>
        <w:t> </w:t>
      </w:r>
      <w:r w:rsidRPr="009E3930">
        <w:rPr>
          <w:lang w:val="fr-FR"/>
        </w:rPr>
        <w:t xml:space="preserve">session </w:t>
      </w:r>
      <w:r>
        <w:rPr>
          <w:lang w:val="fr-FR"/>
        </w:rPr>
        <w:t>du Groupe de travail, en mai 2019</w:t>
      </w:r>
      <w:r w:rsidRPr="009E3930">
        <w:rPr>
          <w:lang w:val="fr-FR"/>
        </w:rPr>
        <w:t xml:space="preserve">. </w:t>
      </w:r>
    </w:p>
    <w:p w:rsidR="00F9573C" w:rsidRDefault="00DA1359" w:rsidP="00DA1359">
      <w:pPr>
        <w:pStyle w:val="SingleTxtG"/>
        <w:rPr>
          <w:lang w:val="fr-FR"/>
        </w:rPr>
      </w:pPr>
      <w:r w:rsidRPr="009E3930">
        <w:rPr>
          <w:lang w:val="fr-FR"/>
        </w:rPr>
        <w:t>14.</w:t>
      </w:r>
      <w:r w:rsidRPr="009E3930">
        <w:rPr>
          <w:lang w:val="fr-FR"/>
        </w:rPr>
        <w:tab/>
        <w:t xml:space="preserve">Le secrétariat établira un projet de texte du </w:t>
      </w:r>
      <w:r w:rsidR="00067CE9">
        <w:rPr>
          <w:lang w:val="fr-FR"/>
        </w:rPr>
        <w:t>p</w:t>
      </w:r>
      <w:r w:rsidRPr="009E3930">
        <w:rPr>
          <w:lang w:val="fr-FR"/>
        </w:rPr>
        <w:t>rotocole d</w:t>
      </w:r>
      <w:r>
        <w:rPr>
          <w:lang w:val="fr-FR"/>
        </w:rPr>
        <w:t>’</w:t>
      </w:r>
      <w:r w:rsidRPr="009E3930">
        <w:rPr>
          <w:lang w:val="fr-FR"/>
        </w:rPr>
        <w:t>amendement, dans l</w:t>
      </w:r>
      <w:r>
        <w:rPr>
          <w:lang w:val="fr-FR"/>
        </w:rPr>
        <w:t>’esprit</w:t>
      </w:r>
      <w:r w:rsidRPr="009E3930">
        <w:rPr>
          <w:lang w:val="fr-FR"/>
        </w:rPr>
        <w:t xml:space="preserve"> du paragraphe 6 ci-dessus et, en concertation avec le Bureau des affaires juridiques</w:t>
      </w:r>
      <w:r>
        <w:rPr>
          <w:lang w:val="fr-FR"/>
        </w:rPr>
        <w:t>.</w:t>
      </w:r>
      <w:r w:rsidRPr="009E3930">
        <w:rPr>
          <w:lang w:val="fr-FR"/>
        </w:rPr>
        <w:t xml:space="preserve"> Dans un premier temps, ce projet de texte sera distribué pendant la session pour examen en vue de convoquer une</w:t>
      </w:r>
      <w:r>
        <w:rPr>
          <w:lang w:val="fr-FR"/>
        </w:rPr>
        <w:t xml:space="preserve"> Confé</w:t>
      </w:r>
      <w:r w:rsidRPr="009E3930">
        <w:rPr>
          <w:lang w:val="fr-FR"/>
        </w:rPr>
        <w:t xml:space="preserve">rence </w:t>
      </w:r>
      <w:r>
        <w:rPr>
          <w:lang w:val="fr-FR"/>
        </w:rPr>
        <w:t xml:space="preserve">des </w:t>
      </w:r>
      <w:r w:rsidRPr="009E3930">
        <w:rPr>
          <w:lang w:val="fr-FR"/>
        </w:rPr>
        <w:t>Parties.</w:t>
      </w:r>
    </w:p>
    <w:p w:rsidR="00DA1359" w:rsidRPr="00DA1359" w:rsidRDefault="00DA1359" w:rsidP="00DA135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1359" w:rsidRPr="00DA1359" w:rsidSect="00DA13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03A" w:rsidRDefault="00B0303A" w:rsidP="00F95C08">
      <w:pPr>
        <w:spacing w:line="240" w:lineRule="auto"/>
      </w:pPr>
    </w:p>
  </w:endnote>
  <w:endnote w:type="continuationSeparator" w:id="0">
    <w:p w:rsidR="00B0303A" w:rsidRPr="00AC3823" w:rsidRDefault="00B0303A" w:rsidP="00AC3823">
      <w:pPr>
        <w:pStyle w:val="Footer"/>
      </w:pPr>
    </w:p>
  </w:endnote>
  <w:endnote w:type="continuationNotice" w:id="1">
    <w:p w:rsidR="00B0303A" w:rsidRDefault="00B030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59" w:rsidRPr="00DA1359" w:rsidRDefault="00DA1359" w:rsidP="00DA1359">
    <w:pPr>
      <w:pStyle w:val="Footer"/>
      <w:tabs>
        <w:tab w:val="right" w:pos="9638"/>
      </w:tabs>
    </w:pPr>
    <w:r w:rsidRPr="00DA1359">
      <w:rPr>
        <w:b/>
        <w:sz w:val="18"/>
      </w:rPr>
      <w:fldChar w:fldCharType="begin"/>
    </w:r>
    <w:r w:rsidRPr="00DA1359">
      <w:rPr>
        <w:b/>
        <w:sz w:val="18"/>
      </w:rPr>
      <w:instrText xml:space="preserve"> PAGE  \* MERGEFORMAT </w:instrText>
    </w:r>
    <w:r w:rsidRPr="00DA1359">
      <w:rPr>
        <w:b/>
        <w:sz w:val="18"/>
      </w:rPr>
      <w:fldChar w:fldCharType="separate"/>
    </w:r>
    <w:r w:rsidR="001B2286">
      <w:rPr>
        <w:b/>
        <w:noProof/>
        <w:sz w:val="18"/>
      </w:rPr>
      <w:t>2</w:t>
    </w:r>
    <w:r w:rsidRPr="00DA1359">
      <w:rPr>
        <w:b/>
        <w:sz w:val="18"/>
      </w:rPr>
      <w:fldChar w:fldCharType="end"/>
    </w:r>
    <w:r>
      <w:rPr>
        <w:b/>
        <w:sz w:val="18"/>
      </w:rPr>
      <w:tab/>
    </w:r>
    <w:r>
      <w:t>GE.18-0319</w:t>
    </w:r>
    <w:r w:rsidR="00607939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59" w:rsidRPr="00DA1359" w:rsidRDefault="00DA1359" w:rsidP="00DA1359">
    <w:pPr>
      <w:pStyle w:val="Footer"/>
      <w:tabs>
        <w:tab w:val="right" w:pos="9638"/>
      </w:tabs>
      <w:rPr>
        <w:b/>
        <w:sz w:val="18"/>
      </w:rPr>
    </w:pPr>
    <w:r>
      <w:t>GE.18-</w:t>
    </w:r>
    <w:r w:rsidR="00607939">
      <w:t>03199</w:t>
    </w:r>
    <w:r>
      <w:tab/>
    </w:r>
    <w:r w:rsidRPr="00DA1359">
      <w:rPr>
        <w:b/>
        <w:sz w:val="18"/>
      </w:rPr>
      <w:fldChar w:fldCharType="begin"/>
    </w:r>
    <w:r w:rsidRPr="00DA1359">
      <w:rPr>
        <w:b/>
        <w:sz w:val="18"/>
      </w:rPr>
      <w:instrText xml:space="preserve"> PAGE  \* MERGEFORMAT </w:instrText>
    </w:r>
    <w:r w:rsidRPr="00DA1359">
      <w:rPr>
        <w:b/>
        <w:sz w:val="18"/>
      </w:rPr>
      <w:fldChar w:fldCharType="separate"/>
    </w:r>
    <w:r w:rsidR="001B2286">
      <w:rPr>
        <w:b/>
        <w:noProof/>
        <w:sz w:val="18"/>
      </w:rPr>
      <w:t>3</w:t>
    </w:r>
    <w:r w:rsidRPr="00DA13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DA1359" w:rsidRDefault="00DA1359" w:rsidP="00DA135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18-0319</w:t>
    </w:r>
    <w:r w:rsidR="00607939">
      <w:rPr>
        <w:sz w:val="20"/>
      </w:rPr>
      <w:t>9</w:t>
    </w:r>
    <w:r>
      <w:rPr>
        <w:sz w:val="20"/>
      </w:rPr>
      <w:t xml:space="preserve">  (F)    090318    160318</w:t>
    </w:r>
    <w:r>
      <w:rPr>
        <w:sz w:val="20"/>
      </w:rPr>
      <w:br/>
    </w:r>
    <w:r w:rsidR="00607939" w:rsidRPr="00607939">
      <w:rPr>
        <w:rFonts w:ascii="C39T30Lfz" w:hAnsi="C39T30Lfz"/>
        <w:sz w:val="56"/>
      </w:rPr>
      <w:t></w:t>
    </w:r>
    <w:r w:rsidR="00607939" w:rsidRPr="00607939">
      <w:rPr>
        <w:rFonts w:ascii="C39T30Lfz" w:hAnsi="C39T30Lfz"/>
        <w:sz w:val="56"/>
      </w:rPr>
      <w:t></w:t>
    </w:r>
    <w:r w:rsidR="00607939" w:rsidRPr="00607939">
      <w:rPr>
        <w:rFonts w:ascii="C39T30Lfz" w:hAnsi="C39T30Lfz"/>
        <w:sz w:val="56"/>
      </w:rPr>
      <w:t></w:t>
    </w:r>
    <w:r w:rsidR="00607939" w:rsidRPr="00607939">
      <w:rPr>
        <w:rFonts w:ascii="C39T30Lfz" w:hAnsi="C39T30Lfz"/>
        <w:sz w:val="56"/>
      </w:rPr>
      <w:t></w:t>
    </w:r>
    <w:r w:rsidR="00607939" w:rsidRPr="00607939">
      <w:rPr>
        <w:rFonts w:ascii="C39T30Lfz" w:hAnsi="C39T30Lfz"/>
        <w:sz w:val="56"/>
      </w:rPr>
      <w:t></w:t>
    </w:r>
    <w:r w:rsidR="00607939" w:rsidRPr="00607939">
      <w:rPr>
        <w:rFonts w:ascii="C39T30Lfz" w:hAnsi="C39T30Lfz"/>
        <w:sz w:val="56"/>
      </w:rPr>
      <w:t></w:t>
    </w:r>
    <w:r w:rsidR="00607939" w:rsidRPr="00607939">
      <w:rPr>
        <w:rFonts w:ascii="C39T30Lfz" w:hAnsi="C39T30Lfz"/>
        <w:sz w:val="56"/>
      </w:rPr>
      <w:t></w:t>
    </w:r>
    <w:r w:rsidR="00607939" w:rsidRPr="00607939">
      <w:rPr>
        <w:rFonts w:ascii="C39T30Lfz" w:hAnsi="C39T30Lfz"/>
        <w:sz w:val="56"/>
      </w:rPr>
      <w:t></w:t>
    </w:r>
    <w:r w:rsidRPr="00607939">
      <w:rPr>
        <w:rFonts w:ascii="C39T30Lfz" w:hAnsi="C39T30Lfz"/>
        <w:noProof/>
        <w:sz w:val="56"/>
        <w:lang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2018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8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939" w:rsidRPr="00607939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03A" w:rsidRPr="00AC3823" w:rsidRDefault="00B0303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0303A" w:rsidRPr="00AC3823" w:rsidRDefault="00B0303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0303A" w:rsidRPr="00AC3823" w:rsidRDefault="00B0303A">
      <w:pPr>
        <w:spacing w:line="240" w:lineRule="auto"/>
        <w:rPr>
          <w:sz w:val="2"/>
          <w:szCs w:val="2"/>
        </w:rPr>
      </w:pPr>
    </w:p>
  </w:footnote>
  <w:footnote w:id="2">
    <w:p w:rsidR="00DA1359" w:rsidRPr="00DA1359" w:rsidRDefault="00DA1359">
      <w:pPr>
        <w:pStyle w:val="FootnoteText"/>
      </w:pPr>
      <w:r>
        <w:rPr>
          <w:rStyle w:val="FootnoteReference"/>
        </w:rPr>
        <w:tab/>
      </w:r>
      <w:r w:rsidRPr="00DA135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color w:val="000000"/>
          <w:lang w:val="fr-FR" w:eastAsia="en-GB"/>
        </w:rPr>
        <w:t>Conformément au projet</w:t>
      </w:r>
      <w:r w:rsidRPr="00EC302C">
        <w:rPr>
          <w:color w:val="000000"/>
          <w:lang w:val="fr-FR" w:eastAsia="en-GB"/>
        </w:rPr>
        <w:t xml:space="preserve"> de programme de travail du Comité des transports intérieurs pour 2018</w:t>
      </w:r>
      <w:r>
        <w:rPr>
          <w:color w:val="000000"/>
          <w:lang w:val="fr-FR" w:eastAsia="en-GB"/>
        </w:rPr>
        <w:noBreakHyphen/>
      </w:r>
      <w:r w:rsidRPr="00EC302C">
        <w:rPr>
          <w:color w:val="000000"/>
          <w:lang w:val="fr-FR" w:eastAsia="en-GB"/>
        </w:rPr>
        <w:t>2019, (ECE/TRANS/WP.15/237, annex</w:t>
      </w:r>
      <w:r>
        <w:rPr>
          <w:color w:val="000000"/>
          <w:lang w:val="fr-FR" w:eastAsia="en-GB"/>
        </w:rPr>
        <w:t>e</w:t>
      </w:r>
      <w:r w:rsidRPr="00EC302C">
        <w:rPr>
          <w:color w:val="000000"/>
          <w:lang w:val="fr-FR" w:eastAsia="en-GB"/>
        </w:rPr>
        <w:t xml:space="preserve"> V,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59" w:rsidRPr="00DA1359" w:rsidRDefault="001B228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67CE9">
      <w:t>ECE/TRANS/WP.15/2018/3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59" w:rsidRPr="00DA1359" w:rsidRDefault="001B2286" w:rsidP="00DA135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67CE9">
      <w:t>ECE/TRANS/WP.15/2018/3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A"/>
    <w:rsid w:val="00017F94"/>
    <w:rsid w:val="00023842"/>
    <w:rsid w:val="000334F9"/>
    <w:rsid w:val="00045FEB"/>
    <w:rsid w:val="00067CE9"/>
    <w:rsid w:val="0007796D"/>
    <w:rsid w:val="000B7790"/>
    <w:rsid w:val="00111F2F"/>
    <w:rsid w:val="0014365E"/>
    <w:rsid w:val="00143C66"/>
    <w:rsid w:val="00176178"/>
    <w:rsid w:val="001B2286"/>
    <w:rsid w:val="001F525A"/>
    <w:rsid w:val="00214FE2"/>
    <w:rsid w:val="00223272"/>
    <w:rsid w:val="0024779E"/>
    <w:rsid w:val="00257168"/>
    <w:rsid w:val="002744B8"/>
    <w:rsid w:val="002832AC"/>
    <w:rsid w:val="002D7C93"/>
    <w:rsid w:val="002F0A43"/>
    <w:rsid w:val="00305801"/>
    <w:rsid w:val="003436E6"/>
    <w:rsid w:val="003916DE"/>
    <w:rsid w:val="003F04AB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07939"/>
    <w:rsid w:val="006C39F8"/>
    <w:rsid w:val="0071601D"/>
    <w:rsid w:val="007A62E6"/>
    <w:rsid w:val="007F20FA"/>
    <w:rsid w:val="00802E79"/>
    <w:rsid w:val="0080684C"/>
    <w:rsid w:val="00871C75"/>
    <w:rsid w:val="008776DC"/>
    <w:rsid w:val="009446C0"/>
    <w:rsid w:val="009705C8"/>
    <w:rsid w:val="009C1CF4"/>
    <w:rsid w:val="009F6B74"/>
    <w:rsid w:val="00A30353"/>
    <w:rsid w:val="00A804AF"/>
    <w:rsid w:val="00AC3823"/>
    <w:rsid w:val="00AE323C"/>
    <w:rsid w:val="00AF0CB5"/>
    <w:rsid w:val="00B00181"/>
    <w:rsid w:val="00B00B0D"/>
    <w:rsid w:val="00B0303A"/>
    <w:rsid w:val="00B765F7"/>
    <w:rsid w:val="00BA0CA9"/>
    <w:rsid w:val="00C02897"/>
    <w:rsid w:val="00C97039"/>
    <w:rsid w:val="00D3439C"/>
    <w:rsid w:val="00DA1359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BC1D5AF-3901-4CC3-8285-4C828A1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DA1359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ECE/TRANS/WP.15/2018/3</vt:lpstr>
      <vt:lpstr>ECE/TRANS/WP.15/2018/3</vt:lpstr>
    </vt:vector>
  </TitlesOfParts>
  <Company>DCM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ECE/TRANS/WP.15/2018/3</dc:title>
  <dc:subject/>
  <dc:creator>Fabienne CRELIER</dc:creator>
  <cp:keywords/>
  <cp:lastModifiedBy>Christine Barrio-Champeau</cp:lastModifiedBy>
  <cp:revision>2</cp:revision>
  <cp:lastPrinted>2018-03-16T15:45:00Z</cp:lastPrinted>
  <dcterms:created xsi:type="dcterms:W3CDTF">2018-03-19T07:30:00Z</dcterms:created>
  <dcterms:modified xsi:type="dcterms:W3CDTF">2018-03-19T07:30:00Z</dcterms:modified>
</cp:coreProperties>
</file>