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F2022" w:rsidRPr="00D8072E" w:rsidTr="001C07AC">
        <w:trPr>
          <w:cantSplit/>
          <w:trHeight w:hRule="exact" w:val="851"/>
        </w:trPr>
        <w:tc>
          <w:tcPr>
            <w:tcW w:w="1276" w:type="dxa"/>
            <w:tcBorders>
              <w:bottom w:val="single" w:sz="4" w:space="0" w:color="auto"/>
            </w:tcBorders>
            <w:vAlign w:val="bottom"/>
          </w:tcPr>
          <w:p w:rsidR="004F2022" w:rsidRPr="00D8072E" w:rsidRDefault="004F2022" w:rsidP="001C07AC">
            <w:pPr>
              <w:spacing w:after="80"/>
            </w:pPr>
          </w:p>
        </w:tc>
        <w:tc>
          <w:tcPr>
            <w:tcW w:w="2268" w:type="dxa"/>
            <w:tcBorders>
              <w:bottom w:val="single" w:sz="4" w:space="0" w:color="auto"/>
            </w:tcBorders>
            <w:vAlign w:val="bottom"/>
          </w:tcPr>
          <w:p w:rsidR="004F2022" w:rsidRPr="00D8072E" w:rsidRDefault="004F2022" w:rsidP="001C07AC">
            <w:pPr>
              <w:spacing w:after="80" w:line="300" w:lineRule="exact"/>
              <w:rPr>
                <w:b/>
                <w:sz w:val="24"/>
                <w:szCs w:val="24"/>
              </w:rPr>
            </w:pPr>
          </w:p>
        </w:tc>
        <w:tc>
          <w:tcPr>
            <w:tcW w:w="6095" w:type="dxa"/>
            <w:tcBorders>
              <w:bottom w:val="single" w:sz="4" w:space="0" w:color="auto"/>
            </w:tcBorders>
            <w:vAlign w:val="bottom"/>
          </w:tcPr>
          <w:p w:rsidR="004F2022" w:rsidRPr="00285E0D" w:rsidRDefault="004F2022" w:rsidP="00D8072E">
            <w:pPr>
              <w:jc w:val="right"/>
              <w:rPr>
                <w:b/>
                <w:bCs/>
                <w:sz w:val="40"/>
                <w:szCs w:val="40"/>
              </w:rPr>
            </w:pPr>
            <w:r w:rsidRPr="00285E0D">
              <w:rPr>
                <w:b/>
                <w:bCs/>
                <w:sz w:val="40"/>
                <w:szCs w:val="40"/>
              </w:rPr>
              <w:t>INF.</w:t>
            </w:r>
            <w:r w:rsidR="00837E87">
              <w:rPr>
                <w:b/>
                <w:bCs/>
                <w:sz w:val="40"/>
                <w:szCs w:val="40"/>
              </w:rPr>
              <w:t>8</w:t>
            </w:r>
          </w:p>
        </w:tc>
      </w:tr>
    </w:tbl>
    <w:p w:rsidR="004F2022" w:rsidRPr="00D8072E" w:rsidRDefault="004F2022" w:rsidP="00546BFA">
      <w:pPr>
        <w:rPr>
          <w:b/>
          <w:sz w:val="28"/>
          <w:szCs w:val="28"/>
        </w:rPr>
      </w:pPr>
      <w:r w:rsidRPr="00D8072E">
        <w:rPr>
          <w:b/>
          <w:sz w:val="28"/>
          <w:szCs w:val="28"/>
        </w:rPr>
        <w:t>Economic Commission for Europe</w:t>
      </w:r>
    </w:p>
    <w:p w:rsidR="004F2022" w:rsidRPr="00D8072E" w:rsidRDefault="004F2022" w:rsidP="00546BFA">
      <w:pPr>
        <w:spacing w:before="120"/>
        <w:rPr>
          <w:sz w:val="28"/>
          <w:szCs w:val="28"/>
        </w:rPr>
      </w:pPr>
      <w:r w:rsidRPr="00D8072E">
        <w:rPr>
          <w:sz w:val="28"/>
          <w:szCs w:val="28"/>
        </w:rPr>
        <w:t>Inland Transport Committee</w:t>
      </w:r>
    </w:p>
    <w:p w:rsidR="004F2022" w:rsidRPr="00D8072E" w:rsidRDefault="004F2022" w:rsidP="00546BFA">
      <w:pPr>
        <w:spacing w:before="120"/>
        <w:rPr>
          <w:b/>
          <w:sz w:val="24"/>
          <w:szCs w:val="24"/>
        </w:rPr>
      </w:pPr>
      <w:r w:rsidRPr="00D8072E">
        <w:rPr>
          <w:b/>
          <w:sz w:val="24"/>
          <w:szCs w:val="24"/>
        </w:rPr>
        <w:t>Working Party on the Transport of Dangerous Goods</w:t>
      </w:r>
    </w:p>
    <w:p w:rsidR="004F2022" w:rsidRPr="00D8072E" w:rsidRDefault="004F2022" w:rsidP="001B5E7E">
      <w:pPr>
        <w:spacing w:before="120"/>
        <w:rPr>
          <w:b/>
        </w:rPr>
      </w:pPr>
      <w:r w:rsidRPr="00D8072E">
        <w:rPr>
          <w:b/>
        </w:rPr>
        <w:t>104</w:t>
      </w:r>
      <w:r w:rsidRPr="00D8072E">
        <w:rPr>
          <w:b/>
          <w:vertAlign w:val="superscript"/>
        </w:rPr>
        <w:t>th</w:t>
      </w:r>
      <w:r w:rsidRPr="00D8072E">
        <w:rPr>
          <w:b/>
        </w:rPr>
        <w:t xml:space="preserve"> session</w:t>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00837E87">
        <w:rPr>
          <w:b/>
        </w:rPr>
        <w:t>11</w:t>
      </w:r>
      <w:r w:rsidR="00E9729E">
        <w:rPr>
          <w:b/>
        </w:rPr>
        <w:t xml:space="preserve"> April</w:t>
      </w:r>
      <w:r w:rsidRPr="00D8072E">
        <w:rPr>
          <w:b/>
        </w:rPr>
        <w:t xml:space="preserve"> 2018</w:t>
      </w:r>
    </w:p>
    <w:p w:rsidR="004F2022" w:rsidRPr="00D8072E" w:rsidRDefault="004F2022" w:rsidP="001B5E7E">
      <w:r w:rsidRPr="00D8072E">
        <w:t>Geneva, 1</w:t>
      </w:r>
      <w:r w:rsidR="00285E0D">
        <w:t>5</w:t>
      </w:r>
      <w:r w:rsidRPr="00D8072E">
        <w:t>-1</w:t>
      </w:r>
      <w:r w:rsidR="00285E0D">
        <w:t>7</w:t>
      </w:r>
      <w:r w:rsidRPr="00D8072E">
        <w:t xml:space="preserve"> May 2018</w:t>
      </w:r>
    </w:p>
    <w:p w:rsidR="004F2022" w:rsidRPr="00D8072E" w:rsidRDefault="007316CC" w:rsidP="001B5E7E">
      <w:r>
        <w:t>Item 5 (b)</w:t>
      </w:r>
      <w:r w:rsidR="004F2022" w:rsidRPr="00D8072E">
        <w:t xml:space="preserve"> of the provisional agenda</w:t>
      </w:r>
    </w:p>
    <w:p w:rsidR="00CA4842" w:rsidRDefault="007316CC" w:rsidP="00C96DF2">
      <w:pPr>
        <w:rPr>
          <w:b/>
          <w:bCs/>
        </w:rPr>
      </w:pPr>
      <w:r w:rsidRPr="007316CC">
        <w:rPr>
          <w:b/>
          <w:bCs/>
        </w:rPr>
        <w:t>Proposals for amendments to annexes A and B of ADR:</w:t>
      </w:r>
    </w:p>
    <w:p w:rsidR="007316CC" w:rsidRPr="007316CC" w:rsidRDefault="007316CC" w:rsidP="00C96DF2">
      <w:pPr>
        <w:rPr>
          <w:b/>
          <w:bCs/>
        </w:rPr>
      </w:pPr>
      <w:r>
        <w:rPr>
          <w:b/>
          <w:bCs/>
          <w:szCs w:val="24"/>
        </w:rPr>
        <w:t>m</w:t>
      </w:r>
      <w:r w:rsidRPr="007316CC">
        <w:rPr>
          <w:b/>
          <w:bCs/>
          <w:szCs w:val="24"/>
        </w:rPr>
        <w:t>iscellaneous proposals</w:t>
      </w:r>
    </w:p>
    <w:p w:rsidR="007316CC" w:rsidRPr="00E17885" w:rsidRDefault="007316CC" w:rsidP="007316CC">
      <w:pPr>
        <w:pStyle w:val="HChG"/>
        <w:rPr>
          <w:highlight w:val="yellow"/>
          <w:lang w:val="en-US"/>
        </w:rPr>
      </w:pPr>
      <w:r>
        <w:rPr>
          <w:lang w:val="en-US"/>
        </w:rPr>
        <w:tab/>
      </w:r>
      <w:r>
        <w:rPr>
          <w:lang w:val="en-US"/>
        </w:rPr>
        <w:tab/>
      </w:r>
      <w:r>
        <w:rPr>
          <w:lang w:val="en-US"/>
        </w:rPr>
        <w:t>A</w:t>
      </w:r>
      <w:r w:rsidRPr="00FA1F0C">
        <w:rPr>
          <w:lang w:val="en-US"/>
        </w:rPr>
        <w:t>mendments related to ammonium nitrate based fertilizers of Class 5.1</w:t>
      </w:r>
      <w:r w:rsidRPr="00FA1F0C">
        <w:t xml:space="preserve"> </w:t>
      </w:r>
      <w:r w:rsidRPr="00FA1F0C">
        <w:rPr>
          <w:lang w:val="en-US"/>
        </w:rPr>
        <w:t>for entry into force on 1 January 2019</w:t>
      </w:r>
    </w:p>
    <w:p w:rsidR="007316CC" w:rsidRPr="00E17885" w:rsidRDefault="007316CC" w:rsidP="007316CC">
      <w:pPr>
        <w:pStyle w:val="H1G"/>
        <w:rPr>
          <w:lang w:val="en-US"/>
        </w:rPr>
      </w:pPr>
      <w:r w:rsidRPr="00FA1F0C">
        <w:rPr>
          <w:lang w:val="en-US"/>
        </w:rPr>
        <w:tab/>
      </w:r>
      <w:r w:rsidRPr="00FA1F0C">
        <w:rPr>
          <w:lang w:val="en-US"/>
        </w:rPr>
        <w:tab/>
        <w:t xml:space="preserve">Transmitted by the Government of </w:t>
      </w:r>
      <w:r>
        <w:rPr>
          <w:lang w:val="en-US"/>
        </w:rPr>
        <w:t>Finland</w:t>
      </w:r>
    </w:p>
    <w:p w:rsidR="007316CC" w:rsidRPr="00E17885" w:rsidRDefault="007316CC" w:rsidP="007316CC">
      <w:pPr>
        <w:pStyle w:val="HChG"/>
        <w:rPr>
          <w:lang w:val="en-US"/>
        </w:rPr>
      </w:pPr>
      <w:r w:rsidRPr="00E17885">
        <w:rPr>
          <w:lang w:val="en-US"/>
        </w:rPr>
        <w:tab/>
      </w:r>
      <w:r w:rsidRPr="00E17885">
        <w:rPr>
          <w:lang w:val="en-US"/>
        </w:rPr>
        <w:tab/>
        <w:t>Introduction</w:t>
      </w:r>
    </w:p>
    <w:p w:rsidR="007316CC" w:rsidRPr="00E17885" w:rsidRDefault="007316CC" w:rsidP="007316CC">
      <w:pPr>
        <w:pStyle w:val="SingleTxtG"/>
        <w:rPr>
          <w:lang w:val="en-US"/>
        </w:rPr>
      </w:pPr>
      <w:r w:rsidRPr="00E17885">
        <w:rPr>
          <w:lang w:val="en-US"/>
        </w:rPr>
        <w:t>1.</w:t>
      </w:r>
      <w:r w:rsidRPr="00E17885">
        <w:rPr>
          <w:lang w:val="en-US"/>
        </w:rPr>
        <w:tab/>
        <w:t xml:space="preserve">The amendments adopted at previous sessions for entry into force on 1 January 2019 are in document ECE/TRANS/WP.15/240. The amendments related to </w:t>
      </w:r>
      <w:r>
        <w:rPr>
          <w:lang w:val="en-US"/>
        </w:rPr>
        <w:t xml:space="preserve">the classification of </w:t>
      </w:r>
      <w:r w:rsidRPr="00E17885">
        <w:rPr>
          <w:lang w:val="en-US"/>
        </w:rPr>
        <w:t xml:space="preserve">ammonium nitrate based fertilizers of Class 5.1 are the following ones: </w:t>
      </w:r>
    </w:p>
    <w:p w:rsidR="007316CC" w:rsidRPr="00E17885" w:rsidRDefault="007316CC" w:rsidP="007316CC">
      <w:pPr>
        <w:pStyle w:val="SingleTxtG"/>
        <w:tabs>
          <w:tab w:val="left" w:pos="2268"/>
        </w:tabs>
        <w:ind w:left="2127" w:hanging="993"/>
        <w:rPr>
          <w:lang w:val="en-US"/>
        </w:rPr>
      </w:pPr>
      <w:r w:rsidRPr="00E17885">
        <w:rPr>
          <w:b/>
          <w:lang w:val="en-US"/>
        </w:rPr>
        <w:t>2.1.3.7</w:t>
      </w:r>
      <w:r w:rsidRPr="00E17885">
        <w:rPr>
          <w:lang w:val="en-US"/>
        </w:rPr>
        <w:tab/>
        <w:t>At the end, add: “For solid ammonium nitrate based fertilizers, see also 2.2.51.2.2, thirteenth and fourteenth indent and Manual of Tests and Criteria, Part III, Section 39.”.</w:t>
      </w:r>
    </w:p>
    <w:p w:rsidR="007316CC" w:rsidRPr="00E17885" w:rsidRDefault="007316CC" w:rsidP="007316CC">
      <w:pPr>
        <w:pStyle w:val="SingleTxtG"/>
        <w:ind w:left="2127" w:hanging="993"/>
        <w:rPr>
          <w:i/>
          <w:lang w:val="en-US"/>
        </w:rPr>
      </w:pPr>
      <w:r w:rsidRPr="00E17885">
        <w:rPr>
          <w:b/>
          <w:lang w:val="en-US"/>
        </w:rPr>
        <w:t>2.2.51.1.3</w:t>
      </w:r>
      <w:r w:rsidRPr="00E17885">
        <w:rPr>
          <w:lang w:val="en-US"/>
        </w:rPr>
        <w:tab/>
        <w:t>At the end of the second sentence, add “or, for solid ammonium nitrate based fertilizers, Section 39 subject to the restrictions of 2.2.51.2.2, thirteenth indent”.</w:t>
      </w:r>
      <w:r w:rsidRPr="00E17885">
        <w:rPr>
          <w:i/>
          <w:lang w:val="en-US"/>
        </w:rPr>
        <w:t xml:space="preserve"> </w:t>
      </w:r>
    </w:p>
    <w:p w:rsidR="007316CC" w:rsidRPr="00E17885" w:rsidRDefault="007316CC" w:rsidP="007316CC">
      <w:pPr>
        <w:pStyle w:val="SingleTxtG"/>
        <w:ind w:left="2127" w:hanging="993"/>
        <w:rPr>
          <w:lang w:val="en-US"/>
        </w:rPr>
      </w:pPr>
      <w:r w:rsidRPr="00E17885">
        <w:rPr>
          <w:b/>
          <w:lang w:val="en-US"/>
        </w:rPr>
        <w:t>2.2.51.1.5</w:t>
      </w:r>
      <w:r w:rsidRPr="00E17885">
        <w:rPr>
          <w:lang w:val="en-US"/>
        </w:rPr>
        <w:tab/>
        <w:t>In the first sentence, after “Section 34.4”, insert “or, for solid ammonium nitrate based fertilizers, Section 39,”.</w:t>
      </w:r>
    </w:p>
    <w:p w:rsidR="007316CC" w:rsidRPr="00E17885" w:rsidRDefault="007316CC" w:rsidP="007316CC">
      <w:pPr>
        <w:pStyle w:val="SingleTxtG"/>
        <w:rPr>
          <w:iCs/>
          <w:lang w:val="en-US"/>
        </w:rPr>
      </w:pPr>
      <w:r w:rsidRPr="00E17885">
        <w:rPr>
          <w:b/>
          <w:iCs/>
          <w:lang w:val="en-US"/>
        </w:rPr>
        <w:t>Insert a new 2.2.51.1.7</w:t>
      </w:r>
      <w:r w:rsidRPr="00E17885">
        <w:rPr>
          <w:iCs/>
          <w:lang w:val="en-US"/>
        </w:rPr>
        <w:t xml:space="preserve"> to read as follows and renumber subsequent paragraphs accordingly:</w:t>
      </w:r>
    </w:p>
    <w:p w:rsidR="007316CC" w:rsidRPr="00E17885" w:rsidRDefault="007316CC" w:rsidP="007316CC">
      <w:pPr>
        <w:pStyle w:val="SingleTxtG"/>
        <w:ind w:left="2127"/>
        <w:rPr>
          <w:lang w:val="en-US"/>
        </w:rPr>
      </w:pPr>
      <w:r w:rsidRPr="00E17885">
        <w:rPr>
          <w:lang w:val="en-US"/>
        </w:rPr>
        <w:t>“</w:t>
      </w:r>
      <w:r w:rsidRPr="00E17885">
        <w:rPr>
          <w:iCs/>
          <w:lang w:val="en-US"/>
        </w:rPr>
        <w:t>2.2.51.1.7</w:t>
      </w:r>
      <w:r w:rsidRPr="00E17885">
        <w:rPr>
          <w:lang w:val="en-US"/>
        </w:rPr>
        <w:tab/>
        <w:t xml:space="preserve">By exception, solid ammonium nitrate based fertilizers shall be classified in accordance with the procedure as set out in the Manual of Tests and Criteria, Part III, Section 39.”. </w:t>
      </w:r>
    </w:p>
    <w:p w:rsidR="007316CC" w:rsidRPr="00E17885" w:rsidRDefault="007316CC" w:rsidP="007316CC">
      <w:pPr>
        <w:pStyle w:val="SingleTxtG"/>
        <w:rPr>
          <w:lang w:val="en-US"/>
        </w:rPr>
      </w:pPr>
      <w:r w:rsidRPr="00E17885">
        <w:rPr>
          <w:b/>
          <w:lang w:val="en-US"/>
        </w:rPr>
        <w:t>2.2.51.2.2</w:t>
      </w:r>
      <w:r w:rsidRPr="00E17885">
        <w:rPr>
          <w:lang w:val="en-US"/>
        </w:rPr>
        <w:tab/>
        <w:t>Replace the thirteenth indent by the following indents:</w:t>
      </w:r>
    </w:p>
    <w:p w:rsidR="007316CC" w:rsidRPr="00E17885" w:rsidRDefault="007316CC" w:rsidP="007316CC">
      <w:pPr>
        <w:pStyle w:val="SingleTxtG"/>
        <w:ind w:left="2127"/>
        <w:rPr>
          <w:lang w:val="en-US"/>
        </w:rPr>
      </w:pPr>
      <w:r w:rsidRPr="00E17885">
        <w:rPr>
          <w:lang w:val="en-US"/>
        </w:rPr>
        <w:t xml:space="preserve">“- ammonium nitrate based fertilizers with compositions that lead to exit boxes 4, 6, 8, 15, 31, or 33 of the flowchart of paragraph 39.5.1 of the Manual of Tests and Criteria, Part III, Section 39, unless they have been assigned a suitable UN number in Class 1; </w:t>
      </w:r>
    </w:p>
    <w:p w:rsidR="007316CC" w:rsidRPr="00E17885" w:rsidRDefault="007316CC" w:rsidP="007316CC">
      <w:pPr>
        <w:pStyle w:val="SingleTxtG"/>
        <w:ind w:left="2127"/>
        <w:rPr>
          <w:lang w:val="en-US"/>
        </w:rPr>
      </w:pPr>
      <w:r w:rsidRPr="00E17885">
        <w:rPr>
          <w:lang w:val="en-US"/>
        </w:rPr>
        <w:t>-</w:t>
      </w:r>
      <w:r w:rsidRPr="00E17885">
        <w:rPr>
          <w:lang w:val="en-US"/>
        </w:rPr>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rsidR="007316CC" w:rsidRPr="00E17885" w:rsidRDefault="007316CC" w:rsidP="007316CC">
      <w:pPr>
        <w:pStyle w:val="SingleTxtG"/>
        <w:rPr>
          <w:lang w:val="en-US"/>
        </w:rPr>
      </w:pPr>
      <w:r w:rsidRPr="00E17885">
        <w:rPr>
          <w:b/>
          <w:lang w:val="en-US"/>
        </w:rPr>
        <w:t>3.3.1, Special provision 307</w:t>
      </w:r>
      <w:r w:rsidRPr="00E17885">
        <w:rPr>
          <w:lang w:val="en-US"/>
        </w:rPr>
        <w:tab/>
        <w:t xml:space="preserve"> Amend to read as follows</w:t>
      </w:r>
      <w:r w:rsidRPr="00E17885">
        <w:rPr>
          <w:iCs/>
          <w:lang w:val="en-US"/>
        </w:rPr>
        <w:t>:</w:t>
      </w:r>
    </w:p>
    <w:p w:rsidR="007316CC" w:rsidRPr="00E17885" w:rsidRDefault="007316CC" w:rsidP="007316CC">
      <w:pPr>
        <w:pStyle w:val="SingleTxtG"/>
        <w:ind w:left="2127"/>
        <w:rPr>
          <w:lang w:val="en-US"/>
        </w:rPr>
      </w:pPr>
      <w:r w:rsidRPr="00E17885">
        <w:rPr>
          <w:lang w:val="en-US"/>
        </w:rPr>
        <w:lastRenderedPageBreak/>
        <w:t>“307</w:t>
      </w:r>
      <w:r w:rsidRPr="00E17885">
        <w:rPr>
          <w:lang w:val="en-US"/>
        </w:rPr>
        <w:tab/>
        <w:t>This entry may only be used for ammonium nitrate based fertilizers. They shall be classified in accordance with the procedure as set out in the Manual of Tests and Criteria, Part III, Section 39 subject to the restrictions of 2.2.51.2.2, thirteenth indent. When used in the said Section 39, the term “competent authority” means the competent authority of the country of origin. If the country of origin is not a Contracting Party to ADR, the classification and conditions of carriage shall be recognized by the competent authority of the first country Contracting Party to ADR reached by the consignment.”.</w:t>
      </w:r>
    </w:p>
    <w:p w:rsidR="007316CC" w:rsidRPr="00E17885" w:rsidRDefault="007316CC" w:rsidP="007316CC">
      <w:pPr>
        <w:pStyle w:val="SingleTxtG"/>
        <w:rPr>
          <w:lang w:val="en-US"/>
        </w:rPr>
      </w:pPr>
      <w:r w:rsidRPr="00E17885">
        <w:rPr>
          <w:lang w:val="en-US"/>
        </w:rPr>
        <w:t>2.</w:t>
      </w:r>
      <w:r w:rsidRPr="00E17885">
        <w:rPr>
          <w:lang w:val="en-US"/>
        </w:rPr>
        <w:tab/>
        <w:t>Regarding the above-mentioned amendment</w:t>
      </w:r>
      <w:r>
        <w:rPr>
          <w:lang w:val="en-US"/>
        </w:rPr>
        <w:t>s</w:t>
      </w:r>
      <w:r w:rsidRPr="00E17885">
        <w:rPr>
          <w:lang w:val="en-US"/>
        </w:rPr>
        <w:t xml:space="preserve"> 2.2.51.1.3</w:t>
      </w:r>
      <w:r>
        <w:rPr>
          <w:lang w:val="en-US"/>
        </w:rPr>
        <w:t xml:space="preserve"> and </w:t>
      </w:r>
      <w:r w:rsidRPr="00E17885">
        <w:rPr>
          <w:lang w:val="en-US"/>
        </w:rPr>
        <w:t xml:space="preserve">3.3.1, Special provision 307: Should there be a reference also to fourteenth indent as the existing </w:t>
      </w:r>
      <w:r>
        <w:rPr>
          <w:lang w:val="en-US"/>
        </w:rPr>
        <w:t xml:space="preserve">thirteenth </w:t>
      </w:r>
      <w:r w:rsidRPr="00E17885">
        <w:rPr>
          <w:lang w:val="en-US"/>
        </w:rPr>
        <w:t>indent is replaced by two indents</w:t>
      </w:r>
      <w:r w:rsidRPr="00BD6B92">
        <w:rPr>
          <w:lang w:val="en-US"/>
        </w:rPr>
        <w:t xml:space="preserve"> </w:t>
      </w:r>
      <w:r>
        <w:rPr>
          <w:lang w:val="en-US"/>
        </w:rPr>
        <w:t xml:space="preserve">(new </w:t>
      </w:r>
      <w:r w:rsidRPr="00E17885">
        <w:rPr>
          <w:lang w:val="en-US"/>
        </w:rPr>
        <w:t xml:space="preserve">thirteenth </w:t>
      </w:r>
      <w:r w:rsidRPr="00BD6B92">
        <w:rPr>
          <w:lang w:val="en-US"/>
        </w:rPr>
        <w:t xml:space="preserve">and fourteenth </w:t>
      </w:r>
      <w:r w:rsidRPr="00E17885">
        <w:rPr>
          <w:lang w:val="en-US"/>
        </w:rPr>
        <w:t>indents</w:t>
      </w:r>
      <w:r>
        <w:rPr>
          <w:lang w:val="en-US"/>
        </w:rPr>
        <w:t>)</w:t>
      </w:r>
      <w:r w:rsidRPr="00E17885">
        <w:rPr>
          <w:lang w:val="en-US"/>
        </w:rPr>
        <w:t>?</w:t>
      </w:r>
      <w:r>
        <w:rPr>
          <w:lang w:val="en-US"/>
        </w:rPr>
        <w:t xml:space="preserve"> </w:t>
      </w:r>
    </w:p>
    <w:p w:rsidR="007316CC" w:rsidRPr="00E17885" w:rsidRDefault="007316CC" w:rsidP="007316CC">
      <w:pPr>
        <w:pStyle w:val="SingleTxtG"/>
        <w:rPr>
          <w:lang w:val="en-US"/>
        </w:rPr>
      </w:pPr>
      <w:r w:rsidRPr="00E17885">
        <w:rPr>
          <w:b/>
          <w:lang w:val="en-US"/>
        </w:rPr>
        <w:t>Proposal 1a for consideration</w:t>
      </w:r>
      <w:r w:rsidRPr="00E17885">
        <w:rPr>
          <w:lang w:val="en-US"/>
        </w:rPr>
        <w:t xml:space="preserve">: </w:t>
      </w:r>
      <w:r>
        <w:rPr>
          <w:lang w:val="en-US"/>
        </w:rPr>
        <w:t>Modify</w:t>
      </w:r>
      <w:r w:rsidRPr="00E17885">
        <w:rPr>
          <w:lang w:val="en-US"/>
        </w:rPr>
        <w:t xml:space="preserve"> the amendment 2.2.51.1.3</w:t>
      </w:r>
      <w:r>
        <w:rPr>
          <w:lang w:val="en-US"/>
        </w:rPr>
        <w:t xml:space="preserve"> </w:t>
      </w:r>
      <w:r w:rsidRPr="00E17885">
        <w:rPr>
          <w:lang w:val="en-US"/>
        </w:rPr>
        <w:t>as follows (new text underlined):</w:t>
      </w:r>
    </w:p>
    <w:p w:rsidR="007316CC" w:rsidRPr="00E17885" w:rsidRDefault="007316CC" w:rsidP="007316CC">
      <w:pPr>
        <w:pStyle w:val="SingleTxtG"/>
        <w:ind w:left="2127"/>
        <w:rPr>
          <w:i/>
          <w:lang w:val="en-US"/>
        </w:rPr>
      </w:pPr>
      <w:r w:rsidRPr="00E17885">
        <w:rPr>
          <w:lang w:val="en-US"/>
        </w:rPr>
        <w:t>2.2.51.1.3</w:t>
      </w:r>
      <w:r w:rsidRPr="00E17885">
        <w:rPr>
          <w:lang w:val="en-US"/>
        </w:rPr>
        <w:tab/>
        <w:t xml:space="preserve">At the end of the second sentence, add “or, for solid ammonium nitrate based fertilizers, Section 39 subject to the restrictions of 2.2.51.2.2, thirteenth </w:t>
      </w:r>
      <w:r w:rsidRPr="00E17885">
        <w:rPr>
          <w:u w:val="single"/>
          <w:lang w:val="en-US"/>
        </w:rPr>
        <w:t>and fourteenth</w:t>
      </w:r>
      <w:r w:rsidRPr="00E17885">
        <w:rPr>
          <w:lang w:val="en-US"/>
        </w:rPr>
        <w:t xml:space="preserve"> indent”.</w:t>
      </w:r>
      <w:r w:rsidRPr="00E17885">
        <w:rPr>
          <w:i/>
          <w:lang w:val="en-US"/>
        </w:rPr>
        <w:t xml:space="preserve"> </w:t>
      </w:r>
    </w:p>
    <w:p w:rsidR="007316CC" w:rsidRPr="00E17885" w:rsidRDefault="007316CC" w:rsidP="007316CC">
      <w:pPr>
        <w:pStyle w:val="SingleTxtG"/>
        <w:rPr>
          <w:lang w:val="en-US"/>
        </w:rPr>
      </w:pPr>
      <w:r w:rsidRPr="00E17885">
        <w:rPr>
          <w:b/>
          <w:lang w:val="en-US"/>
        </w:rPr>
        <w:t>Proposal 1b for consideration</w:t>
      </w:r>
      <w:r w:rsidRPr="00E17885">
        <w:rPr>
          <w:lang w:val="en-US"/>
        </w:rPr>
        <w:t xml:space="preserve">: </w:t>
      </w:r>
      <w:r>
        <w:rPr>
          <w:lang w:val="en-US"/>
        </w:rPr>
        <w:t>Modify</w:t>
      </w:r>
      <w:r w:rsidRPr="00E17885">
        <w:rPr>
          <w:lang w:val="en-US"/>
        </w:rPr>
        <w:t xml:space="preserve"> the amendment </w:t>
      </w:r>
      <w:r>
        <w:rPr>
          <w:lang w:val="en-US"/>
        </w:rPr>
        <w:t xml:space="preserve">SP 307 </w:t>
      </w:r>
      <w:r w:rsidRPr="00E17885">
        <w:rPr>
          <w:lang w:val="en-US"/>
        </w:rPr>
        <w:t>as follows (new text underlined):</w:t>
      </w:r>
    </w:p>
    <w:p w:rsidR="007316CC" w:rsidRPr="00E17885" w:rsidRDefault="007316CC" w:rsidP="007316CC">
      <w:pPr>
        <w:pStyle w:val="SingleTxtG"/>
        <w:ind w:left="2127"/>
        <w:rPr>
          <w:lang w:val="en-US"/>
        </w:rPr>
      </w:pPr>
      <w:r w:rsidRPr="00F149D2">
        <w:rPr>
          <w:lang w:val="en-US"/>
        </w:rPr>
        <w:t>3.3.1, Special provision 307</w:t>
      </w:r>
      <w:r w:rsidRPr="00F149D2">
        <w:rPr>
          <w:lang w:val="en-US"/>
        </w:rPr>
        <w:tab/>
      </w:r>
      <w:r w:rsidRPr="00E17885">
        <w:rPr>
          <w:lang w:val="en-US"/>
        </w:rPr>
        <w:t>Amend to read as follows</w:t>
      </w:r>
      <w:r w:rsidRPr="00E17885">
        <w:rPr>
          <w:iCs/>
          <w:lang w:val="en-US"/>
        </w:rPr>
        <w:t>:</w:t>
      </w:r>
    </w:p>
    <w:p w:rsidR="007316CC" w:rsidRPr="00E17885" w:rsidRDefault="007316CC" w:rsidP="007316CC">
      <w:pPr>
        <w:pStyle w:val="SingleTxtG"/>
        <w:ind w:left="2127"/>
        <w:rPr>
          <w:lang w:val="en-US"/>
        </w:rPr>
      </w:pPr>
      <w:r w:rsidRPr="00E17885">
        <w:rPr>
          <w:lang w:val="en-US"/>
        </w:rPr>
        <w:t>“307</w:t>
      </w:r>
      <w:r w:rsidRPr="00E17885">
        <w:rPr>
          <w:lang w:val="en-US"/>
        </w:rPr>
        <w:tab/>
        <w:t xml:space="preserve">This entry may only be used for ammonium nitrate based fertilizers. They shall be classified in accordance with the procedure as set out in the Manual of Tests and Criteria, Part III, Section 39 subject to the restrictions of 2.2.51.2.2, thirteenth </w:t>
      </w:r>
      <w:r w:rsidRPr="00E17885">
        <w:rPr>
          <w:u w:val="single"/>
          <w:lang w:val="en-US"/>
        </w:rPr>
        <w:t>and fourteenth</w:t>
      </w:r>
      <w:r w:rsidRPr="00E17885">
        <w:rPr>
          <w:lang w:val="en-US"/>
        </w:rPr>
        <w:t xml:space="preserve"> indent. When used in the said Section 39, the term “competent authority” means the competent authority of the country of origin. If the country of origin is not a Contracting Party to ADR, the classification and conditions of carriage shall be recognized by the competent authority of the first country Contracting Party to ADR reached by the consignment.”.</w:t>
      </w:r>
    </w:p>
    <w:p w:rsidR="007316CC" w:rsidRPr="00E17885" w:rsidRDefault="007316CC" w:rsidP="007316CC">
      <w:pPr>
        <w:pStyle w:val="SingleTxtG"/>
        <w:rPr>
          <w:lang w:val="en-US"/>
        </w:rPr>
      </w:pPr>
      <w:r w:rsidRPr="00E17885">
        <w:rPr>
          <w:i/>
          <w:u w:val="single"/>
          <w:lang w:val="en-US"/>
        </w:rPr>
        <w:t>Justification</w:t>
      </w:r>
      <w:r w:rsidRPr="00E17885">
        <w:rPr>
          <w:i/>
          <w:lang w:val="en-US"/>
        </w:rPr>
        <w:t>:</w:t>
      </w:r>
      <w:r w:rsidRPr="00E17885">
        <w:rPr>
          <w:lang w:val="en-US"/>
        </w:rPr>
        <w:t xml:space="preserve"> The existing thirteenth indent of 2.2.51.2.2 is replaced by two indents. See also amendment for 2.1.3.7 that refer</w:t>
      </w:r>
      <w:r>
        <w:rPr>
          <w:lang w:val="en-US"/>
        </w:rPr>
        <w:t>s</w:t>
      </w:r>
      <w:r w:rsidRPr="00E17885">
        <w:rPr>
          <w:lang w:val="en-US"/>
        </w:rPr>
        <w:t xml:space="preserve"> to 2.2.51.2.2, thirteenth and fourteenth indent.</w:t>
      </w:r>
    </w:p>
    <w:p w:rsidR="007316CC" w:rsidRDefault="007316CC" w:rsidP="007316CC">
      <w:pPr>
        <w:pStyle w:val="SingleTxtG"/>
        <w:rPr>
          <w:lang w:val="en-US"/>
        </w:rPr>
      </w:pPr>
      <w:r w:rsidRPr="00E17885">
        <w:rPr>
          <w:lang w:val="en-US"/>
        </w:rPr>
        <w:t>3.</w:t>
      </w:r>
      <w:r w:rsidRPr="00E17885">
        <w:rPr>
          <w:lang w:val="en-US"/>
        </w:rPr>
        <w:tab/>
      </w:r>
      <w:r>
        <w:rPr>
          <w:lang w:val="en-US"/>
        </w:rPr>
        <w:t xml:space="preserve">In </w:t>
      </w:r>
      <w:r w:rsidRPr="00E17885">
        <w:rPr>
          <w:lang w:val="en-US"/>
        </w:rPr>
        <w:t>the above-mentioned amendment</w:t>
      </w:r>
      <w:r>
        <w:rPr>
          <w:lang w:val="en-US"/>
        </w:rPr>
        <w:t xml:space="preserve"> for</w:t>
      </w:r>
      <w:r w:rsidRPr="00E17885">
        <w:rPr>
          <w:lang w:val="en-US"/>
        </w:rPr>
        <w:t xml:space="preserve"> </w:t>
      </w:r>
      <w:r w:rsidRPr="00BD6B92">
        <w:rPr>
          <w:lang w:val="en-US"/>
        </w:rPr>
        <w:t>3.3.1, Special provision 307</w:t>
      </w:r>
      <w:r>
        <w:rPr>
          <w:lang w:val="en-US"/>
        </w:rPr>
        <w:t xml:space="preserve">, the </w:t>
      </w:r>
      <w:r w:rsidRPr="00E17885">
        <w:rPr>
          <w:lang w:val="en-US"/>
        </w:rPr>
        <w:t>term “competent authority”</w:t>
      </w:r>
      <w:r>
        <w:rPr>
          <w:lang w:val="en-US"/>
        </w:rPr>
        <w:t xml:space="preserve"> is explained. As the same matter is dealt with in the new fourteenth indent of </w:t>
      </w:r>
      <w:r w:rsidRPr="00BD6B92">
        <w:rPr>
          <w:lang w:val="en-US"/>
        </w:rPr>
        <w:t>2.2.51.2.2</w:t>
      </w:r>
      <w:r>
        <w:rPr>
          <w:lang w:val="en-US"/>
        </w:rPr>
        <w:t>, should the same text be there as well?</w:t>
      </w:r>
    </w:p>
    <w:p w:rsidR="007316CC" w:rsidRPr="00E17885" w:rsidRDefault="007316CC" w:rsidP="007316CC">
      <w:pPr>
        <w:pStyle w:val="SingleTxtG"/>
        <w:rPr>
          <w:lang w:val="en-US"/>
        </w:rPr>
      </w:pPr>
      <w:r w:rsidRPr="00E17885">
        <w:rPr>
          <w:b/>
          <w:lang w:val="en-US"/>
        </w:rPr>
        <w:t xml:space="preserve">Proposal </w:t>
      </w:r>
      <w:r>
        <w:rPr>
          <w:b/>
          <w:lang w:val="en-US"/>
        </w:rPr>
        <w:t>2</w:t>
      </w:r>
      <w:r w:rsidRPr="00E17885">
        <w:rPr>
          <w:b/>
          <w:lang w:val="en-US"/>
        </w:rPr>
        <w:t xml:space="preserve"> for consideration</w:t>
      </w:r>
      <w:r w:rsidRPr="00E17885">
        <w:rPr>
          <w:lang w:val="en-US"/>
        </w:rPr>
        <w:t xml:space="preserve">: </w:t>
      </w:r>
      <w:r>
        <w:rPr>
          <w:lang w:val="en-US"/>
        </w:rPr>
        <w:t>Modify</w:t>
      </w:r>
      <w:r w:rsidRPr="00E17885">
        <w:rPr>
          <w:lang w:val="en-US"/>
        </w:rPr>
        <w:t xml:space="preserve"> the amendment 2.2.51.2.2</w:t>
      </w:r>
      <w:r>
        <w:rPr>
          <w:lang w:val="en-US"/>
        </w:rPr>
        <w:t xml:space="preserve"> </w:t>
      </w:r>
      <w:r w:rsidRPr="00E17885">
        <w:rPr>
          <w:lang w:val="en-US"/>
        </w:rPr>
        <w:t>as follows (new text underlined):</w:t>
      </w:r>
    </w:p>
    <w:p w:rsidR="007316CC" w:rsidRPr="00F149D2" w:rsidRDefault="007316CC" w:rsidP="007316CC">
      <w:pPr>
        <w:pStyle w:val="SingleTxtG"/>
        <w:ind w:left="2127"/>
        <w:rPr>
          <w:lang w:val="en-US"/>
        </w:rPr>
      </w:pPr>
      <w:r w:rsidRPr="00F149D2">
        <w:rPr>
          <w:lang w:val="en-US"/>
        </w:rPr>
        <w:t>2.2.51.2.2</w:t>
      </w:r>
      <w:r w:rsidRPr="00F149D2">
        <w:rPr>
          <w:lang w:val="en-US"/>
        </w:rPr>
        <w:tab/>
        <w:t>Replace the thirteenth indent by the following indents:</w:t>
      </w:r>
    </w:p>
    <w:p w:rsidR="007316CC" w:rsidRPr="00E17885" w:rsidRDefault="007316CC" w:rsidP="007316CC">
      <w:pPr>
        <w:pStyle w:val="SingleTxtG"/>
        <w:ind w:left="2410" w:hanging="283"/>
        <w:rPr>
          <w:lang w:val="en-US"/>
        </w:rPr>
      </w:pPr>
      <w:r w:rsidRPr="00E17885">
        <w:rPr>
          <w:lang w:val="en-US"/>
        </w:rPr>
        <w:t xml:space="preserve">“- </w:t>
      </w:r>
      <w:r>
        <w:rPr>
          <w:lang w:val="en-US"/>
        </w:rPr>
        <w:tab/>
      </w:r>
      <w:r w:rsidRPr="00E17885">
        <w:rPr>
          <w:lang w:val="en-US"/>
        </w:rPr>
        <w:t xml:space="preserve">ammonium nitrate based fertilizers with compositions that lead to exit boxes 4, 6, 8, 15, 31, or 33 of the flowchart of paragraph 39.5.1 of the Manual of Tests and Criteria, Part III, Section 39, unless they have been assigned a suitable UN number in Class 1; </w:t>
      </w:r>
    </w:p>
    <w:p w:rsidR="007316CC" w:rsidRDefault="007316CC" w:rsidP="007316CC">
      <w:pPr>
        <w:pStyle w:val="SingleTxtG"/>
        <w:ind w:left="2410" w:hanging="283"/>
        <w:rPr>
          <w:lang w:val="en-US"/>
        </w:rPr>
      </w:pPr>
      <w:r w:rsidRPr="00E17885">
        <w:rPr>
          <w:lang w:val="en-US"/>
        </w:rPr>
        <w:t>-</w:t>
      </w:r>
      <w:r w:rsidRPr="00E17885">
        <w:rPr>
          <w:lang w:val="en-US"/>
        </w:rPr>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rsidR="007316CC" w:rsidRDefault="007316CC" w:rsidP="007316CC">
      <w:pPr>
        <w:pStyle w:val="SingleTxtG"/>
        <w:ind w:left="2410"/>
        <w:rPr>
          <w:lang w:val="en-US"/>
        </w:rPr>
      </w:pPr>
      <w:proofErr w:type="gramStart"/>
      <w:r w:rsidRPr="00FA1F0C">
        <w:rPr>
          <w:b/>
          <w:i/>
          <w:u w:val="single"/>
        </w:rPr>
        <w:t>NOTE:</w:t>
      </w:r>
      <w:proofErr w:type="gramEnd"/>
      <w:r w:rsidRPr="00FA1F0C">
        <w:rPr>
          <w:i/>
          <w:u w:val="single"/>
        </w:rPr>
        <w:t xml:space="preserve"> </w:t>
      </w:r>
      <w:r>
        <w:rPr>
          <w:i/>
          <w:u w:val="single"/>
        </w:rPr>
        <w:t>T</w:t>
      </w:r>
      <w:r w:rsidRPr="00FA1F0C">
        <w:rPr>
          <w:i/>
          <w:u w:val="single"/>
        </w:rPr>
        <w:t xml:space="preserve">he </w:t>
      </w:r>
      <w:proofErr w:type="spellStart"/>
      <w:r w:rsidRPr="00FA1F0C">
        <w:rPr>
          <w:i/>
          <w:u w:val="single"/>
        </w:rPr>
        <w:t>term</w:t>
      </w:r>
      <w:proofErr w:type="spellEnd"/>
      <w:r w:rsidRPr="00FA1F0C">
        <w:rPr>
          <w:i/>
          <w:u w:val="single"/>
        </w:rPr>
        <w:t xml:space="preserve"> “</w:t>
      </w:r>
      <w:proofErr w:type="spellStart"/>
      <w:r w:rsidRPr="00FA1F0C">
        <w:rPr>
          <w:i/>
          <w:u w:val="single"/>
        </w:rPr>
        <w:t>competent</w:t>
      </w:r>
      <w:proofErr w:type="spellEnd"/>
      <w:r w:rsidRPr="00FA1F0C">
        <w:rPr>
          <w:i/>
          <w:u w:val="single"/>
        </w:rPr>
        <w:t xml:space="preserve"> </w:t>
      </w:r>
      <w:proofErr w:type="spellStart"/>
      <w:r w:rsidRPr="00FA1F0C">
        <w:rPr>
          <w:i/>
          <w:u w:val="single"/>
        </w:rPr>
        <w:t>authority</w:t>
      </w:r>
      <w:proofErr w:type="spellEnd"/>
      <w:r w:rsidRPr="00FA1F0C">
        <w:rPr>
          <w:i/>
          <w:u w:val="single"/>
        </w:rPr>
        <w:t xml:space="preserve">” </w:t>
      </w:r>
      <w:proofErr w:type="spellStart"/>
      <w:r w:rsidRPr="00FA1F0C">
        <w:rPr>
          <w:i/>
          <w:u w:val="single"/>
        </w:rPr>
        <w:t>means</w:t>
      </w:r>
      <w:proofErr w:type="spellEnd"/>
      <w:r w:rsidRPr="00FA1F0C">
        <w:rPr>
          <w:i/>
          <w:u w:val="single"/>
        </w:rPr>
        <w:t xml:space="preserve"> the </w:t>
      </w:r>
      <w:proofErr w:type="spellStart"/>
      <w:r w:rsidRPr="00FA1F0C">
        <w:rPr>
          <w:i/>
          <w:u w:val="single"/>
        </w:rPr>
        <w:t>competent</w:t>
      </w:r>
      <w:proofErr w:type="spellEnd"/>
      <w:r w:rsidRPr="00FA1F0C">
        <w:rPr>
          <w:i/>
          <w:u w:val="single"/>
        </w:rPr>
        <w:t xml:space="preserve"> </w:t>
      </w:r>
      <w:proofErr w:type="spellStart"/>
      <w:r w:rsidRPr="00FA1F0C">
        <w:rPr>
          <w:i/>
          <w:u w:val="single"/>
        </w:rPr>
        <w:t>authority</w:t>
      </w:r>
      <w:proofErr w:type="spellEnd"/>
      <w:r w:rsidRPr="00FA1F0C">
        <w:rPr>
          <w:i/>
          <w:u w:val="single"/>
        </w:rPr>
        <w:t xml:space="preserve"> of the country of </w:t>
      </w:r>
      <w:proofErr w:type="spellStart"/>
      <w:r w:rsidRPr="00FA1F0C">
        <w:rPr>
          <w:i/>
          <w:u w:val="single"/>
        </w:rPr>
        <w:t>origin</w:t>
      </w:r>
      <w:proofErr w:type="spellEnd"/>
      <w:r w:rsidRPr="00FA1F0C">
        <w:rPr>
          <w:i/>
          <w:u w:val="single"/>
        </w:rPr>
        <w:t xml:space="preserve">. If the country of </w:t>
      </w:r>
      <w:proofErr w:type="spellStart"/>
      <w:r w:rsidRPr="00FA1F0C">
        <w:rPr>
          <w:i/>
          <w:u w:val="single"/>
        </w:rPr>
        <w:t>origin</w:t>
      </w:r>
      <w:proofErr w:type="spellEnd"/>
      <w:r w:rsidRPr="00FA1F0C">
        <w:rPr>
          <w:i/>
          <w:u w:val="single"/>
        </w:rPr>
        <w:t xml:space="preserve"> </w:t>
      </w:r>
      <w:proofErr w:type="spellStart"/>
      <w:r w:rsidRPr="00FA1F0C">
        <w:rPr>
          <w:i/>
          <w:u w:val="single"/>
        </w:rPr>
        <w:t>is</w:t>
      </w:r>
      <w:proofErr w:type="spellEnd"/>
      <w:r w:rsidRPr="00FA1F0C">
        <w:rPr>
          <w:i/>
          <w:u w:val="single"/>
        </w:rPr>
        <w:t xml:space="preserve"> not a </w:t>
      </w:r>
      <w:proofErr w:type="spellStart"/>
      <w:r w:rsidRPr="00FA1F0C">
        <w:rPr>
          <w:i/>
          <w:u w:val="single"/>
        </w:rPr>
        <w:t>Contracting</w:t>
      </w:r>
      <w:proofErr w:type="spellEnd"/>
      <w:r w:rsidRPr="00FA1F0C">
        <w:rPr>
          <w:i/>
          <w:u w:val="single"/>
        </w:rPr>
        <w:t xml:space="preserve"> Party to </w:t>
      </w:r>
      <w:r w:rsidRPr="00FA1F0C">
        <w:rPr>
          <w:i/>
          <w:u w:val="single"/>
        </w:rPr>
        <w:lastRenderedPageBreak/>
        <w:t xml:space="preserve">ADR, </w:t>
      </w:r>
      <w:r>
        <w:rPr>
          <w:i/>
          <w:u w:val="single"/>
        </w:rPr>
        <w:t>[</w:t>
      </w:r>
      <w:r w:rsidRPr="00FA1F0C">
        <w:rPr>
          <w:i/>
          <w:u w:val="single"/>
        </w:rPr>
        <w:t xml:space="preserve">the classification and conditions of </w:t>
      </w:r>
      <w:proofErr w:type="spellStart"/>
      <w:r w:rsidRPr="00FA1F0C">
        <w:rPr>
          <w:i/>
          <w:u w:val="single"/>
        </w:rPr>
        <w:t>carriage</w:t>
      </w:r>
      <w:proofErr w:type="spellEnd"/>
      <w:r>
        <w:rPr>
          <w:i/>
          <w:u w:val="single"/>
        </w:rPr>
        <w:t xml:space="preserve">] </w:t>
      </w:r>
      <w:r w:rsidRPr="00E67E93">
        <w:rPr>
          <w:b/>
          <w:i/>
          <w:sz w:val="24"/>
          <w:szCs w:val="24"/>
          <w:u w:val="single"/>
        </w:rPr>
        <w:t>OR</w:t>
      </w:r>
      <w:r>
        <w:rPr>
          <w:i/>
          <w:u w:val="single"/>
        </w:rPr>
        <w:t xml:space="preserve"> [the </w:t>
      </w:r>
      <w:proofErr w:type="spellStart"/>
      <w:r>
        <w:rPr>
          <w:i/>
          <w:u w:val="single"/>
        </w:rPr>
        <w:t>approval</w:t>
      </w:r>
      <w:proofErr w:type="spellEnd"/>
      <w:r>
        <w:rPr>
          <w:i/>
          <w:u w:val="single"/>
        </w:rPr>
        <w:t>]</w:t>
      </w:r>
      <w:r w:rsidRPr="00FA1F0C">
        <w:rPr>
          <w:i/>
          <w:u w:val="single"/>
        </w:rPr>
        <w:t xml:space="preserve"> </w:t>
      </w:r>
      <w:proofErr w:type="spellStart"/>
      <w:r w:rsidRPr="00FA1F0C">
        <w:rPr>
          <w:i/>
          <w:u w:val="single"/>
        </w:rPr>
        <w:t>shall</w:t>
      </w:r>
      <w:proofErr w:type="spellEnd"/>
      <w:r w:rsidRPr="00FA1F0C">
        <w:rPr>
          <w:i/>
          <w:u w:val="single"/>
        </w:rPr>
        <w:t xml:space="preserve"> </w:t>
      </w:r>
      <w:proofErr w:type="spellStart"/>
      <w:r w:rsidRPr="00FA1F0C">
        <w:rPr>
          <w:i/>
          <w:u w:val="single"/>
        </w:rPr>
        <w:t>be</w:t>
      </w:r>
      <w:proofErr w:type="spellEnd"/>
      <w:r w:rsidRPr="00FA1F0C">
        <w:rPr>
          <w:i/>
          <w:u w:val="single"/>
        </w:rPr>
        <w:t xml:space="preserve"> </w:t>
      </w:r>
      <w:proofErr w:type="spellStart"/>
      <w:r w:rsidRPr="00FA1F0C">
        <w:rPr>
          <w:i/>
          <w:u w:val="single"/>
        </w:rPr>
        <w:t>recognized</w:t>
      </w:r>
      <w:proofErr w:type="spellEnd"/>
      <w:r w:rsidRPr="00FA1F0C">
        <w:rPr>
          <w:i/>
          <w:u w:val="single"/>
        </w:rPr>
        <w:t xml:space="preserve"> by the </w:t>
      </w:r>
      <w:proofErr w:type="spellStart"/>
      <w:r w:rsidRPr="00FA1F0C">
        <w:rPr>
          <w:i/>
          <w:u w:val="single"/>
        </w:rPr>
        <w:t>competent</w:t>
      </w:r>
      <w:proofErr w:type="spellEnd"/>
      <w:r w:rsidRPr="00FA1F0C">
        <w:rPr>
          <w:i/>
          <w:u w:val="single"/>
        </w:rPr>
        <w:t xml:space="preserve"> </w:t>
      </w:r>
      <w:proofErr w:type="spellStart"/>
      <w:r w:rsidRPr="00FA1F0C">
        <w:rPr>
          <w:i/>
          <w:u w:val="single"/>
        </w:rPr>
        <w:t>authority</w:t>
      </w:r>
      <w:proofErr w:type="spellEnd"/>
      <w:r w:rsidRPr="00FA1F0C">
        <w:rPr>
          <w:i/>
          <w:u w:val="single"/>
        </w:rPr>
        <w:t xml:space="preserve"> of the first country </w:t>
      </w:r>
      <w:proofErr w:type="spellStart"/>
      <w:r w:rsidRPr="00FA1F0C">
        <w:rPr>
          <w:i/>
          <w:u w:val="single"/>
        </w:rPr>
        <w:t>Contracting</w:t>
      </w:r>
      <w:proofErr w:type="spellEnd"/>
      <w:r w:rsidRPr="00FA1F0C">
        <w:rPr>
          <w:i/>
          <w:u w:val="single"/>
        </w:rPr>
        <w:t xml:space="preserve"> Party to ADR </w:t>
      </w:r>
      <w:proofErr w:type="spellStart"/>
      <w:r w:rsidRPr="00FA1F0C">
        <w:rPr>
          <w:i/>
          <w:u w:val="single"/>
        </w:rPr>
        <w:t>reached</w:t>
      </w:r>
      <w:proofErr w:type="spellEnd"/>
      <w:r w:rsidRPr="00FA1F0C">
        <w:rPr>
          <w:i/>
          <w:u w:val="single"/>
        </w:rPr>
        <w:t xml:space="preserve"> by the </w:t>
      </w:r>
      <w:proofErr w:type="spellStart"/>
      <w:r w:rsidRPr="00FA1F0C">
        <w:rPr>
          <w:i/>
          <w:u w:val="single"/>
        </w:rPr>
        <w:t>consignment</w:t>
      </w:r>
      <w:proofErr w:type="spellEnd"/>
      <w:r w:rsidRPr="00FA1F0C">
        <w:rPr>
          <w:i/>
          <w:u w:val="single"/>
        </w:rPr>
        <w:t>.</w:t>
      </w:r>
      <w:r w:rsidRPr="00E17885">
        <w:rPr>
          <w:lang w:val="en-US"/>
        </w:rPr>
        <w:t>”.</w:t>
      </w:r>
    </w:p>
    <w:p w:rsidR="007316CC" w:rsidRPr="00E17885" w:rsidRDefault="007316CC" w:rsidP="007316CC">
      <w:pPr>
        <w:pStyle w:val="SingleTxtG"/>
        <w:rPr>
          <w:lang w:val="en-US"/>
        </w:rPr>
      </w:pPr>
      <w:r w:rsidRPr="00E17885">
        <w:rPr>
          <w:i/>
          <w:u w:val="single"/>
          <w:lang w:val="en-US"/>
        </w:rPr>
        <w:t>Justification</w:t>
      </w:r>
      <w:r w:rsidRPr="00E17885">
        <w:rPr>
          <w:i/>
          <w:lang w:val="en-US"/>
        </w:rPr>
        <w:t>:</w:t>
      </w:r>
      <w:r w:rsidRPr="00E17885">
        <w:rPr>
          <w:lang w:val="en-US"/>
        </w:rPr>
        <w:t xml:space="preserve"> </w:t>
      </w:r>
      <w:r>
        <w:rPr>
          <w:lang w:val="en-US"/>
        </w:rPr>
        <w:t xml:space="preserve">The </w:t>
      </w:r>
      <w:r w:rsidRPr="00E17885">
        <w:rPr>
          <w:lang w:val="en-US"/>
        </w:rPr>
        <w:t>term “competent authority”</w:t>
      </w:r>
      <w:r>
        <w:rPr>
          <w:lang w:val="en-US"/>
        </w:rPr>
        <w:t xml:space="preserve"> would be explained the same way as in SP307.</w:t>
      </w:r>
    </w:p>
    <w:p w:rsidR="001C31B5" w:rsidRPr="0047131A" w:rsidRDefault="001C31B5" w:rsidP="001C31B5">
      <w:pPr>
        <w:pStyle w:val="SingleTxtG"/>
        <w:spacing w:before="240" w:after="0"/>
        <w:jc w:val="center"/>
        <w:rPr>
          <w:u w:val="single"/>
          <w:lang w:val="en-GB"/>
        </w:rPr>
      </w:pPr>
      <w:bookmarkStart w:id="0" w:name="_GoBack"/>
      <w:bookmarkEnd w:id="0"/>
      <w:r w:rsidRPr="0047131A">
        <w:rPr>
          <w:u w:val="single"/>
          <w:lang w:val="en-GB"/>
        </w:rPr>
        <w:tab/>
      </w:r>
      <w:r w:rsidRPr="0047131A">
        <w:rPr>
          <w:u w:val="single"/>
          <w:lang w:val="en-GB"/>
        </w:rPr>
        <w:tab/>
      </w:r>
      <w:r w:rsidRPr="0047131A">
        <w:rPr>
          <w:u w:val="single"/>
          <w:lang w:val="en-GB"/>
        </w:rPr>
        <w:tab/>
      </w:r>
    </w:p>
    <w:sectPr w:rsidR="001C31B5" w:rsidRPr="0047131A" w:rsidSect="00546BFA">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22" w:rsidRDefault="004F2022"/>
  </w:endnote>
  <w:endnote w:type="continuationSeparator" w:id="0">
    <w:p w:rsidR="004F2022" w:rsidRDefault="004F2022"/>
  </w:endnote>
  <w:endnote w:type="continuationNotice" w:id="1">
    <w:p w:rsidR="004F2022" w:rsidRDefault="004F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sz w:val="18"/>
      </w:rPr>
    </w:pPr>
    <w:r w:rsidRPr="00546BFA">
      <w:rPr>
        <w:b/>
        <w:sz w:val="18"/>
      </w:rPr>
      <w:fldChar w:fldCharType="begin"/>
    </w:r>
    <w:r w:rsidRPr="00546BFA">
      <w:rPr>
        <w:b/>
        <w:sz w:val="18"/>
      </w:rPr>
      <w:instrText xml:space="preserve"> PAGE  \* MERGEFORMAT </w:instrText>
    </w:r>
    <w:r w:rsidRPr="00546BFA">
      <w:rPr>
        <w:b/>
        <w:sz w:val="18"/>
      </w:rPr>
      <w:fldChar w:fldCharType="separate"/>
    </w:r>
    <w:r w:rsidR="007316CC">
      <w:rPr>
        <w:b/>
        <w:noProof/>
        <w:sz w:val="18"/>
      </w:rPr>
      <w:t>2</w:t>
    </w:r>
    <w:r w:rsidRPr="00546B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b/>
        <w:sz w:val="18"/>
      </w:rPr>
    </w:pPr>
    <w:r>
      <w:tab/>
    </w:r>
    <w:r w:rsidRPr="00546BFA">
      <w:rPr>
        <w:b/>
        <w:sz w:val="18"/>
      </w:rPr>
      <w:fldChar w:fldCharType="begin"/>
    </w:r>
    <w:r w:rsidRPr="00546BFA">
      <w:rPr>
        <w:b/>
        <w:sz w:val="18"/>
      </w:rPr>
      <w:instrText xml:space="preserve"> PAGE  \* MERGEFORMAT </w:instrText>
    </w:r>
    <w:r w:rsidRPr="00546BFA">
      <w:rPr>
        <w:b/>
        <w:sz w:val="18"/>
      </w:rPr>
      <w:fldChar w:fldCharType="separate"/>
    </w:r>
    <w:r w:rsidR="007316CC">
      <w:rPr>
        <w:b/>
        <w:noProof/>
        <w:sz w:val="18"/>
      </w:rPr>
      <w:t>3</w:t>
    </w:r>
    <w:r w:rsidRPr="00546B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22" w:rsidRPr="000B175B" w:rsidRDefault="004F2022" w:rsidP="000B175B">
      <w:pPr>
        <w:tabs>
          <w:tab w:val="right" w:pos="2155"/>
        </w:tabs>
        <w:spacing w:after="80"/>
        <w:ind w:left="680"/>
        <w:rPr>
          <w:u w:val="single"/>
        </w:rPr>
      </w:pPr>
      <w:r>
        <w:rPr>
          <w:u w:val="single"/>
        </w:rPr>
        <w:tab/>
      </w:r>
    </w:p>
  </w:footnote>
  <w:footnote w:type="continuationSeparator" w:id="0">
    <w:p w:rsidR="004F2022" w:rsidRPr="00FC68B7" w:rsidRDefault="004F2022" w:rsidP="00FC68B7">
      <w:pPr>
        <w:tabs>
          <w:tab w:val="left" w:pos="2155"/>
        </w:tabs>
        <w:spacing w:after="80"/>
        <w:ind w:left="680"/>
        <w:rPr>
          <w:u w:val="single"/>
        </w:rPr>
      </w:pPr>
      <w:r>
        <w:rPr>
          <w:u w:val="single"/>
        </w:rPr>
        <w:tab/>
      </w:r>
    </w:p>
  </w:footnote>
  <w:footnote w:type="continuationNotice" w:id="1">
    <w:p w:rsidR="004F2022" w:rsidRDefault="004F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7B5C5A">
    <w:pPr>
      <w:pStyle w:val="Header"/>
    </w:pPr>
    <w:r>
      <w:t>INF.</w:t>
    </w:r>
    <w:r w:rsidR="007316C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Header"/>
      <w:jc w:val="right"/>
    </w:pPr>
    <w:r>
      <w:t>INF.</w:t>
    </w:r>
    <w:r w:rsidR="007316C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AC12D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4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F6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0"/>
  </w:num>
  <w:num w:numId="24">
    <w:abstractNumId w:val="14"/>
  </w:num>
  <w:num w:numId="25">
    <w:abstractNumId w:val="16"/>
  </w:num>
  <w:num w:numId="26">
    <w:abstractNumId w:val="11"/>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A"/>
    <w:rsid w:val="00025543"/>
    <w:rsid w:val="00041238"/>
    <w:rsid w:val="00046B1F"/>
    <w:rsid w:val="0005055C"/>
    <w:rsid w:val="00050F6B"/>
    <w:rsid w:val="00057E97"/>
    <w:rsid w:val="000646F4"/>
    <w:rsid w:val="000648BB"/>
    <w:rsid w:val="00072C8C"/>
    <w:rsid w:val="000733B5"/>
    <w:rsid w:val="00081815"/>
    <w:rsid w:val="000931C0"/>
    <w:rsid w:val="000B0595"/>
    <w:rsid w:val="000B175B"/>
    <w:rsid w:val="000B3A0F"/>
    <w:rsid w:val="000B4EF7"/>
    <w:rsid w:val="000C269F"/>
    <w:rsid w:val="000C2C03"/>
    <w:rsid w:val="000C2D2E"/>
    <w:rsid w:val="000D79D3"/>
    <w:rsid w:val="000E0415"/>
    <w:rsid w:val="000F5BC0"/>
    <w:rsid w:val="001103AA"/>
    <w:rsid w:val="00110D53"/>
    <w:rsid w:val="0011666B"/>
    <w:rsid w:val="00127FC9"/>
    <w:rsid w:val="00143B55"/>
    <w:rsid w:val="001511AE"/>
    <w:rsid w:val="00165F3A"/>
    <w:rsid w:val="001704F4"/>
    <w:rsid w:val="001761A3"/>
    <w:rsid w:val="0018215C"/>
    <w:rsid w:val="001B1364"/>
    <w:rsid w:val="001B4B04"/>
    <w:rsid w:val="001B5E7E"/>
    <w:rsid w:val="001C07AC"/>
    <w:rsid w:val="001C31B5"/>
    <w:rsid w:val="001C6663"/>
    <w:rsid w:val="001C7895"/>
    <w:rsid w:val="001D0C8C"/>
    <w:rsid w:val="001D1419"/>
    <w:rsid w:val="001D26DF"/>
    <w:rsid w:val="001D3A03"/>
    <w:rsid w:val="001D6654"/>
    <w:rsid w:val="001E0EE5"/>
    <w:rsid w:val="001E7B67"/>
    <w:rsid w:val="001F740B"/>
    <w:rsid w:val="00202DA8"/>
    <w:rsid w:val="00211E0B"/>
    <w:rsid w:val="00220D7F"/>
    <w:rsid w:val="002232E0"/>
    <w:rsid w:val="00237E67"/>
    <w:rsid w:val="0024772E"/>
    <w:rsid w:val="002571A5"/>
    <w:rsid w:val="0026192A"/>
    <w:rsid w:val="00267F5F"/>
    <w:rsid w:val="00284457"/>
    <w:rsid w:val="00285E0D"/>
    <w:rsid w:val="00286B4D"/>
    <w:rsid w:val="002D4643"/>
    <w:rsid w:val="002E3053"/>
    <w:rsid w:val="002F175C"/>
    <w:rsid w:val="00302E18"/>
    <w:rsid w:val="003229D8"/>
    <w:rsid w:val="00327F67"/>
    <w:rsid w:val="003328B6"/>
    <w:rsid w:val="00352709"/>
    <w:rsid w:val="003619B5"/>
    <w:rsid w:val="00364F7A"/>
    <w:rsid w:val="00365763"/>
    <w:rsid w:val="00371178"/>
    <w:rsid w:val="0037333E"/>
    <w:rsid w:val="00381424"/>
    <w:rsid w:val="00392E47"/>
    <w:rsid w:val="003A355D"/>
    <w:rsid w:val="003A4373"/>
    <w:rsid w:val="003A6810"/>
    <w:rsid w:val="003B3C0D"/>
    <w:rsid w:val="003C2CC4"/>
    <w:rsid w:val="003C7823"/>
    <w:rsid w:val="003D1847"/>
    <w:rsid w:val="003D4B23"/>
    <w:rsid w:val="003E130E"/>
    <w:rsid w:val="003E5C1C"/>
    <w:rsid w:val="00410C89"/>
    <w:rsid w:val="00411805"/>
    <w:rsid w:val="00421E7A"/>
    <w:rsid w:val="00422E03"/>
    <w:rsid w:val="00426B9B"/>
    <w:rsid w:val="004325CB"/>
    <w:rsid w:val="00432E94"/>
    <w:rsid w:val="00442A83"/>
    <w:rsid w:val="00445FD3"/>
    <w:rsid w:val="00447F23"/>
    <w:rsid w:val="0045495B"/>
    <w:rsid w:val="004561E5"/>
    <w:rsid w:val="0048397A"/>
    <w:rsid w:val="00484A5D"/>
    <w:rsid w:val="00485CBB"/>
    <w:rsid w:val="004866B7"/>
    <w:rsid w:val="004C2461"/>
    <w:rsid w:val="004C66F7"/>
    <w:rsid w:val="004C7462"/>
    <w:rsid w:val="004E77B2"/>
    <w:rsid w:val="004F2022"/>
    <w:rsid w:val="004F4722"/>
    <w:rsid w:val="00504B2D"/>
    <w:rsid w:val="00506BEB"/>
    <w:rsid w:val="0052136D"/>
    <w:rsid w:val="00524D17"/>
    <w:rsid w:val="005257E5"/>
    <w:rsid w:val="0052775E"/>
    <w:rsid w:val="00533C11"/>
    <w:rsid w:val="005420F2"/>
    <w:rsid w:val="00546BFA"/>
    <w:rsid w:val="005628B6"/>
    <w:rsid w:val="005940E4"/>
    <w:rsid w:val="005941EC"/>
    <w:rsid w:val="0059724D"/>
    <w:rsid w:val="005B3DB3"/>
    <w:rsid w:val="005B4E13"/>
    <w:rsid w:val="005C1DA3"/>
    <w:rsid w:val="005C342F"/>
    <w:rsid w:val="005F498C"/>
    <w:rsid w:val="005F7B75"/>
    <w:rsid w:val="006001EE"/>
    <w:rsid w:val="00605042"/>
    <w:rsid w:val="00611FC4"/>
    <w:rsid w:val="006176FB"/>
    <w:rsid w:val="00640B26"/>
    <w:rsid w:val="00652D0A"/>
    <w:rsid w:val="00654BBD"/>
    <w:rsid w:val="00662BB6"/>
    <w:rsid w:val="00676606"/>
    <w:rsid w:val="00684C21"/>
    <w:rsid w:val="006A2530"/>
    <w:rsid w:val="006A3B99"/>
    <w:rsid w:val="006B4A07"/>
    <w:rsid w:val="006C3589"/>
    <w:rsid w:val="006D37AF"/>
    <w:rsid w:val="006D51D0"/>
    <w:rsid w:val="006D5FB9"/>
    <w:rsid w:val="006D66AD"/>
    <w:rsid w:val="006E564B"/>
    <w:rsid w:val="006E7191"/>
    <w:rsid w:val="006F29CC"/>
    <w:rsid w:val="006F4ECD"/>
    <w:rsid w:val="00703577"/>
    <w:rsid w:val="00705894"/>
    <w:rsid w:val="0072599C"/>
    <w:rsid w:val="0072632A"/>
    <w:rsid w:val="007316CC"/>
    <w:rsid w:val="007327D5"/>
    <w:rsid w:val="007629C8"/>
    <w:rsid w:val="0077047D"/>
    <w:rsid w:val="007B5C5A"/>
    <w:rsid w:val="007B6BA5"/>
    <w:rsid w:val="007C3390"/>
    <w:rsid w:val="007C4F4B"/>
    <w:rsid w:val="007C51AA"/>
    <w:rsid w:val="007C7F0E"/>
    <w:rsid w:val="007D01AF"/>
    <w:rsid w:val="007E01E9"/>
    <w:rsid w:val="007E63F3"/>
    <w:rsid w:val="007F6611"/>
    <w:rsid w:val="007F6CA0"/>
    <w:rsid w:val="00811920"/>
    <w:rsid w:val="00815AD0"/>
    <w:rsid w:val="008242D7"/>
    <w:rsid w:val="008257B1"/>
    <w:rsid w:val="00832334"/>
    <w:rsid w:val="00837E87"/>
    <w:rsid w:val="00843767"/>
    <w:rsid w:val="008451C8"/>
    <w:rsid w:val="008463E4"/>
    <w:rsid w:val="00853F5C"/>
    <w:rsid w:val="008679D9"/>
    <w:rsid w:val="008878DE"/>
    <w:rsid w:val="00891293"/>
    <w:rsid w:val="008979B1"/>
    <w:rsid w:val="008A6B25"/>
    <w:rsid w:val="008A6C4F"/>
    <w:rsid w:val="008B2335"/>
    <w:rsid w:val="008E0678"/>
    <w:rsid w:val="008E6DDD"/>
    <w:rsid w:val="008F31D2"/>
    <w:rsid w:val="00916585"/>
    <w:rsid w:val="00917FDE"/>
    <w:rsid w:val="009223CA"/>
    <w:rsid w:val="00940F93"/>
    <w:rsid w:val="00955332"/>
    <w:rsid w:val="009658E7"/>
    <w:rsid w:val="009760F3"/>
    <w:rsid w:val="00976CFB"/>
    <w:rsid w:val="00987B23"/>
    <w:rsid w:val="009A0830"/>
    <w:rsid w:val="009A0E8D"/>
    <w:rsid w:val="009B26E7"/>
    <w:rsid w:val="009E1711"/>
    <w:rsid w:val="00A00697"/>
    <w:rsid w:val="00A00A3F"/>
    <w:rsid w:val="00A01489"/>
    <w:rsid w:val="00A10A52"/>
    <w:rsid w:val="00A3026E"/>
    <w:rsid w:val="00A338F1"/>
    <w:rsid w:val="00A33D4B"/>
    <w:rsid w:val="00A358C1"/>
    <w:rsid w:val="00A35BE0"/>
    <w:rsid w:val="00A37785"/>
    <w:rsid w:val="00A6129C"/>
    <w:rsid w:val="00A72F22"/>
    <w:rsid w:val="00A7360F"/>
    <w:rsid w:val="00A741DC"/>
    <w:rsid w:val="00A748A6"/>
    <w:rsid w:val="00A757E2"/>
    <w:rsid w:val="00A769F4"/>
    <w:rsid w:val="00A776B4"/>
    <w:rsid w:val="00A903CE"/>
    <w:rsid w:val="00A94361"/>
    <w:rsid w:val="00AA293C"/>
    <w:rsid w:val="00AA53C1"/>
    <w:rsid w:val="00AA7ADF"/>
    <w:rsid w:val="00AD297D"/>
    <w:rsid w:val="00AE0AD9"/>
    <w:rsid w:val="00B0747E"/>
    <w:rsid w:val="00B13A09"/>
    <w:rsid w:val="00B30179"/>
    <w:rsid w:val="00B369AD"/>
    <w:rsid w:val="00B421C1"/>
    <w:rsid w:val="00B55C71"/>
    <w:rsid w:val="00B56E4A"/>
    <w:rsid w:val="00B56E9C"/>
    <w:rsid w:val="00B64B1F"/>
    <w:rsid w:val="00B6553F"/>
    <w:rsid w:val="00B77D05"/>
    <w:rsid w:val="00B81206"/>
    <w:rsid w:val="00B81993"/>
    <w:rsid w:val="00B81E12"/>
    <w:rsid w:val="00B83937"/>
    <w:rsid w:val="00B92DB3"/>
    <w:rsid w:val="00B94994"/>
    <w:rsid w:val="00BC3FA0"/>
    <w:rsid w:val="00BC74E9"/>
    <w:rsid w:val="00BD0F77"/>
    <w:rsid w:val="00BE4860"/>
    <w:rsid w:val="00BF68A8"/>
    <w:rsid w:val="00C0165A"/>
    <w:rsid w:val="00C01743"/>
    <w:rsid w:val="00C11A03"/>
    <w:rsid w:val="00C13D6B"/>
    <w:rsid w:val="00C14886"/>
    <w:rsid w:val="00C14D64"/>
    <w:rsid w:val="00C1729E"/>
    <w:rsid w:val="00C22C0C"/>
    <w:rsid w:val="00C26722"/>
    <w:rsid w:val="00C33AA4"/>
    <w:rsid w:val="00C363F1"/>
    <w:rsid w:val="00C4527F"/>
    <w:rsid w:val="00C463DD"/>
    <w:rsid w:val="00C4724C"/>
    <w:rsid w:val="00C56B64"/>
    <w:rsid w:val="00C57895"/>
    <w:rsid w:val="00C629A0"/>
    <w:rsid w:val="00C64629"/>
    <w:rsid w:val="00C745C3"/>
    <w:rsid w:val="00C96DF2"/>
    <w:rsid w:val="00CA4842"/>
    <w:rsid w:val="00CB3E03"/>
    <w:rsid w:val="00CD2A30"/>
    <w:rsid w:val="00CD4AA6"/>
    <w:rsid w:val="00CE4A8F"/>
    <w:rsid w:val="00CF0A42"/>
    <w:rsid w:val="00D20060"/>
    <w:rsid w:val="00D2031B"/>
    <w:rsid w:val="00D217F3"/>
    <w:rsid w:val="00D248B6"/>
    <w:rsid w:val="00D25FE2"/>
    <w:rsid w:val="00D43252"/>
    <w:rsid w:val="00D47EEA"/>
    <w:rsid w:val="00D67FB1"/>
    <w:rsid w:val="00D773DF"/>
    <w:rsid w:val="00D8072E"/>
    <w:rsid w:val="00D95303"/>
    <w:rsid w:val="00D96E4E"/>
    <w:rsid w:val="00D978C6"/>
    <w:rsid w:val="00DA24AF"/>
    <w:rsid w:val="00DA3C1C"/>
    <w:rsid w:val="00DB4F2F"/>
    <w:rsid w:val="00DC782F"/>
    <w:rsid w:val="00DE5393"/>
    <w:rsid w:val="00DE7F53"/>
    <w:rsid w:val="00E046DF"/>
    <w:rsid w:val="00E07321"/>
    <w:rsid w:val="00E27346"/>
    <w:rsid w:val="00E32E41"/>
    <w:rsid w:val="00E71BC8"/>
    <w:rsid w:val="00E7260F"/>
    <w:rsid w:val="00E73F5D"/>
    <w:rsid w:val="00E77E4E"/>
    <w:rsid w:val="00E96630"/>
    <w:rsid w:val="00E9729E"/>
    <w:rsid w:val="00E976E8"/>
    <w:rsid w:val="00EB4028"/>
    <w:rsid w:val="00EC2648"/>
    <w:rsid w:val="00EC62A4"/>
    <w:rsid w:val="00ED7A2A"/>
    <w:rsid w:val="00EF14B2"/>
    <w:rsid w:val="00EF1D7F"/>
    <w:rsid w:val="00EF3E9C"/>
    <w:rsid w:val="00EF69EB"/>
    <w:rsid w:val="00F31E5F"/>
    <w:rsid w:val="00F336B1"/>
    <w:rsid w:val="00F5132E"/>
    <w:rsid w:val="00F6100A"/>
    <w:rsid w:val="00F74143"/>
    <w:rsid w:val="00F8662E"/>
    <w:rsid w:val="00F93781"/>
    <w:rsid w:val="00FA539F"/>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271D39"/>
  <w15:docId w15:val="{C012398D-645E-4DF4-8956-68CCFB5C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F4"/>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1704F4"/>
    <w:pPr>
      <w:spacing w:after="0" w:line="240" w:lineRule="auto"/>
      <w:ind w:right="0"/>
      <w:jc w:val="left"/>
      <w:outlineLvl w:val="0"/>
    </w:pPr>
  </w:style>
  <w:style w:type="paragraph" w:styleId="Heading2">
    <w:name w:val="heading 2"/>
    <w:basedOn w:val="Normal"/>
    <w:next w:val="Normal"/>
    <w:link w:val="Heading2Char"/>
    <w:uiPriority w:val="99"/>
    <w:qFormat/>
    <w:rsid w:val="001704F4"/>
    <w:pPr>
      <w:spacing w:line="240" w:lineRule="auto"/>
      <w:outlineLvl w:val="1"/>
    </w:pPr>
  </w:style>
  <w:style w:type="paragraph" w:styleId="Heading3">
    <w:name w:val="heading 3"/>
    <w:basedOn w:val="Normal"/>
    <w:next w:val="Normal"/>
    <w:link w:val="Heading3Char"/>
    <w:uiPriority w:val="99"/>
    <w:qFormat/>
    <w:rsid w:val="001704F4"/>
    <w:pPr>
      <w:spacing w:line="240" w:lineRule="auto"/>
      <w:outlineLvl w:val="2"/>
    </w:pPr>
  </w:style>
  <w:style w:type="paragraph" w:styleId="Heading4">
    <w:name w:val="heading 4"/>
    <w:basedOn w:val="Normal"/>
    <w:next w:val="Normal"/>
    <w:link w:val="Heading4Char"/>
    <w:uiPriority w:val="99"/>
    <w:qFormat/>
    <w:rsid w:val="001704F4"/>
    <w:pPr>
      <w:spacing w:line="240" w:lineRule="auto"/>
      <w:outlineLvl w:val="3"/>
    </w:pPr>
  </w:style>
  <w:style w:type="paragraph" w:styleId="Heading5">
    <w:name w:val="heading 5"/>
    <w:basedOn w:val="Normal"/>
    <w:next w:val="Normal"/>
    <w:link w:val="Heading5Char"/>
    <w:uiPriority w:val="99"/>
    <w:qFormat/>
    <w:rsid w:val="001704F4"/>
    <w:pPr>
      <w:spacing w:line="240" w:lineRule="auto"/>
      <w:outlineLvl w:val="4"/>
    </w:pPr>
  </w:style>
  <w:style w:type="paragraph" w:styleId="Heading6">
    <w:name w:val="heading 6"/>
    <w:basedOn w:val="Normal"/>
    <w:next w:val="Normal"/>
    <w:link w:val="Heading6Char"/>
    <w:uiPriority w:val="99"/>
    <w:qFormat/>
    <w:rsid w:val="001704F4"/>
    <w:pPr>
      <w:spacing w:line="240" w:lineRule="auto"/>
      <w:outlineLvl w:val="5"/>
    </w:pPr>
  </w:style>
  <w:style w:type="paragraph" w:styleId="Heading7">
    <w:name w:val="heading 7"/>
    <w:basedOn w:val="Normal"/>
    <w:next w:val="Normal"/>
    <w:link w:val="Heading7Char"/>
    <w:uiPriority w:val="99"/>
    <w:qFormat/>
    <w:rsid w:val="001704F4"/>
    <w:pPr>
      <w:spacing w:line="240" w:lineRule="auto"/>
      <w:outlineLvl w:val="6"/>
    </w:pPr>
  </w:style>
  <w:style w:type="paragraph" w:styleId="Heading8">
    <w:name w:val="heading 8"/>
    <w:basedOn w:val="Normal"/>
    <w:next w:val="Normal"/>
    <w:link w:val="Heading8Char"/>
    <w:uiPriority w:val="99"/>
    <w:qFormat/>
    <w:rsid w:val="001704F4"/>
    <w:pPr>
      <w:spacing w:line="240" w:lineRule="auto"/>
      <w:outlineLvl w:val="7"/>
    </w:pPr>
  </w:style>
  <w:style w:type="paragraph" w:styleId="Heading9">
    <w:name w:val="heading 9"/>
    <w:basedOn w:val="Normal"/>
    <w:next w:val="Normal"/>
    <w:link w:val="Heading9Char"/>
    <w:uiPriority w:val="99"/>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fr-FR"/>
    </w:rPr>
  </w:style>
  <w:style w:type="paragraph" w:customStyle="1" w:styleId="SingleTxtG">
    <w:name w:val="_ Single Txt_G"/>
    <w:basedOn w:val="Normal"/>
    <w:link w:val="SingleTxtGChar"/>
    <w:uiPriority w:val="99"/>
    <w:qFormat/>
    <w:rsid w:val="001704F4"/>
    <w:pPr>
      <w:spacing w:after="120"/>
      <w:ind w:left="1134" w:right="1134"/>
      <w:jc w:val="both"/>
    </w:pPr>
    <w:rPr>
      <w:lang w:val="fr-FR"/>
    </w:r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F5132E"/>
    <w:rPr>
      <w:rFonts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F5132E"/>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BodyTextIndent">
    <w:name w:val="Body Text Indent"/>
    <w:basedOn w:val="Normal"/>
    <w:link w:val="BodyTextIndentChar"/>
    <w:uiPriority w:val="99"/>
    <w:semiHidden/>
    <w:rsid w:val="00F5132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lockText">
    <w:name w:val="Block Text"/>
    <w:basedOn w:val="Normal"/>
    <w:uiPriority w:val="99"/>
    <w:semiHidden/>
    <w:rsid w:val="00F5132E"/>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rsid w:val="000646F4"/>
    <w:rPr>
      <w:rFonts w:ascii="Times New Roman" w:hAnsi="Times New Roman" w:cs="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locked/>
    <w:rPr>
      <w:rFonts w:cs="Times New Roman"/>
      <w:sz w:val="20"/>
      <w:szCs w:val="20"/>
      <w:lang w:val="en-GB"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character" w:styleId="CommentReference">
    <w:name w:val="annotation reference"/>
    <w:basedOn w:val="DefaultParagraphFont"/>
    <w:uiPriority w:val="99"/>
    <w:semiHidden/>
    <w:rsid w:val="00F5132E"/>
    <w:rPr>
      <w:rFonts w:cs="Times New Roman"/>
      <w:sz w:val="6"/>
    </w:rPr>
  </w:style>
  <w:style w:type="paragraph" w:styleId="CommentText">
    <w:name w:val="annotation text"/>
    <w:basedOn w:val="Normal"/>
    <w:link w:val="CommentTextChar"/>
    <w:uiPriority w:val="99"/>
    <w:semiHidden/>
    <w:rsid w:val="00F5132E"/>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character" w:styleId="LineNumber">
    <w:name w:val="line number"/>
    <w:basedOn w:val="DefaultParagraphFont"/>
    <w:uiPriority w:val="99"/>
    <w:semiHidden/>
    <w:rsid w:val="00F5132E"/>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character" w:styleId="Emphasis">
    <w:name w:val="Emphasis"/>
    <w:basedOn w:val="DefaultParagraphFont"/>
    <w:uiPriority w:val="99"/>
    <w:qFormat/>
    <w:rsid w:val="001704F4"/>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character" w:styleId="Strong">
    <w:name w:val="Strong"/>
    <w:basedOn w:val="DefaultParagraphFont"/>
    <w:uiPriority w:val="99"/>
    <w:qFormat/>
    <w:rsid w:val="001704F4"/>
    <w:rPr>
      <w:rFonts w:cs="Times New Roman"/>
      <w:b/>
      <w:bCs/>
    </w:rPr>
  </w:style>
  <w:style w:type="paragraph" w:styleId="Subtitle">
    <w:name w:val="Subtitle"/>
    <w:basedOn w:val="Normal"/>
    <w:link w:val="SubtitleChar"/>
    <w:uiPriority w:val="99"/>
    <w:qFormat/>
    <w:rsid w:val="001704F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704F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val="en-GB" w:eastAsia="en-US"/>
    </w:rPr>
  </w:style>
  <w:style w:type="character" w:customStyle="1" w:styleId="SingleTxtGChar">
    <w:name w:val="_ Single Txt_G Char"/>
    <w:link w:val="SingleTxtG"/>
    <w:uiPriority w:val="99"/>
    <w:locked/>
    <w:rsid w:val="001704F4"/>
    <w:rPr>
      <w:lang w:eastAsia="en-US"/>
    </w:rPr>
  </w:style>
  <w:style w:type="paragraph" w:styleId="BalloonText">
    <w:name w:val="Balloon Text"/>
    <w:basedOn w:val="Normal"/>
    <w:link w:val="BalloonTextChar"/>
    <w:uiPriority w:val="99"/>
    <w:rsid w:val="0054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6BFA"/>
    <w:rPr>
      <w:rFonts w:ascii="Tahoma" w:hAnsi="Tahoma" w:cs="Tahoma"/>
      <w:sz w:val="16"/>
      <w:szCs w:val="16"/>
      <w:lang w:eastAsia="en-US"/>
    </w:rPr>
  </w:style>
  <w:style w:type="character" w:customStyle="1" w:styleId="HChGChar">
    <w:name w:val="_ H _Ch_G Char"/>
    <w:link w:val="HChG"/>
    <w:uiPriority w:val="99"/>
    <w:locked/>
    <w:rsid w:val="00041238"/>
    <w:rPr>
      <w:b/>
      <w:sz w:val="28"/>
      <w:lang w:eastAsia="en-US"/>
    </w:rPr>
  </w:style>
  <w:style w:type="character" w:customStyle="1" w:styleId="H1GChar">
    <w:name w:val="_ H_1_G Char"/>
    <w:link w:val="H1G"/>
    <w:uiPriority w:val="99"/>
    <w:locked/>
    <w:rsid w:val="00041238"/>
    <w:rPr>
      <w:b/>
      <w:sz w:val="24"/>
      <w:lang w:eastAsia="en-US"/>
    </w:rPr>
  </w:style>
  <w:style w:type="numbering" w:styleId="ArticleSection">
    <w:name w:val="Outline List 3"/>
    <w:basedOn w:val="NoList"/>
    <w:uiPriority w:val="99"/>
    <w:semiHidden/>
    <w:unhideWhenUsed/>
    <w:rsid w:val="008657D5"/>
    <w:pPr>
      <w:numPr>
        <w:numId w:val="23"/>
      </w:numPr>
    </w:pPr>
  </w:style>
  <w:style w:type="numbering" w:styleId="1ai">
    <w:name w:val="Outline List 1"/>
    <w:basedOn w:val="NoList"/>
    <w:uiPriority w:val="99"/>
    <w:semiHidden/>
    <w:unhideWhenUsed/>
    <w:rsid w:val="008657D5"/>
    <w:pPr>
      <w:numPr>
        <w:numId w:val="22"/>
      </w:numPr>
    </w:pPr>
  </w:style>
  <w:style w:type="numbering" w:styleId="111111">
    <w:name w:val="Outline List 2"/>
    <w:basedOn w:val="NoList"/>
    <w:uiPriority w:val="99"/>
    <w:semiHidden/>
    <w:unhideWhenUsed/>
    <w:rsid w:val="008657D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4</TotalTime>
  <Pages>3</Pages>
  <Words>935</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WP.15 Report reading</dc:creator>
  <cp:keywords/>
  <dc:description/>
  <cp:lastModifiedBy>Christine Barrio-Champeau</cp:lastModifiedBy>
  <cp:revision>4</cp:revision>
  <cp:lastPrinted>2009-10-26T10:59:00Z</cp:lastPrinted>
  <dcterms:created xsi:type="dcterms:W3CDTF">2018-04-11T12:43:00Z</dcterms:created>
  <dcterms:modified xsi:type="dcterms:W3CDTF">2018-04-11T12:47:00Z</dcterms:modified>
</cp:coreProperties>
</file>