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D1DF3" w:rsidRPr="009F4D79" w14:paraId="52A47E27" w14:textId="77777777" w:rsidTr="00F01516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14:paraId="5E7DB14D" w14:textId="77777777" w:rsidR="003D1DF3" w:rsidRPr="009F4D79" w:rsidRDefault="003D1DF3" w:rsidP="00F01516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707AF77" w14:textId="77777777" w:rsidR="003D1DF3" w:rsidRPr="009F4D79" w:rsidRDefault="003D1DF3" w:rsidP="00F01516">
            <w:pPr>
              <w:spacing w:after="80" w:line="300" w:lineRule="exact"/>
              <w:rPr>
                <w:sz w:val="28"/>
                <w:lang w:val="fr-FR"/>
              </w:rPr>
            </w:pPr>
            <w:r w:rsidRPr="009F4D79">
              <w:rPr>
                <w:sz w:val="28"/>
                <w:lang w:val="fr-FR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14:paraId="1CE32F91" w14:textId="77777777" w:rsidR="003D1DF3" w:rsidRPr="009F4D79" w:rsidRDefault="00C4302B" w:rsidP="00AE4CAA">
            <w:pPr>
              <w:jc w:val="right"/>
              <w:rPr>
                <w:lang w:val="fr-FR"/>
              </w:rPr>
            </w:pPr>
            <w:r w:rsidRPr="009F4D79">
              <w:rPr>
                <w:sz w:val="40"/>
                <w:lang w:val="fr-FR"/>
              </w:rPr>
              <w:t>ECE</w:t>
            </w:r>
            <w:r w:rsidR="00A86837" w:rsidRPr="009F4D79">
              <w:rPr>
                <w:lang w:val="fr-FR"/>
              </w:rPr>
              <w:t>/</w:t>
            </w:r>
            <w:r w:rsidR="0038106F">
              <w:rPr>
                <w:lang w:val="fr-FR"/>
              </w:rPr>
              <w:t>ADN</w:t>
            </w:r>
            <w:r w:rsidR="00A86837" w:rsidRPr="009F4D79">
              <w:rPr>
                <w:lang w:val="fr-FR"/>
              </w:rPr>
              <w:t>/</w:t>
            </w:r>
            <w:r w:rsidR="0038106F">
              <w:rPr>
                <w:lang w:val="fr-FR"/>
              </w:rPr>
              <w:t>45</w:t>
            </w:r>
            <w:r w:rsidR="00A86837" w:rsidRPr="009F4D79">
              <w:rPr>
                <w:lang w:val="fr-FR"/>
              </w:rPr>
              <w:t>/</w:t>
            </w:r>
            <w:r w:rsidR="0038106F">
              <w:rPr>
                <w:lang w:val="fr-FR"/>
              </w:rPr>
              <w:t>Corr.1</w:t>
            </w:r>
          </w:p>
        </w:tc>
      </w:tr>
      <w:tr w:rsidR="003D1DF3" w:rsidRPr="009F4D79" w14:paraId="7D56C9AD" w14:textId="77777777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B888C04" w14:textId="77777777" w:rsidR="003D1DF3" w:rsidRPr="009F4D79" w:rsidRDefault="001703B7" w:rsidP="00F01516">
            <w:pPr>
              <w:spacing w:before="120"/>
              <w:jc w:val="center"/>
              <w:rPr>
                <w:lang w:val="fr-FR"/>
              </w:rPr>
            </w:pPr>
            <w:r w:rsidRPr="009F4D79">
              <w:rPr>
                <w:noProof/>
                <w:lang w:val="fr-FR"/>
              </w:rPr>
              <w:drawing>
                <wp:inline distT="0" distB="0" distL="0" distR="0" wp14:anchorId="7B7CB848" wp14:editId="7AB6AD25">
                  <wp:extent cx="714375" cy="590550"/>
                  <wp:effectExtent l="0" t="0" r="9525" b="0"/>
                  <wp:docPr id="7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7033DF" w14:textId="77777777" w:rsidR="003D1DF3" w:rsidRPr="009F4D79" w:rsidRDefault="003D1DF3" w:rsidP="00F01516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9F4D79">
              <w:rPr>
                <w:b/>
                <w:sz w:val="40"/>
                <w:szCs w:val="40"/>
                <w:lang w:val="fr-FR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B82B140" w14:textId="77777777" w:rsidR="003D1DF3" w:rsidRPr="009F4D79" w:rsidRDefault="00C4302B" w:rsidP="00C4302B">
            <w:pPr>
              <w:spacing w:before="240" w:line="240" w:lineRule="exact"/>
              <w:rPr>
                <w:lang w:val="fr-FR"/>
              </w:rPr>
            </w:pPr>
            <w:r w:rsidRPr="009F4D79">
              <w:rPr>
                <w:lang w:val="fr-FR"/>
              </w:rPr>
              <w:t>Distr. générale</w:t>
            </w:r>
          </w:p>
          <w:p w14:paraId="1FD6C9C8" w14:textId="4841D197" w:rsidR="00C4302B" w:rsidRPr="009F4D79" w:rsidRDefault="0038106F" w:rsidP="00C4302B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591942">
              <w:rPr>
                <w:lang w:val="fr-FR"/>
              </w:rPr>
              <w:t>8</w:t>
            </w:r>
            <w:r w:rsidRPr="009F4D79">
              <w:rPr>
                <w:lang w:val="fr-FR"/>
              </w:rPr>
              <w:t xml:space="preserve"> </w:t>
            </w:r>
            <w:r>
              <w:rPr>
                <w:lang w:val="fr-FR"/>
              </w:rPr>
              <w:t>septembre</w:t>
            </w:r>
            <w:r w:rsidRPr="009F4D79">
              <w:rPr>
                <w:lang w:val="fr-FR"/>
              </w:rPr>
              <w:t xml:space="preserve"> </w:t>
            </w:r>
            <w:r w:rsidR="00B30CFB" w:rsidRPr="009F4D79">
              <w:rPr>
                <w:lang w:val="fr-FR"/>
              </w:rPr>
              <w:t>201</w:t>
            </w:r>
            <w:r w:rsidR="00F25379" w:rsidRPr="009F4D79">
              <w:rPr>
                <w:lang w:val="fr-FR"/>
              </w:rPr>
              <w:t>8</w:t>
            </w:r>
          </w:p>
          <w:p w14:paraId="0E07B5DB" w14:textId="77777777" w:rsidR="00C4302B" w:rsidRPr="009F4D79" w:rsidRDefault="004153CF" w:rsidP="00C4302B">
            <w:pPr>
              <w:spacing w:line="240" w:lineRule="exact"/>
              <w:rPr>
                <w:lang w:val="fr-FR"/>
              </w:rPr>
            </w:pPr>
            <w:r w:rsidRPr="009F4D79">
              <w:rPr>
                <w:lang w:val="fr-FR"/>
              </w:rPr>
              <w:t>Français</w:t>
            </w:r>
          </w:p>
          <w:p w14:paraId="58D84EE0" w14:textId="77777777" w:rsidR="00C4302B" w:rsidRPr="009F4D79" w:rsidRDefault="00C4302B" w:rsidP="00B30CFB">
            <w:pPr>
              <w:spacing w:line="240" w:lineRule="exact"/>
              <w:rPr>
                <w:lang w:val="fr-FR"/>
              </w:rPr>
            </w:pPr>
            <w:r w:rsidRPr="009F4D79">
              <w:rPr>
                <w:lang w:val="fr-FR"/>
              </w:rPr>
              <w:t xml:space="preserve">Original: </w:t>
            </w:r>
            <w:r w:rsidR="00A8674A" w:rsidRPr="009F4D79">
              <w:rPr>
                <w:lang w:val="fr-FR"/>
              </w:rPr>
              <w:t>anglais et français</w:t>
            </w:r>
          </w:p>
        </w:tc>
      </w:tr>
    </w:tbl>
    <w:p w14:paraId="0583FE0B" w14:textId="77777777" w:rsidR="00FF1DBD" w:rsidRPr="009F4D79" w:rsidRDefault="000312C0" w:rsidP="000312C0">
      <w:pPr>
        <w:spacing w:before="120"/>
        <w:rPr>
          <w:b/>
          <w:sz w:val="28"/>
          <w:szCs w:val="28"/>
          <w:lang w:val="fr-FR"/>
        </w:rPr>
      </w:pPr>
      <w:r w:rsidRPr="009F4D79">
        <w:rPr>
          <w:b/>
          <w:sz w:val="28"/>
          <w:szCs w:val="28"/>
          <w:lang w:val="fr-FR"/>
        </w:rPr>
        <w:t>Commission économique pour l’Europe</w:t>
      </w:r>
    </w:p>
    <w:p w14:paraId="33B599C7" w14:textId="77777777" w:rsidR="00B93E72" w:rsidRPr="009F4D79" w:rsidRDefault="00B93E72" w:rsidP="00B93E72">
      <w:pPr>
        <w:spacing w:before="120"/>
        <w:rPr>
          <w:sz w:val="28"/>
          <w:szCs w:val="28"/>
          <w:lang w:val="fr-FR"/>
        </w:rPr>
      </w:pPr>
      <w:r w:rsidRPr="009F4D79">
        <w:rPr>
          <w:sz w:val="28"/>
          <w:szCs w:val="28"/>
          <w:lang w:val="fr-FR"/>
        </w:rPr>
        <w:t>Comité des transports intérieurs</w:t>
      </w:r>
    </w:p>
    <w:p w14:paraId="58D94075" w14:textId="77777777" w:rsidR="00B93E72" w:rsidRPr="009F4D79" w:rsidRDefault="00B93E72" w:rsidP="00B93E72">
      <w:pPr>
        <w:spacing w:before="120"/>
        <w:rPr>
          <w:b/>
          <w:sz w:val="24"/>
          <w:szCs w:val="24"/>
          <w:lang w:val="fr-FR"/>
        </w:rPr>
      </w:pPr>
      <w:r w:rsidRPr="009F4D79">
        <w:rPr>
          <w:b/>
          <w:sz w:val="24"/>
          <w:szCs w:val="24"/>
          <w:lang w:val="fr-FR"/>
        </w:rPr>
        <w:t>Groupe de travail des transports</w:t>
      </w:r>
      <w:r w:rsidR="00FA6422" w:rsidRPr="009F4D79">
        <w:rPr>
          <w:b/>
          <w:sz w:val="24"/>
          <w:szCs w:val="24"/>
          <w:lang w:val="fr-FR"/>
        </w:rPr>
        <w:t xml:space="preserve"> </w:t>
      </w:r>
      <w:r w:rsidRPr="009F4D79">
        <w:rPr>
          <w:b/>
          <w:sz w:val="24"/>
          <w:szCs w:val="24"/>
          <w:lang w:val="fr-FR"/>
        </w:rPr>
        <w:t>de marchandises dangereuses</w:t>
      </w:r>
    </w:p>
    <w:p w14:paraId="218AA831" w14:textId="77777777" w:rsidR="0049374F" w:rsidRPr="009F4D79" w:rsidRDefault="00A81B59" w:rsidP="0049374F">
      <w:pPr>
        <w:spacing w:before="120"/>
        <w:rPr>
          <w:b/>
          <w:lang w:val="fr-FR"/>
        </w:rPr>
      </w:pPr>
      <w:r w:rsidRPr="00464807">
        <w:rPr>
          <w:b/>
          <w:lang w:val="fr-FR"/>
        </w:rPr>
        <w:t>Comité d'administration de l’Accord européen</w:t>
      </w:r>
      <w:r w:rsidRPr="00687512">
        <w:rPr>
          <w:b/>
          <w:lang w:val="fr-FR"/>
        </w:rPr>
        <w:t xml:space="preserve"> </w:t>
      </w:r>
      <w:r w:rsidRPr="00687512">
        <w:rPr>
          <w:b/>
          <w:lang w:val="fr-FR"/>
        </w:rPr>
        <w:br/>
        <w:t>relatif au transport international</w:t>
      </w:r>
      <w:r>
        <w:rPr>
          <w:b/>
          <w:lang w:val="fr-FR"/>
        </w:rPr>
        <w:t xml:space="preserve"> </w:t>
      </w:r>
      <w:r w:rsidRPr="00687512">
        <w:rPr>
          <w:b/>
          <w:lang w:val="fr-FR"/>
        </w:rPr>
        <w:t xml:space="preserve">des marchandises </w:t>
      </w:r>
      <w:r>
        <w:rPr>
          <w:b/>
          <w:lang w:val="fr-FR"/>
        </w:rPr>
        <w:br/>
      </w:r>
      <w:r w:rsidRPr="00687512">
        <w:rPr>
          <w:b/>
          <w:bCs/>
          <w:iCs/>
          <w:lang w:val="fr-FR"/>
        </w:rPr>
        <w:t>dangereuses par voies de navigation intérieures (ADN)</w:t>
      </w:r>
    </w:p>
    <w:p w14:paraId="5F63118D" w14:textId="77777777" w:rsidR="00A86837" w:rsidRPr="009F4D79" w:rsidRDefault="0049374F" w:rsidP="00AF46FB">
      <w:pPr>
        <w:pStyle w:val="HChG"/>
        <w:rPr>
          <w:lang w:val="fr-FR"/>
        </w:rPr>
      </w:pPr>
      <w:r w:rsidRPr="009F4D79">
        <w:rPr>
          <w:lang w:val="fr-FR"/>
        </w:rPr>
        <w:tab/>
      </w:r>
      <w:r w:rsidR="00A86837" w:rsidRPr="009F4D79">
        <w:rPr>
          <w:lang w:val="fr-FR"/>
        </w:rPr>
        <w:tab/>
      </w:r>
      <w:r w:rsidR="00502CA8" w:rsidRPr="009F4D79">
        <w:rPr>
          <w:lang w:val="fr-FR"/>
        </w:rPr>
        <w:t>Accord européen relatif au transport international des marchandises dangereuses par voies de navigation intérieures (ADN)</w:t>
      </w:r>
    </w:p>
    <w:p w14:paraId="76A53F70" w14:textId="77777777" w:rsidR="00502CA8" w:rsidRPr="009F4D79" w:rsidRDefault="00A86837" w:rsidP="003836FF">
      <w:pPr>
        <w:pStyle w:val="H1G"/>
        <w:rPr>
          <w:lang w:val="fr-FR"/>
        </w:rPr>
      </w:pPr>
      <w:r w:rsidRPr="009F4D79">
        <w:rPr>
          <w:lang w:val="fr-FR"/>
        </w:rPr>
        <w:tab/>
      </w:r>
      <w:r w:rsidRPr="009F4D79">
        <w:rPr>
          <w:lang w:val="fr-FR"/>
        </w:rPr>
        <w:tab/>
      </w:r>
      <w:r w:rsidR="0038106F" w:rsidRPr="00B4120E">
        <w:rPr>
          <w:lang w:val="fr-FR"/>
        </w:rPr>
        <w:t>Projet d'amendements au Règlement annexé à l'ADN</w:t>
      </w:r>
      <w:r w:rsidR="0038106F" w:rsidRPr="009F4D79">
        <w:rPr>
          <w:bCs/>
          <w:vertAlign w:val="superscript"/>
          <w:lang w:val="fr-FR"/>
        </w:rPr>
        <w:footnoteReference w:customMarkFollows="1" w:id="2"/>
        <w:t>*</w:t>
      </w:r>
    </w:p>
    <w:p w14:paraId="3C7F9723" w14:textId="77777777" w:rsidR="00FF1E43" w:rsidRPr="009F4D79" w:rsidRDefault="0038106F" w:rsidP="00D267E2">
      <w:pPr>
        <w:pStyle w:val="H23G"/>
        <w:spacing w:after="240"/>
        <w:rPr>
          <w:lang w:val="fr-FR"/>
        </w:rPr>
      </w:pPr>
      <w:r w:rsidRPr="00464807">
        <w:tab/>
      </w:r>
      <w:r w:rsidRPr="00464807">
        <w:tab/>
        <w:t>Rectificatif</w:t>
      </w:r>
    </w:p>
    <w:p w14:paraId="0BC7F71C" w14:textId="540C48A8" w:rsidR="00C2783F" w:rsidRPr="00AC0F18" w:rsidRDefault="00C2783F" w:rsidP="00205D79">
      <w:pPr>
        <w:pStyle w:val="H23G"/>
        <w:spacing w:before="120"/>
      </w:pPr>
      <w:r w:rsidRPr="00AC0F18">
        <w:tab/>
      </w:r>
      <w:r w:rsidR="002E21F9">
        <w:t>1</w:t>
      </w:r>
      <w:r w:rsidRPr="00AC0F18">
        <w:t>.</w:t>
      </w:r>
      <w:r w:rsidRPr="00AC0F18">
        <w:tab/>
      </w:r>
      <w:r w:rsidRPr="00AC0F18">
        <w:rPr>
          <w:lang w:val="fr-FR"/>
        </w:rPr>
        <w:t xml:space="preserve">Amendement à la Partie 1, </w:t>
      </w:r>
      <w:r w:rsidRPr="00AC0F18">
        <w:t xml:space="preserve">Chapitre 1.2, </w:t>
      </w:r>
      <w:r w:rsidRPr="00AC0F18">
        <w:rPr>
          <w:rFonts w:asciiTheme="majorBidi" w:hAnsiTheme="majorBidi" w:cstheme="majorBidi"/>
        </w:rPr>
        <w:t xml:space="preserve">définition de </w:t>
      </w:r>
      <w:r w:rsidRPr="00AC0F18">
        <w:rPr>
          <w:lang w:val="fr-FR" w:eastAsia="fr-FR"/>
        </w:rPr>
        <w:t>Coupe-flammes</w:t>
      </w:r>
    </w:p>
    <w:p w14:paraId="115FB0AF" w14:textId="77777777" w:rsidR="00C2783F" w:rsidRDefault="00C2783F" w:rsidP="00C2783F">
      <w:pPr>
        <w:pStyle w:val="SingleTxtG"/>
        <w:rPr>
          <w:rFonts w:asciiTheme="majorBidi" w:eastAsia="Calibri" w:hAnsiTheme="majorBidi" w:cstheme="majorBidi"/>
          <w:iCs/>
          <w:lang w:val="fr-FR"/>
        </w:rPr>
      </w:pPr>
      <w:r w:rsidRPr="00AC0F18">
        <w:rPr>
          <w:i/>
          <w:iCs/>
        </w:rPr>
        <w:t xml:space="preserve">A la place </w:t>
      </w:r>
      <w:r>
        <w:rPr>
          <w:i/>
          <w:iCs/>
        </w:rPr>
        <w:t xml:space="preserve">de </w:t>
      </w:r>
      <w:r w:rsidRPr="00AC0F18">
        <w:rPr>
          <w:rFonts w:asciiTheme="majorBidi" w:eastAsia="Calibri" w:hAnsiTheme="majorBidi" w:cstheme="majorBidi"/>
          <w:iCs/>
          <w:lang w:val="fr-FR"/>
        </w:rPr>
        <w:t>directive 2014/34/UE</w:t>
      </w:r>
      <w:r w:rsidRPr="00AC0F18">
        <w:rPr>
          <w:rFonts w:asciiTheme="majorBidi" w:eastAsia="Calibri" w:hAnsiTheme="majorBidi" w:cstheme="majorBidi"/>
          <w:iCs/>
          <w:vertAlign w:val="superscript"/>
          <w:lang w:val="fr-FR"/>
        </w:rPr>
        <w:t>2</w:t>
      </w:r>
      <w:r w:rsidRPr="00AC0F18">
        <w:rPr>
          <w:rFonts w:asciiTheme="majorBidi" w:eastAsia="Calibri" w:hAnsiTheme="majorBidi" w:cstheme="majorBidi"/>
          <w:iCs/>
          <w:lang w:val="fr-FR"/>
        </w:rPr>
        <w:t>,</w:t>
      </w:r>
      <w:r w:rsidRPr="00AC0F18">
        <w:t xml:space="preserve"> </w:t>
      </w:r>
      <w:r w:rsidRPr="00AC0F18">
        <w:rPr>
          <w:i/>
          <w:iCs/>
        </w:rPr>
        <w:t>lire</w:t>
      </w:r>
      <w:r w:rsidRPr="00AC0F18">
        <w:t xml:space="preserve"> </w:t>
      </w:r>
      <w:r w:rsidRPr="00AC0F18">
        <w:rPr>
          <w:rFonts w:asciiTheme="majorBidi" w:eastAsia="Calibri" w:hAnsiTheme="majorBidi" w:cstheme="majorBidi"/>
          <w:iCs/>
          <w:lang w:val="fr-FR"/>
        </w:rPr>
        <w:t>directive 2014/34/UE</w:t>
      </w:r>
      <w:r w:rsidRPr="00AC0F18">
        <w:rPr>
          <w:rFonts w:asciiTheme="majorBidi" w:eastAsia="Calibri" w:hAnsiTheme="majorBidi" w:cstheme="majorBidi"/>
          <w:iCs/>
          <w:vertAlign w:val="superscript"/>
          <w:lang w:val="fr-FR"/>
        </w:rPr>
        <w:t>2</w:t>
      </w:r>
      <w:r w:rsidRPr="00AC0F18">
        <w:rPr>
          <w:rFonts w:asciiTheme="majorBidi" w:eastAsia="Calibri" w:hAnsiTheme="majorBidi" w:cstheme="majorBidi"/>
          <w:iCs/>
          <w:lang w:val="fr-FR"/>
        </w:rPr>
        <w:t>, le système IECEx</w:t>
      </w:r>
      <w:r w:rsidRPr="00AC0F18">
        <w:rPr>
          <w:rFonts w:asciiTheme="majorBidi" w:eastAsia="Calibri" w:hAnsiTheme="majorBidi" w:cstheme="majorBidi"/>
          <w:iCs/>
          <w:vertAlign w:val="superscript"/>
          <w:lang w:val="fr-FR"/>
        </w:rPr>
        <w:t>5</w:t>
      </w:r>
      <w:r w:rsidRPr="00AC0F18">
        <w:rPr>
          <w:rFonts w:asciiTheme="majorBidi" w:eastAsia="Calibri" w:hAnsiTheme="majorBidi" w:cstheme="majorBidi"/>
          <w:iCs/>
          <w:lang w:val="fr-FR"/>
        </w:rPr>
        <w:t>,</w:t>
      </w:r>
    </w:p>
    <w:p w14:paraId="5C3AC1CF" w14:textId="660A9786" w:rsidR="00C2783F" w:rsidRPr="00AC0F18" w:rsidRDefault="00C2783F" w:rsidP="00C2783F">
      <w:pPr>
        <w:pStyle w:val="H23G"/>
        <w:spacing w:before="120"/>
      </w:pPr>
      <w:r w:rsidRPr="00AC0F18">
        <w:tab/>
      </w:r>
      <w:r w:rsidR="002E21F9">
        <w:t>2</w:t>
      </w:r>
      <w:r w:rsidRPr="00AC0F18">
        <w:t>.</w:t>
      </w:r>
      <w:r w:rsidRPr="00AC0F18">
        <w:tab/>
      </w:r>
      <w:r w:rsidRPr="00AC0F18">
        <w:rPr>
          <w:lang w:val="fr-FR"/>
        </w:rPr>
        <w:t xml:space="preserve">Amendement à la Partie 1, </w:t>
      </w:r>
      <w:r w:rsidRPr="00AC0F18">
        <w:t xml:space="preserve">Chapitre 1.2, </w:t>
      </w:r>
      <w:r w:rsidRPr="00AC0F18">
        <w:rPr>
          <w:rFonts w:asciiTheme="majorBidi" w:hAnsiTheme="majorBidi" w:cstheme="majorBidi"/>
        </w:rPr>
        <w:t xml:space="preserve">définition de </w:t>
      </w:r>
      <w:r w:rsidRPr="00AC0F18">
        <w:rPr>
          <w:lang w:val="fr-FR" w:eastAsia="fr-FR"/>
        </w:rPr>
        <w:t>Soupape de dégagement à grande vitesse</w:t>
      </w:r>
    </w:p>
    <w:p w14:paraId="552A1A3C" w14:textId="77777777" w:rsidR="00C2783F" w:rsidRDefault="00C2783F" w:rsidP="00C2783F">
      <w:pPr>
        <w:pStyle w:val="SingleTxtG"/>
        <w:rPr>
          <w:rFonts w:asciiTheme="majorBidi" w:eastAsia="Calibri" w:hAnsiTheme="majorBidi" w:cstheme="majorBidi"/>
          <w:iCs/>
          <w:lang w:val="fr-FR"/>
        </w:rPr>
      </w:pPr>
      <w:r w:rsidRPr="00AC0F18">
        <w:rPr>
          <w:i/>
          <w:iCs/>
        </w:rPr>
        <w:t xml:space="preserve">A la place de </w:t>
      </w:r>
      <w:r w:rsidRPr="00AC0F18">
        <w:rPr>
          <w:rFonts w:asciiTheme="majorBidi" w:eastAsia="Calibri" w:hAnsiTheme="majorBidi" w:cstheme="majorBidi"/>
          <w:iCs/>
          <w:lang w:val="fr-FR"/>
        </w:rPr>
        <w:t>directive 2014/34/UE</w:t>
      </w:r>
      <w:r w:rsidRPr="00AC0F18">
        <w:rPr>
          <w:rFonts w:asciiTheme="majorBidi" w:eastAsia="Calibri" w:hAnsiTheme="majorBidi" w:cstheme="majorBidi"/>
          <w:iCs/>
          <w:vertAlign w:val="superscript"/>
          <w:lang w:val="fr-FR"/>
        </w:rPr>
        <w:t>2</w:t>
      </w:r>
      <w:r w:rsidRPr="00AC0F18">
        <w:rPr>
          <w:rFonts w:asciiTheme="majorBidi" w:eastAsia="Calibri" w:hAnsiTheme="majorBidi" w:cstheme="majorBidi"/>
          <w:iCs/>
          <w:lang w:val="fr-FR"/>
        </w:rPr>
        <w:t>,</w:t>
      </w:r>
      <w:r w:rsidRPr="00AC0F18">
        <w:t xml:space="preserve"> </w:t>
      </w:r>
      <w:r w:rsidRPr="00AC0F18">
        <w:rPr>
          <w:i/>
          <w:iCs/>
        </w:rPr>
        <w:t>lire</w:t>
      </w:r>
      <w:r w:rsidRPr="00AC0F18">
        <w:t xml:space="preserve"> </w:t>
      </w:r>
      <w:r w:rsidRPr="00AC0F18">
        <w:rPr>
          <w:rFonts w:asciiTheme="majorBidi" w:eastAsia="Calibri" w:hAnsiTheme="majorBidi" w:cstheme="majorBidi"/>
          <w:iCs/>
          <w:lang w:val="fr-FR"/>
        </w:rPr>
        <w:t>directive 2014/34/UE</w:t>
      </w:r>
      <w:r w:rsidRPr="00AC0F18">
        <w:rPr>
          <w:rFonts w:asciiTheme="majorBidi" w:eastAsia="Calibri" w:hAnsiTheme="majorBidi" w:cstheme="majorBidi"/>
          <w:iCs/>
          <w:vertAlign w:val="superscript"/>
          <w:lang w:val="fr-FR"/>
        </w:rPr>
        <w:t>2</w:t>
      </w:r>
      <w:r w:rsidRPr="00AC0F18">
        <w:rPr>
          <w:rFonts w:asciiTheme="majorBidi" w:eastAsia="Calibri" w:hAnsiTheme="majorBidi" w:cstheme="majorBidi"/>
          <w:iCs/>
          <w:lang w:val="fr-FR"/>
        </w:rPr>
        <w:t>, le système IECEx</w:t>
      </w:r>
      <w:r w:rsidRPr="00AC0F18">
        <w:rPr>
          <w:rFonts w:asciiTheme="majorBidi" w:eastAsia="Calibri" w:hAnsiTheme="majorBidi" w:cstheme="majorBidi"/>
          <w:iCs/>
          <w:vertAlign w:val="superscript"/>
          <w:lang w:val="fr-FR"/>
        </w:rPr>
        <w:t>5</w:t>
      </w:r>
      <w:r w:rsidRPr="00AC0F18">
        <w:rPr>
          <w:rFonts w:asciiTheme="majorBidi" w:eastAsia="Calibri" w:hAnsiTheme="majorBidi" w:cstheme="majorBidi"/>
          <w:iCs/>
          <w:lang w:val="fr-FR"/>
        </w:rPr>
        <w:t>,</w:t>
      </w:r>
    </w:p>
    <w:p w14:paraId="092D84AB" w14:textId="74AF2889" w:rsidR="00C2783F" w:rsidRPr="00AC0F18" w:rsidRDefault="00C2783F" w:rsidP="00C2783F">
      <w:pPr>
        <w:pStyle w:val="H23G"/>
        <w:spacing w:before="120"/>
      </w:pPr>
      <w:r w:rsidRPr="00AC0F18">
        <w:tab/>
      </w:r>
      <w:r w:rsidR="002E21F9">
        <w:t>3</w:t>
      </w:r>
      <w:r w:rsidRPr="00AC0F18">
        <w:t>.</w:t>
      </w:r>
      <w:r w:rsidRPr="00AC0F18">
        <w:tab/>
      </w:r>
      <w:r w:rsidRPr="00AC0F18">
        <w:rPr>
          <w:lang w:val="fr-FR"/>
        </w:rPr>
        <w:t xml:space="preserve">Amendement à la Partie 1, </w:t>
      </w:r>
      <w:r w:rsidRPr="00AC0F18">
        <w:t xml:space="preserve">Chapitre 1.2, </w:t>
      </w:r>
      <w:r w:rsidRPr="00AC0F18">
        <w:rPr>
          <w:rFonts w:asciiTheme="majorBidi" w:hAnsiTheme="majorBidi" w:cstheme="majorBidi"/>
        </w:rPr>
        <w:t xml:space="preserve">définition de </w:t>
      </w:r>
      <w:r w:rsidRPr="00AC0F18">
        <w:rPr>
          <w:lang w:val="fr-FR" w:eastAsia="fr-FR"/>
        </w:rPr>
        <w:t>Orifice de prise d'échantillons</w:t>
      </w:r>
    </w:p>
    <w:p w14:paraId="32473983" w14:textId="77777777" w:rsidR="00C2783F" w:rsidRDefault="00C2783F" w:rsidP="00C2783F">
      <w:pPr>
        <w:pStyle w:val="SingleTxtG"/>
        <w:rPr>
          <w:rFonts w:asciiTheme="majorBidi" w:eastAsia="Calibri" w:hAnsiTheme="majorBidi" w:cstheme="majorBidi"/>
          <w:iCs/>
          <w:lang w:val="fr-FR"/>
        </w:rPr>
      </w:pPr>
      <w:r w:rsidRPr="00AC0F18">
        <w:rPr>
          <w:i/>
          <w:iCs/>
        </w:rPr>
        <w:t xml:space="preserve">A la place de </w:t>
      </w:r>
      <w:r w:rsidRPr="00AC0F18">
        <w:rPr>
          <w:rFonts w:asciiTheme="majorBidi" w:eastAsia="Calibri" w:hAnsiTheme="majorBidi" w:cstheme="majorBidi"/>
          <w:iCs/>
          <w:lang w:val="fr-FR"/>
        </w:rPr>
        <w:t>directive 2014/34/UE</w:t>
      </w:r>
      <w:r w:rsidRPr="00AC0F18">
        <w:rPr>
          <w:rFonts w:asciiTheme="majorBidi" w:eastAsia="Calibri" w:hAnsiTheme="majorBidi" w:cstheme="majorBidi"/>
          <w:iCs/>
          <w:vertAlign w:val="superscript"/>
          <w:lang w:val="fr-FR"/>
        </w:rPr>
        <w:t>2</w:t>
      </w:r>
      <w:r w:rsidRPr="00AC0F18">
        <w:rPr>
          <w:rFonts w:asciiTheme="majorBidi" w:eastAsia="Calibri" w:hAnsiTheme="majorBidi" w:cstheme="majorBidi"/>
          <w:iCs/>
          <w:lang w:val="fr-FR"/>
        </w:rPr>
        <w:t>,</w:t>
      </w:r>
      <w:r w:rsidRPr="00AC0F18">
        <w:t xml:space="preserve"> </w:t>
      </w:r>
      <w:r w:rsidRPr="00AC0F18">
        <w:rPr>
          <w:i/>
          <w:iCs/>
        </w:rPr>
        <w:t>lire</w:t>
      </w:r>
      <w:r w:rsidRPr="00AC0F18">
        <w:t xml:space="preserve"> </w:t>
      </w:r>
      <w:r w:rsidRPr="00AC0F18">
        <w:rPr>
          <w:rFonts w:asciiTheme="majorBidi" w:eastAsia="Calibri" w:hAnsiTheme="majorBidi" w:cstheme="majorBidi"/>
          <w:iCs/>
          <w:lang w:val="fr-FR"/>
        </w:rPr>
        <w:t>directive 2014/34/UE</w:t>
      </w:r>
      <w:r w:rsidRPr="00AC0F18">
        <w:rPr>
          <w:rFonts w:asciiTheme="majorBidi" w:eastAsia="Calibri" w:hAnsiTheme="majorBidi" w:cstheme="majorBidi"/>
          <w:iCs/>
          <w:vertAlign w:val="superscript"/>
          <w:lang w:val="fr-FR"/>
        </w:rPr>
        <w:t>2</w:t>
      </w:r>
      <w:r w:rsidRPr="00AC0F18">
        <w:rPr>
          <w:rFonts w:asciiTheme="majorBidi" w:eastAsia="Calibri" w:hAnsiTheme="majorBidi" w:cstheme="majorBidi"/>
          <w:iCs/>
          <w:lang w:val="fr-FR"/>
        </w:rPr>
        <w:t>, le système IECEx</w:t>
      </w:r>
      <w:r w:rsidRPr="00AC0F18">
        <w:rPr>
          <w:rFonts w:asciiTheme="majorBidi" w:eastAsia="Calibri" w:hAnsiTheme="majorBidi" w:cstheme="majorBidi"/>
          <w:iCs/>
          <w:vertAlign w:val="superscript"/>
          <w:lang w:val="fr-FR"/>
        </w:rPr>
        <w:t>5</w:t>
      </w:r>
      <w:r w:rsidRPr="00AC0F18">
        <w:rPr>
          <w:rFonts w:asciiTheme="majorBidi" w:eastAsia="Calibri" w:hAnsiTheme="majorBidi" w:cstheme="majorBidi"/>
          <w:iCs/>
          <w:lang w:val="fr-FR"/>
        </w:rPr>
        <w:t>,</w:t>
      </w:r>
    </w:p>
    <w:p w14:paraId="077E3C0A" w14:textId="32C3FFE2" w:rsidR="00205D79" w:rsidRPr="00AC0F18" w:rsidRDefault="00205D79" w:rsidP="00205D79">
      <w:pPr>
        <w:pStyle w:val="H23G"/>
        <w:spacing w:before="120"/>
      </w:pPr>
      <w:r>
        <w:tab/>
      </w:r>
      <w:r w:rsidR="002E21F9">
        <w:t>4</w:t>
      </w:r>
      <w:r w:rsidRPr="00AC0F18">
        <w:t>.</w:t>
      </w:r>
      <w:r w:rsidRPr="00AC0F18">
        <w:tab/>
      </w:r>
      <w:r w:rsidRPr="00AC0F18">
        <w:rPr>
          <w:lang w:val="fr-FR"/>
        </w:rPr>
        <w:t xml:space="preserve">Amendement à la Partie 1, </w:t>
      </w:r>
      <w:r w:rsidRPr="00AC0F18">
        <w:t xml:space="preserve">Chapitre 1.2, </w:t>
      </w:r>
      <w:r w:rsidRPr="00AC0F18">
        <w:rPr>
          <w:rFonts w:asciiTheme="majorBidi" w:hAnsiTheme="majorBidi" w:cstheme="majorBidi"/>
        </w:rPr>
        <w:t xml:space="preserve">définition de </w:t>
      </w:r>
      <w:r w:rsidRPr="00AC0F18">
        <w:rPr>
          <w:lang w:val="fr-FR" w:eastAsia="fr-FR"/>
        </w:rPr>
        <w:t>Toximètre</w:t>
      </w:r>
    </w:p>
    <w:p w14:paraId="10D1F838" w14:textId="77777777" w:rsidR="00205D79" w:rsidRDefault="00205D79" w:rsidP="00205D79">
      <w:pPr>
        <w:pStyle w:val="SingleTxtG"/>
        <w:rPr>
          <w:rFonts w:asciiTheme="majorBidi" w:eastAsia="Calibri" w:hAnsiTheme="majorBidi" w:cstheme="majorBidi"/>
          <w:iCs/>
          <w:lang w:val="fr-FR"/>
        </w:rPr>
      </w:pPr>
      <w:r w:rsidRPr="00AC0F18">
        <w:rPr>
          <w:i/>
          <w:iCs/>
        </w:rPr>
        <w:t xml:space="preserve">A la place </w:t>
      </w:r>
      <w:r>
        <w:rPr>
          <w:i/>
          <w:iCs/>
        </w:rPr>
        <w:t xml:space="preserve">de </w:t>
      </w:r>
      <w:r w:rsidRPr="00AC0F18">
        <w:rPr>
          <w:rFonts w:asciiTheme="majorBidi" w:eastAsia="Calibri" w:hAnsiTheme="majorBidi" w:cstheme="majorBidi"/>
          <w:iCs/>
          <w:lang w:val="fr-FR"/>
        </w:rPr>
        <w:t>directive 2014/34/UE</w:t>
      </w:r>
      <w:r w:rsidRPr="00AC0F18">
        <w:rPr>
          <w:rFonts w:asciiTheme="majorBidi" w:eastAsia="Calibri" w:hAnsiTheme="majorBidi" w:cstheme="majorBidi"/>
          <w:iCs/>
          <w:vertAlign w:val="superscript"/>
          <w:lang w:val="fr-FR"/>
        </w:rPr>
        <w:t>2</w:t>
      </w:r>
      <w:r w:rsidRPr="00AC0F18">
        <w:rPr>
          <w:rFonts w:asciiTheme="majorBidi" w:eastAsia="Calibri" w:hAnsiTheme="majorBidi" w:cstheme="majorBidi"/>
          <w:iCs/>
          <w:lang w:val="fr-FR"/>
        </w:rPr>
        <w:t>,</w:t>
      </w:r>
      <w:r w:rsidRPr="00AC0F18">
        <w:t xml:space="preserve"> </w:t>
      </w:r>
      <w:r w:rsidRPr="00AC0F18">
        <w:rPr>
          <w:i/>
          <w:iCs/>
        </w:rPr>
        <w:t>lire</w:t>
      </w:r>
      <w:r w:rsidRPr="00AC0F18">
        <w:t xml:space="preserve"> </w:t>
      </w:r>
      <w:r w:rsidRPr="00AC0F18">
        <w:rPr>
          <w:rFonts w:asciiTheme="majorBidi" w:eastAsia="Calibri" w:hAnsiTheme="majorBidi" w:cstheme="majorBidi"/>
          <w:iCs/>
          <w:lang w:val="fr-FR"/>
        </w:rPr>
        <w:t>directive 2014/34/UE</w:t>
      </w:r>
      <w:r w:rsidRPr="00AC0F18">
        <w:rPr>
          <w:rStyle w:val="FootnoteReference"/>
          <w:rFonts w:asciiTheme="majorBidi" w:eastAsia="Calibri" w:hAnsiTheme="majorBidi" w:cstheme="majorBidi"/>
          <w:bCs/>
          <w:iCs/>
          <w:lang w:val="fr-FR"/>
        </w:rPr>
        <w:footnoteReference w:customMarkFollows="1" w:id="3"/>
        <w:t>2</w:t>
      </w:r>
      <w:r w:rsidRPr="00AC0F18">
        <w:rPr>
          <w:rFonts w:asciiTheme="majorBidi" w:eastAsia="Calibri" w:hAnsiTheme="majorBidi" w:cstheme="majorBidi"/>
          <w:iCs/>
          <w:lang w:val="fr-FR"/>
        </w:rPr>
        <w:t>, le système IECEx</w:t>
      </w:r>
      <w:r w:rsidRPr="00AC0F18">
        <w:rPr>
          <w:rStyle w:val="FootnoteReference"/>
          <w:rFonts w:asciiTheme="majorBidi" w:eastAsia="Calibri" w:hAnsiTheme="majorBidi" w:cstheme="majorBidi"/>
          <w:bCs/>
          <w:iCs/>
          <w:lang w:val="fr-FR"/>
        </w:rPr>
        <w:footnoteReference w:customMarkFollows="1" w:id="4"/>
        <w:t>5</w:t>
      </w:r>
      <w:r w:rsidRPr="00AC0F18">
        <w:rPr>
          <w:rFonts w:asciiTheme="majorBidi" w:eastAsia="Calibri" w:hAnsiTheme="majorBidi" w:cstheme="majorBidi"/>
          <w:iCs/>
          <w:lang w:val="fr-FR"/>
        </w:rPr>
        <w:t>,</w:t>
      </w:r>
    </w:p>
    <w:p w14:paraId="5C18F58F" w14:textId="77777777" w:rsidR="00C2783F" w:rsidRPr="00AC0F18" w:rsidRDefault="00C2783F" w:rsidP="00C2783F">
      <w:pPr>
        <w:pStyle w:val="H23G"/>
        <w:spacing w:before="120"/>
      </w:pPr>
      <w:r w:rsidRPr="00AC0F18">
        <w:tab/>
        <w:t>5.</w:t>
      </w:r>
      <w:r w:rsidRPr="00AC0F18">
        <w:tab/>
      </w:r>
      <w:r w:rsidRPr="00AC0F18">
        <w:rPr>
          <w:lang w:val="fr-FR"/>
        </w:rPr>
        <w:t xml:space="preserve">Amendement à la Partie 1, </w:t>
      </w:r>
      <w:r w:rsidRPr="00AC0F18">
        <w:t xml:space="preserve">Chapitre 1.2, </w:t>
      </w:r>
      <w:r w:rsidRPr="00AC0F18">
        <w:rPr>
          <w:rFonts w:asciiTheme="majorBidi" w:hAnsiTheme="majorBidi" w:cstheme="majorBidi"/>
        </w:rPr>
        <w:t xml:space="preserve">définition de </w:t>
      </w:r>
      <w:r w:rsidRPr="00AC0F18">
        <w:rPr>
          <w:lang w:val="fr-FR" w:eastAsia="fr-FR"/>
        </w:rPr>
        <w:t>Soupape de dépression</w:t>
      </w:r>
    </w:p>
    <w:p w14:paraId="4491438B" w14:textId="77777777" w:rsidR="00C2783F" w:rsidRDefault="00C2783F" w:rsidP="00C2783F">
      <w:pPr>
        <w:pStyle w:val="SingleTxtG"/>
        <w:rPr>
          <w:rFonts w:asciiTheme="majorBidi" w:eastAsia="Calibri" w:hAnsiTheme="majorBidi" w:cstheme="majorBidi"/>
          <w:iCs/>
          <w:lang w:val="fr-FR"/>
        </w:rPr>
      </w:pPr>
      <w:r w:rsidRPr="00AC0F18">
        <w:rPr>
          <w:i/>
          <w:iCs/>
        </w:rPr>
        <w:t xml:space="preserve">A la place de </w:t>
      </w:r>
      <w:r w:rsidRPr="00AC0F18">
        <w:rPr>
          <w:rFonts w:asciiTheme="majorBidi" w:eastAsia="Calibri" w:hAnsiTheme="majorBidi" w:cstheme="majorBidi"/>
          <w:iCs/>
          <w:lang w:val="fr-FR"/>
        </w:rPr>
        <w:t>directive 2014/34/UE</w:t>
      </w:r>
      <w:r w:rsidRPr="00AC0F18">
        <w:rPr>
          <w:rFonts w:asciiTheme="majorBidi" w:eastAsia="Calibri" w:hAnsiTheme="majorBidi" w:cstheme="majorBidi"/>
          <w:iCs/>
          <w:vertAlign w:val="superscript"/>
          <w:lang w:val="fr-FR"/>
        </w:rPr>
        <w:t>2</w:t>
      </w:r>
      <w:r w:rsidRPr="00AC0F18">
        <w:rPr>
          <w:rFonts w:asciiTheme="majorBidi" w:eastAsia="Calibri" w:hAnsiTheme="majorBidi" w:cstheme="majorBidi"/>
          <w:iCs/>
          <w:lang w:val="fr-FR"/>
        </w:rPr>
        <w:t>,</w:t>
      </w:r>
      <w:r w:rsidRPr="00AC0F18">
        <w:t xml:space="preserve"> </w:t>
      </w:r>
      <w:r w:rsidRPr="00AC0F18">
        <w:rPr>
          <w:i/>
          <w:iCs/>
        </w:rPr>
        <w:t>lire</w:t>
      </w:r>
      <w:r w:rsidRPr="00AC0F18">
        <w:t xml:space="preserve"> </w:t>
      </w:r>
      <w:r w:rsidRPr="00AC0F18">
        <w:rPr>
          <w:rFonts w:asciiTheme="majorBidi" w:eastAsia="Calibri" w:hAnsiTheme="majorBidi" w:cstheme="majorBidi"/>
          <w:iCs/>
          <w:lang w:val="fr-FR"/>
        </w:rPr>
        <w:t>directive 2014/34/UE</w:t>
      </w:r>
      <w:r w:rsidRPr="00AC0F18">
        <w:rPr>
          <w:rFonts w:asciiTheme="majorBidi" w:eastAsia="Calibri" w:hAnsiTheme="majorBidi" w:cstheme="majorBidi"/>
          <w:iCs/>
          <w:vertAlign w:val="superscript"/>
          <w:lang w:val="fr-FR"/>
        </w:rPr>
        <w:t>2</w:t>
      </w:r>
      <w:r w:rsidRPr="00AC0F18">
        <w:rPr>
          <w:rFonts w:asciiTheme="majorBidi" w:eastAsia="Calibri" w:hAnsiTheme="majorBidi" w:cstheme="majorBidi"/>
          <w:iCs/>
          <w:lang w:val="fr-FR"/>
        </w:rPr>
        <w:t>, le système IECEx</w:t>
      </w:r>
      <w:r w:rsidRPr="00AC0F18">
        <w:rPr>
          <w:rFonts w:asciiTheme="majorBidi" w:eastAsia="Calibri" w:hAnsiTheme="majorBidi" w:cstheme="majorBidi"/>
          <w:iCs/>
          <w:vertAlign w:val="superscript"/>
          <w:lang w:val="fr-FR"/>
        </w:rPr>
        <w:t>5</w:t>
      </w:r>
      <w:r w:rsidRPr="00AC0F18">
        <w:rPr>
          <w:rFonts w:asciiTheme="majorBidi" w:eastAsia="Calibri" w:hAnsiTheme="majorBidi" w:cstheme="majorBidi"/>
          <w:iCs/>
          <w:lang w:val="fr-FR"/>
        </w:rPr>
        <w:t>,</w:t>
      </w:r>
    </w:p>
    <w:p w14:paraId="0818E122" w14:textId="77777777" w:rsidR="00C2783F" w:rsidRPr="00AC0F18" w:rsidRDefault="00C2783F" w:rsidP="00C2783F">
      <w:pPr>
        <w:pStyle w:val="H23G"/>
        <w:spacing w:before="120"/>
      </w:pPr>
      <w:r w:rsidRPr="00AC0F18">
        <w:lastRenderedPageBreak/>
        <w:tab/>
        <w:t>6.</w:t>
      </w:r>
      <w:r w:rsidRPr="00AC0F18">
        <w:tab/>
      </w:r>
      <w:r w:rsidRPr="00AC0F18">
        <w:rPr>
          <w:lang w:val="fr-FR"/>
        </w:rPr>
        <w:t xml:space="preserve">Amendement à la Partie 1, </w:t>
      </w:r>
      <w:r w:rsidRPr="00AC0F18">
        <w:t xml:space="preserve">Chapitre 1.2, </w:t>
      </w:r>
      <w:r w:rsidRPr="00AC0F18">
        <w:rPr>
          <w:rFonts w:asciiTheme="majorBidi" w:hAnsiTheme="majorBidi" w:cstheme="majorBidi"/>
        </w:rPr>
        <w:t xml:space="preserve">définition de </w:t>
      </w:r>
      <w:r w:rsidRPr="00AC0F18">
        <w:rPr>
          <w:lang w:val="fr-FR" w:eastAsia="fr-FR"/>
        </w:rPr>
        <w:t>Dispositif de décompression en toute sécurité des citernes à cargaison</w:t>
      </w:r>
    </w:p>
    <w:p w14:paraId="3D81895A" w14:textId="77777777" w:rsidR="00C2783F" w:rsidRDefault="00C2783F" w:rsidP="00C2783F">
      <w:pPr>
        <w:pStyle w:val="SingleTxtG"/>
        <w:rPr>
          <w:rFonts w:asciiTheme="majorBidi" w:eastAsia="Calibri" w:hAnsiTheme="majorBidi" w:cstheme="majorBidi"/>
          <w:iCs/>
          <w:lang w:val="fr-FR"/>
        </w:rPr>
      </w:pPr>
      <w:r w:rsidRPr="00AC0F18">
        <w:rPr>
          <w:i/>
          <w:iCs/>
        </w:rPr>
        <w:t>A la place de</w:t>
      </w:r>
      <w:r w:rsidRPr="00AC0F18">
        <w:t xml:space="preserve"> </w:t>
      </w:r>
      <w:r w:rsidRPr="00AC0F18">
        <w:rPr>
          <w:rFonts w:asciiTheme="majorBidi" w:eastAsia="Calibri" w:hAnsiTheme="majorBidi" w:cstheme="majorBidi"/>
          <w:iCs/>
          <w:lang w:val="fr-FR"/>
        </w:rPr>
        <w:t>directive 2014/34/UE</w:t>
      </w:r>
      <w:r w:rsidRPr="00AC0F18">
        <w:rPr>
          <w:rFonts w:asciiTheme="majorBidi" w:eastAsia="Calibri" w:hAnsiTheme="majorBidi" w:cstheme="majorBidi"/>
          <w:iCs/>
          <w:vertAlign w:val="superscript"/>
          <w:lang w:val="fr-FR"/>
        </w:rPr>
        <w:t>2</w:t>
      </w:r>
      <w:r w:rsidRPr="00AC0F18">
        <w:rPr>
          <w:rFonts w:asciiTheme="majorBidi" w:eastAsia="Calibri" w:hAnsiTheme="majorBidi" w:cstheme="majorBidi"/>
          <w:iCs/>
          <w:lang w:val="fr-FR"/>
        </w:rPr>
        <w:t>,</w:t>
      </w:r>
      <w:r w:rsidRPr="00AC0F18">
        <w:t xml:space="preserve"> </w:t>
      </w:r>
      <w:r w:rsidRPr="00AC0F18">
        <w:rPr>
          <w:i/>
          <w:iCs/>
        </w:rPr>
        <w:t>lire</w:t>
      </w:r>
      <w:r w:rsidRPr="00AC0F18">
        <w:t xml:space="preserve"> </w:t>
      </w:r>
      <w:r w:rsidRPr="00AC0F18">
        <w:rPr>
          <w:rFonts w:asciiTheme="majorBidi" w:eastAsia="Calibri" w:hAnsiTheme="majorBidi" w:cstheme="majorBidi"/>
          <w:iCs/>
          <w:lang w:val="fr-FR"/>
        </w:rPr>
        <w:t>la directive 2014/34/UE</w:t>
      </w:r>
      <w:r w:rsidRPr="00AC0F18">
        <w:rPr>
          <w:rFonts w:asciiTheme="majorBidi" w:eastAsia="Calibri" w:hAnsiTheme="majorBidi" w:cstheme="majorBidi"/>
          <w:iCs/>
          <w:vertAlign w:val="superscript"/>
          <w:lang w:val="fr-FR"/>
        </w:rPr>
        <w:t>2</w:t>
      </w:r>
      <w:r w:rsidRPr="00AC0F18">
        <w:rPr>
          <w:rFonts w:asciiTheme="majorBidi" w:eastAsia="Calibri" w:hAnsiTheme="majorBidi" w:cstheme="majorBidi"/>
          <w:iCs/>
          <w:lang w:val="fr-FR"/>
        </w:rPr>
        <w:t>, le système IECEx</w:t>
      </w:r>
      <w:r w:rsidRPr="00AC0F18">
        <w:rPr>
          <w:rFonts w:asciiTheme="majorBidi" w:eastAsia="Calibri" w:hAnsiTheme="majorBidi" w:cstheme="majorBidi"/>
          <w:iCs/>
          <w:vertAlign w:val="superscript"/>
          <w:lang w:val="fr-FR"/>
        </w:rPr>
        <w:t>5</w:t>
      </w:r>
      <w:r w:rsidRPr="00AC0F18">
        <w:rPr>
          <w:rFonts w:asciiTheme="majorBidi" w:eastAsia="Calibri" w:hAnsiTheme="majorBidi" w:cstheme="majorBidi"/>
          <w:iCs/>
          <w:lang w:val="fr-FR"/>
        </w:rPr>
        <w:t>,</w:t>
      </w:r>
    </w:p>
    <w:p w14:paraId="00A66491" w14:textId="77777777" w:rsidR="00C2783F" w:rsidRPr="00713AB6" w:rsidRDefault="00C2783F" w:rsidP="00C2783F">
      <w:pPr>
        <w:pStyle w:val="H23G"/>
        <w:spacing w:before="120"/>
      </w:pPr>
      <w:r>
        <w:tab/>
      </w:r>
      <w:r w:rsidRPr="00713AB6">
        <w:t>7.</w:t>
      </w:r>
      <w:r w:rsidRPr="00713AB6">
        <w:tab/>
      </w:r>
      <w:r w:rsidRPr="00713AB6">
        <w:rPr>
          <w:lang w:val="fr-FR"/>
        </w:rPr>
        <w:t xml:space="preserve">Amendement à la </w:t>
      </w:r>
      <w:r w:rsidRPr="00CA7B57">
        <w:rPr>
          <w:lang w:val="fr-FR"/>
        </w:rPr>
        <w:t xml:space="preserve">Partie </w:t>
      </w:r>
      <w:r>
        <w:rPr>
          <w:lang w:val="fr-FR"/>
        </w:rPr>
        <w:t>1</w:t>
      </w:r>
      <w:r w:rsidRPr="00713AB6">
        <w:rPr>
          <w:lang w:val="fr-FR"/>
        </w:rPr>
        <w:t xml:space="preserve">, </w:t>
      </w:r>
      <w:r w:rsidRPr="00713AB6">
        <w:t>Chapitre 1.4, 1.4.2.2.2</w:t>
      </w:r>
    </w:p>
    <w:p w14:paraId="0A6CB92A" w14:textId="77777777" w:rsidR="00C2783F" w:rsidRDefault="00C2783F" w:rsidP="00C2783F">
      <w:pPr>
        <w:pStyle w:val="SingleTxtG"/>
      </w:pPr>
      <w:r w:rsidRPr="000E0CAD">
        <w:rPr>
          <w:i/>
          <w:iCs/>
        </w:rPr>
        <w:t>A la place de</w:t>
      </w:r>
      <w:r w:rsidRPr="00EC7DD9">
        <w:t xml:space="preserve"> certificat d</w:t>
      </w:r>
      <w:r>
        <w:t>’</w:t>
      </w:r>
      <w:r w:rsidRPr="00EC7DD9">
        <w:t xml:space="preserve">empotage du conteneur, ou du véhicule ou du wagon </w:t>
      </w:r>
      <w:r w:rsidRPr="00DF23A3">
        <w:rPr>
          <w:i/>
          <w:iCs/>
        </w:rPr>
        <w:t>lire</w:t>
      </w:r>
      <w:r w:rsidRPr="00EC7DD9">
        <w:t xml:space="preserve"> certificat d</w:t>
      </w:r>
      <w:r>
        <w:t>’</w:t>
      </w:r>
      <w:r w:rsidRPr="00EC7DD9">
        <w:t>empotage du conteneur ou du véhicule</w:t>
      </w:r>
    </w:p>
    <w:p w14:paraId="3DA7311E" w14:textId="77777777" w:rsidR="00361EBD" w:rsidRPr="009F4D79" w:rsidRDefault="00361EBD" w:rsidP="00361EBD">
      <w:pPr>
        <w:pStyle w:val="H23G"/>
        <w:rPr>
          <w:lang w:val="fr-FR"/>
        </w:rPr>
      </w:pPr>
      <w:r w:rsidRPr="009F4D79">
        <w:rPr>
          <w:lang w:val="fr-FR"/>
        </w:rPr>
        <w:tab/>
      </w:r>
      <w:r w:rsidR="000A6DEB">
        <w:rPr>
          <w:lang w:val="fr-FR"/>
        </w:rPr>
        <w:t>8</w:t>
      </w:r>
      <w:r w:rsidRPr="009F4D79">
        <w:rPr>
          <w:lang w:val="fr-FR"/>
        </w:rPr>
        <w:t>.</w:t>
      </w:r>
      <w:r w:rsidRPr="009F4D79">
        <w:rPr>
          <w:lang w:val="fr-FR"/>
        </w:rPr>
        <w:tab/>
      </w:r>
      <w:r>
        <w:rPr>
          <w:lang w:val="fr-FR"/>
        </w:rPr>
        <w:t xml:space="preserve">Amendement à la Partie 1, </w:t>
      </w:r>
      <w:r w:rsidRPr="009F4D79">
        <w:rPr>
          <w:lang w:val="fr-FR"/>
        </w:rPr>
        <w:t>Chapitre 1.6, nouvelle mesure transitoire 1.6.1.44, à la fin</w:t>
      </w:r>
    </w:p>
    <w:p w14:paraId="5214222D" w14:textId="77777777" w:rsidR="00361EBD" w:rsidRPr="009F4D79" w:rsidRDefault="00361EBD" w:rsidP="00361EBD">
      <w:pPr>
        <w:pStyle w:val="SingleTxtG"/>
        <w:rPr>
          <w:lang w:val="fr-FR"/>
        </w:rPr>
      </w:pPr>
      <w:r w:rsidRPr="009F4D79">
        <w:rPr>
          <w:i/>
          <w:iCs/>
          <w:lang w:val="fr-FR"/>
        </w:rPr>
        <w:t xml:space="preserve">Au lieu de </w:t>
      </w:r>
      <w:r w:rsidRPr="009F4D79">
        <w:rPr>
          <w:lang w:val="fr-FR"/>
        </w:rPr>
        <w:t xml:space="preserve">nommer </w:t>
      </w:r>
      <w:r w:rsidRPr="009F4D79">
        <w:rPr>
          <w:i/>
          <w:iCs/>
          <w:lang w:val="fr-FR"/>
        </w:rPr>
        <w:t xml:space="preserve">lire </w:t>
      </w:r>
      <w:r w:rsidRPr="009F4D79">
        <w:rPr>
          <w:lang w:val="fr-FR"/>
        </w:rPr>
        <w:t>désigner</w:t>
      </w:r>
    </w:p>
    <w:p w14:paraId="69700B6F" w14:textId="77777777" w:rsidR="00F33ECC" w:rsidRDefault="00F33ECC" w:rsidP="00F33ECC">
      <w:pPr>
        <w:pStyle w:val="H23G"/>
        <w:spacing w:before="120"/>
      </w:pPr>
      <w:r>
        <w:tab/>
      </w:r>
      <w:r w:rsidR="000A6DEB">
        <w:t>9</w:t>
      </w:r>
      <w:r>
        <w:t>.</w:t>
      </w:r>
      <w:r>
        <w:tab/>
      </w:r>
      <w:r>
        <w:rPr>
          <w:lang w:val="fr-FR"/>
        </w:rPr>
        <w:t xml:space="preserve">Amendement à la Partie 1, </w:t>
      </w:r>
      <w:r>
        <w:t>Chapitre 1.6, 1.6.7.2.2.2</w:t>
      </w:r>
    </w:p>
    <w:p w14:paraId="0A73A188" w14:textId="77777777" w:rsidR="00F33ECC" w:rsidRDefault="00F33ECC" w:rsidP="00F33ECC">
      <w:pPr>
        <w:pStyle w:val="SingleTxtG"/>
        <w:rPr>
          <w:i/>
          <w:iCs/>
        </w:rPr>
      </w:pPr>
      <w:r>
        <w:rPr>
          <w:i/>
          <w:iCs/>
        </w:rPr>
        <w:t xml:space="preserve">A la place de </w:t>
      </w:r>
    </w:p>
    <w:p w14:paraId="110889B8" w14:textId="77777777" w:rsidR="00F33ECC" w:rsidRDefault="00F33ECC" w:rsidP="00F33ECC">
      <w:pPr>
        <w:pStyle w:val="SingleTxtG"/>
        <w:rPr>
          <w:lang w:val="fr-FR"/>
        </w:rPr>
      </w:pPr>
      <w:r>
        <w:rPr>
          <w:rFonts w:asciiTheme="majorBidi" w:hAnsiTheme="majorBidi" w:cstheme="majorBidi"/>
          <w:lang w:val="fr-FR"/>
        </w:rPr>
        <w:t>1.6.7.2.2.2</w:t>
      </w:r>
      <w:r>
        <w:rPr>
          <w:rFonts w:asciiTheme="majorBidi" w:hAnsiTheme="majorBidi" w:cstheme="majorBidi"/>
          <w:lang w:val="fr-FR"/>
        </w:rPr>
        <w:tab/>
        <w:t>Renuméroter la rubrique «9.3.3.52.5» en tant que «9.3.3.52.6», le reste demeure inchangé.</w:t>
      </w:r>
    </w:p>
    <w:p w14:paraId="0F980AE0" w14:textId="77777777" w:rsidR="00F33ECC" w:rsidRDefault="00F33ECC" w:rsidP="00F33ECC">
      <w:pPr>
        <w:pStyle w:val="SingleTxtG"/>
      </w:pPr>
      <w:r>
        <w:rPr>
          <w:i/>
          <w:iCs/>
        </w:rPr>
        <w:t>lire</w:t>
      </w:r>
      <w:r>
        <w:t xml:space="preserve"> </w:t>
      </w:r>
    </w:p>
    <w:p w14:paraId="56E5DB3C" w14:textId="7837DA7C" w:rsidR="00F33ECC" w:rsidRDefault="00F33ECC" w:rsidP="00F33ECC">
      <w:pPr>
        <w:pStyle w:val="SingleTxtG"/>
        <w:rPr>
          <w:rFonts w:asciiTheme="majorBidi" w:eastAsia="Calibri" w:hAnsiTheme="majorBidi" w:cstheme="majorBidi"/>
          <w:iCs/>
          <w:lang w:val="fr-FR"/>
        </w:rPr>
      </w:pPr>
      <w:r>
        <w:rPr>
          <w:rFonts w:asciiTheme="majorBidi" w:hAnsiTheme="majorBidi" w:cstheme="majorBidi"/>
          <w:lang w:val="fr-FR"/>
        </w:rPr>
        <w:t>1.6.7.2.2.2</w:t>
      </w:r>
      <w:r>
        <w:rPr>
          <w:rFonts w:asciiTheme="majorBidi" w:hAnsiTheme="majorBidi" w:cstheme="majorBidi"/>
          <w:lang w:val="fr-FR"/>
        </w:rPr>
        <w:tab/>
        <w:t>Renuméroter la rubrique «9.3.3.52.5» en tant que «</w:t>
      </w:r>
      <w:r>
        <w:t>9.3.3.52.6</w:t>
      </w:r>
      <w:r>
        <w:rPr>
          <w:rFonts w:asciiTheme="majorBidi" w:hAnsiTheme="majorBidi" w:cstheme="majorBidi"/>
          <w:lang w:val="fr-FR"/>
        </w:rPr>
        <w:t xml:space="preserve">», </w:t>
      </w:r>
      <w:r w:rsidR="00FC6DF0" w:rsidRPr="007427E1">
        <w:rPr>
          <w:rFonts w:asciiTheme="majorBidi" w:hAnsiTheme="majorBidi" w:cstheme="majorBidi"/>
          <w:lang w:val="fr-FR"/>
        </w:rPr>
        <w:t xml:space="preserve">et modifier la colonne «Objet» pour lire comme suit: </w:t>
      </w:r>
      <w:r w:rsidR="00FC6DF0" w:rsidRPr="007427E1">
        <w:rPr>
          <w:rFonts w:eastAsia="Calibri"/>
          <w:lang w:val="fr-FR"/>
        </w:rPr>
        <w:t>«</w:t>
      </w:r>
      <w:r w:rsidR="00FC6DF0" w:rsidRPr="00460101">
        <w:rPr>
          <w:lang w:val="fr-FR"/>
        </w:rPr>
        <w:t xml:space="preserve">Interrupteur </w:t>
      </w:r>
      <w:r w:rsidR="00FC6DF0" w:rsidRPr="00CB5BEE">
        <w:rPr>
          <w:rFonts w:asciiTheme="majorBidi" w:hAnsiTheme="majorBidi" w:cstheme="majorBidi"/>
        </w:rPr>
        <w:t>multipolaire</w:t>
      </w:r>
      <w:r w:rsidR="00FC6DF0" w:rsidRPr="00460101">
        <w:rPr>
          <w:lang w:val="fr-FR"/>
        </w:rPr>
        <w:t xml:space="preserve"> de coupure du générateur entraîné en permanence</w:t>
      </w:r>
      <w:r w:rsidR="00FC6DF0" w:rsidRPr="007427E1">
        <w:rPr>
          <w:rFonts w:eastAsia="Calibri"/>
          <w:lang w:val="fr-FR"/>
        </w:rPr>
        <w:t>»</w:t>
      </w:r>
      <w:r>
        <w:rPr>
          <w:lang w:val="fr-FR" w:eastAsia="en-GB"/>
        </w:rPr>
        <w:t>. L</w:t>
      </w:r>
      <w:r>
        <w:rPr>
          <w:rFonts w:asciiTheme="majorBidi" w:hAnsiTheme="majorBidi" w:cstheme="majorBidi"/>
          <w:lang w:val="fr-FR"/>
        </w:rPr>
        <w:t>e reste demeure inchangé.</w:t>
      </w:r>
    </w:p>
    <w:p w14:paraId="05C9A2FD" w14:textId="77777777" w:rsidR="00CE130B" w:rsidRPr="009F4D79" w:rsidRDefault="00CE130B" w:rsidP="00CE130B">
      <w:pPr>
        <w:pStyle w:val="H23G"/>
        <w:rPr>
          <w:lang w:val="fr-FR"/>
        </w:rPr>
      </w:pPr>
      <w:r w:rsidRPr="009F4D79">
        <w:rPr>
          <w:lang w:val="fr-FR"/>
        </w:rPr>
        <w:tab/>
      </w:r>
      <w:r w:rsidR="00D267E2">
        <w:rPr>
          <w:lang w:val="fr-FR"/>
        </w:rPr>
        <w:t>10</w:t>
      </w:r>
      <w:r w:rsidRPr="009F4D79">
        <w:rPr>
          <w:lang w:val="fr-FR"/>
        </w:rPr>
        <w:t>.</w:t>
      </w:r>
      <w:r w:rsidRPr="009F4D79">
        <w:rPr>
          <w:lang w:val="fr-FR"/>
        </w:rPr>
        <w:tab/>
      </w:r>
      <w:r w:rsidR="0038106F">
        <w:rPr>
          <w:lang w:val="fr-FR"/>
        </w:rPr>
        <w:t xml:space="preserve">Amendement à la Partie 1, </w:t>
      </w:r>
      <w:r w:rsidRPr="009F4D79">
        <w:rPr>
          <w:lang w:val="fr-FR"/>
        </w:rPr>
        <w:t>Chapitre 1.6, 1.6.7.2.2</w:t>
      </w:r>
      <w:r w:rsidR="00172DDE" w:rsidRPr="009F4D79">
        <w:rPr>
          <w:lang w:val="fr-FR"/>
        </w:rPr>
        <w:t>.2</w:t>
      </w:r>
      <w:r w:rsidRPr="009F4D79">
        <w:rPr>
          <w:lang w:val="fr-FR"/>
        </w:rPr>
        <w:t xml:space="preserve">, </w:t>
      </w:r>
      <w:r w:rsidR="000A6DEB" w:rsidRPr="00AC0F18">
        <w:rPr>
          <w:rFonts w:asciiTheme="majorBidi" w:hAnsiTheme="majorBidi" w:cstheme="majorBidi"/>
          <w:lang w:val="fr-FR"/>
        </w:rPr>
        <w:t xml:space="preserve">nouvelles dispositions transitoires, 1.2.1 </w:t>
      </w:r>
      <w:r w:rsidR="000A6DEB" w:rsidRPr="00693C13">
        <w:rPr>
          <w:rFonts w:asciiTheme="majorBidi" w:hAnsiTheme="majorBidi" w:cstheme="majorBidi"/>
          <w:lang w:val="fr-FR"/>
        </w:rPr>
        <w:t>-</w:t>
      </w:r>
      <w:r w:rsidR="000A6DEB" w:rsidRPr="00AC0F18">
        <w:rPr>
          <w:rFonts w:asciiTheme="majorBidi" w:hAnsiTheme="majorBidi" w:cstheme="majorBidi"/>
          <w:lang w:val="fr-FR"/>
        </w:rPr>
        <w:t xml:space="preserve"> </w:t>
      </w:r>
      <w:r w:rsidRPr="009F4D79">
        <w:rPr>
          <w:lang w:val="fr-FR"/>
        </w:rPr>
        <w:t>Detector de gaz</w:t>
      </w:r>
    </w:p>
    <w:p w14:paraId="237E7E6E" w14:textId="77777777" w:rsidR="00CE130B" w:rsidRDefault="00CE130B" w:rsidP="00CE130B">
      <w:pPr>
        <w:pStyle w:val="SingleTxtG"/>
        <w:rPr>
          <w:lang w:val="fr-FR"/>
        </w:rPr>
      </w:pPr>
      <w:r w:rsidRPr="009F4D79">
        <w:rPr>
          <w:i/>
          <w:iCs/>
          <w:lang w:val="fr-FR"/>
        </w:rPr>
        <w:t>Au lieu de</w:t>
      </w:r>
      <w:r w:rsidRPr="009F4D79">
        <w:rPr>
          <w:lang w:val="fr-FR"/>
        </w:rPr>
        <w:t xml:space="preserve"> </w:t>
      </w:r>
      <w:r w:rsidR="00172DDE" w:rsidRPr="009F4D79">
        <w:rPr>
          <w:lang w:val="fr-FR"/>
        </w:rPr>
        <w:t>CEI</w:t>
      </w:r>
      <w:r w:rsidRPr="009F4D79">
        <w:rPr>
          <w:lang w:val="fr-FR"/>
        </w:rPr>
        <w:t xml:space="preserve"> 60079-29-1:2011 </w:t>
      </w:r>
      <w:r w:rsidRPr="009F4D79">
        <w:rPr>
          <w:i/>
          <w:iCs/>
          <w:lang w:val="fr-FR"/>
        </w:rPr>
        <w:t>lire</w:t>
      </w:r>
      <w:r w:rsidRPr="009F4D79">
        <w:rPr>
          <w:lang w:val="fr-FR"/>
        </w:rPr>
        <w:t xml:space="preserve"> </w:t>
      </w:r>
      <w:r w:rsidR="00172DDE" w:rsidRPr="009F4D79">
        <w:rPr>
          <w:lang w:val="fr-FR"/>
        </w:rPr>
        <w:t>CEI</w:t>
      </w:r>
      <w:r w:rsidRPr="009F4D79">
        <w:rPr>
          <w:lang w:val="fr-FR"/>
        </w:rPr>
        <w:t xml:space="preserve"> 60079-29-1:2016</w:t>
      </w:r>
    </w:p>
    <w:p w14:paraId="46C5167B" w14:textId="77777777" w:rsidR="00BD44B1" w:rsidRPr="00FD4CB8" w:rsidRDefault="00BD44B1" w:rsidP="00BD44B1">
      <w:pPr>
        <w:pStyle w:val="H23G"/>
        <w:spacing w:before="120"/>
      </w:pPr>
      <w:r>
        <w:tab/>
      </w:r>
      <w:r w:rsidR="00D267E2">
        <w:t>11</w:t>
      </w:r>
      <w:r w:rsidRPr="00AC0F18">
        <w:t>.</w:t>
      </w:r>
      <w:r w:rsidRPr="00AC0F18">
        <w:tab/>
      </w:r>
      <w:r w:rsidRPr="00AC0F18">
        <w:rPr>
          <w:lang w:val="fr-FR"/>
        </w:rPr>
        <w:t xml:space="preserve">Amendement à la Partie 1, </w:t>
      </w:r>
      <w:r w:rsidRPr="00AC0F18">
        <w:t xml:space="preserve">Chapitre 1.6, </w:t>
      </w:r>
      <w:r w:rsidRPr="00AC0F18">
        <w:rPr>
          <w:lang w:val="fr-FR" w:eastAsia="fr-FR"/>
        </w:rPr>
        <w:t xml:space="preserve">1.6.7.2.2.2, </w:t>
      </w:r>
      <w:r w:rsidRPr="00AC0F18">
        <w:rPr>
          <w:rFonts w:asciiTheme="majorBidi" w:hAnsiTheme="majorBidi" w:cstheme="majorBidi"/>
          <w:lang w:val="fr-FR"/>
        </w:rPr>
        <w:t xml:space="preserve">nouvelles dispositions transitoires, 1.2.1 - </w:t>
      </w:r>
      <w:r w:rsidRPr="00AC0F18">
        <w:rPr>
          <w:rFonts w:asciiTheme="majorBidi" w:hAnsiTheme="majorBidi" w:cstheme="majorBidi"/>
          <w:lang w:val="fr-FR" w:eastAsia="fr-FR"/>
        </w:rPr>
        <w:t>Dispositif de décompression en toute sécurité des citernes à cargaison</w:t>
      </w:r>
    </w:p>
    <w:p w14:paraId="11FC4254" w14:textId="77777777" w:rsidR="00BD44B1" w:rsidRDefault="00BD44B1" w:rsidP="00BD44B1">
      <w:pPr>
        <w:pStyle w:val="SingleTxtG"/>
      </w:pPr>
      <w:r w:rsidRPr="00AC0F18">
        <w:rPr>
          <w:i/>
          <w:iCs/>
        </w:rPr>
        <w:t xml:space="preserve">A la place de </w:t>
      </w:r>
      <w:r w:rsidRPr="00AC0F18">
        <w:t>Épreuve selon la norme ISO 16852:2016 ou EN ISO 16852:2016/Preuve "conforme aux exigences applicables"</w:t>
      </w:r>
      <w:r w:rsidRPr="00AC0F18">
        <w:rPr>
          <w:i/>
          <w:iCs/>
        </w:rPr>
        <w:t xml:space="preserve"> lire </w:t>
      </w:r>
      <w:r w:rsidRPr="00AC0F18">
        <w:t>Épreuve selon la norme ISO 16852:2016/Preuve "conforme aux exigences applicables"</w:t>
      </w:r>
    </w:p>
    <w:p w14:paraId="518BB035" w14:textId="7DC1355B" w:rsidR="00F25379" w:rsidRPr="009F4D79" w:rsidRDefault="00F25379" w:rsidP="00F25379">
      <w:pPr>
        <w:pStyle w:val="H23G"/>
        <w:rPr>
          <w:lang w:val="fr-FR"/>
        </w:rPr>
      </w:pPr>
      <w:r w:rsidRPr="009F4D79">
        <w:rPr>
          <w:lang w:val="fr-FR"/>
        </w:rPr>
        <w:tab/>
      </w:r>
      <w:r w:rsidR="00D267E2">
        <w:rPr>
          <w:lang w:val="fr-FR"/>
        </w:rPr>
        <w:t>12</w:t>
      </w:r>
      <w:r w:rsidRPr="009F4D79">
        <w:rPr>
          <w:lang w:val="fr-FR"/>
        </w:rPr>
        <w:t>.</w:t>
      </w:r>
      <w:r w:rsidRPr="009F4D79">
        <w:rPr>
          <w:lang w:val="fr-FR"/>
        </w:rPr>
        <w:tab/>
      </w:r>
      <w:r w:rsidR="0038106F">
        <w:rPr>
          <w:lang w:val="fr-FR"/>
        </w:rPr>
        <w:t xml:space="preserve">Amendement à la Partie 1, </w:t>
      </w:r>
      <w:r w:rsidRPr="009F4D79">
        <w:rPr>
          <w:lang w:val="fr-FR"/>
        </w:rPr>
        <w:t>Chapitre 1.8, 1.8.3.1</w:t>
      </w:r>
    </w:p>
    <w:p w14:paraId="76F3C0DC" w14:textId="77777777" w:rsidR="00F25379" w:rsidRPr="009F4D79" w:rsidRDefault="00F25379" w:rsidP="00F25379">
      <w:pPr>
        <w:pStyle w:val="SingleTxtG"/>
        <w:rPr>
          <w:lang w:val="fr-FR"/>
        </w:rPr>
      </w:pPr>
      <w:r w:rsidRPr="009F4D79">
        <w:rPr>
          <w:i/>
          <w:iCs/>
          <w:lang w:val="fr-FR"/>
        </w:rPr>
        <w:t xml:space="preserve">Substituer </w:t>
      </w:r>
      <w:r w:rsidRPr="009F4D79">
        <w:rPr>
          <w:lang w:val="fr-FR"/>
        </w:rPr>
        <w:t>au texte existant :</w:t>
      </w:r>
    </w:p>
    <w:p w14:paraId="003AAF70" w14:textId="51068FE6" w:rsidR="00F25379" w:rsidRPr="003A6283" w:rsidRDefault="003836FF" w:rsidP="000A6DEB">
      <w:pPr>
        <w:pStyle w:val="SingleTxtG"/>
        <w:rPr>
          <w:lang w:val="fr-FR"/>
        </w:rPr>
      </w:pPr>
      <w:r w:rsidRPr="003A6283">
        <w:rPr>
          <w:lang w:val="fr-FR"/>
        </w:rPr>
        <w:t>1.8.3.1</w:t>
      </w:r>
      <w:r w:rsidRPr="003A6283">
        <w:rPr>
          <w:lang w:val="fr-FR"/>
        </w:rPr>
        <w:tab/>
      </w:r>
      <w:r w:rsidRPr="003A6283">
        <w:rPr>
          <w:lang w:val="fr-FR"/>
        </w:rPr>
        <w:tab/>
        <w:t>Au début, remplacer «</w:t>
      </w:r>
      <w:r w:rsidR="00F25379" w:rsidRPr="003A6283">
        <w:rPr>
          <w:lang w:val="fr-FR"/>
        </w:rPr>
        <w:t xml:space="preserve">dont l'activité comporte le transport de marchandises dangereuses </w:t>
      </w:r>
      <w:r w:rsidR="003A6283" w:rsidRPr="003A6283">
        <w:rPr>
          <w:lang w:val="fr-FR"/>
        </w:rPr>
        <w:t>par voies de navigation intérieures</w:t>
      </w:r>
      <w:r w:rsidR="00F25379" w:rsidRPr="003A6283">
        <w:rPr>
          <w:lang w:val="fr-FR"/>
        </w:rPr>
        <w:t>, ou les opérations d'emballage, de chargement, de remplissage ou de décha</w:t>
      </w:r>
      <w:r w:rsidRPr="003A6283">
        <w:rPr>
          <w:lang w:val="fr-FR"/>
        </w:rPr>
        <w:t>rgement liées à ces transports,</w:t>
      </w:r>
      <w:bookmarkStart w:id="0" w:name="_Hlk516041360"/>
      <w:r w:rsidRPr="003A6283">
        <w:rPr>
          <w:lang w:val="fr-FR"/>
        </w:rPr>
        <w:t>» par «</w:t>
      </w:r>
      <w:bookmarkStart w:id="1" w:name="_Hlk521399304"/>
      <w:r w:rsidR="00F25379" w:rsidRPr="003A6283">
        <w:rPr>
          <w:lang w:val="fr-FR"/>
        </w:rPr>
        <w:t xml:space="preserve">dont les activités comprennent l'expédition ou le transport de marchandises dangereuses </w:t>
      </w:r>
      <w:r w:rsidR="003A6283" w:rsidRPr="003A6283">
        <w:rPr>
          <w:lang w:val="fr-FR"/>
        </w:rPr>
        <w:t>par voies de navigation intérieures</w:t>
      </w:r>
      <w:r w:rsidR="00F25379" w:rsidRPr="003A6283">
        <w:rPr>
          <w:lang w:val="fr-FR"/>
        </w:rPr>
        <w:t>, ou les opérations connexes d'emballage, de chargement, de remplissage ou de déchargement,</w:t>
      </w:r>
      <w:bookmarkEnd w:id="0"/>
      <w:bookmarkEnd w:id="1"/>
      <w:r w:rsidR="00F25379" w:rsidRPr="003A6283">
        <w:rPr>
          <w:lang w:val="fr-FR"/>
        </w:rPr>
        <w:t xml:space="preserve">». </w:t>
      </w:r>
    </w:p>
    <w:p w14:paraId="6669045F" w14:textId="77777777" w:rsidR="003B673C" w:rsidRDefault="00F25379" w:rsidP="002E21F9">
      <w:pPr>
        <w:pStyle w:val="H23G"/>
        <w:pageBreakBefore/>
        <w:rPr>
          <w:lang w:val="fr-FR"/>
        </w:rPr>
      </w:pPr>
      <w:r w:rsidRPr="009F4D79">
        <w:rPr>
          <w:lang w:val="fr-FR"/>
        </w:rPr>
        <w:lastRenderedPageBreak/>
        <w:tab/>
      </w:r>
      <w:r w:rsidR="00D267E2">
        <w:rPr>
          <w:lang w:val="fr-FR"/>
        </w:rPr>
        <w:t>13</w:t>
      </w:r>
      <w:r w:rsidR="003B673C" w:rsidRPr="009F4D79">
        <w:rPr>
          <w:lang w:val="fr-FR"/>
        </w:rPr>
        <w:t>.</w:t>
      </w:r>
      <w:r w:rsidR="003B673C" w:rsidRPr="009F4D79">
        <w:rPr>
          <w:lang w:val="fr-FR"/>
        </w:rPr>
        <w:tab/>
      </w:r>
      <w:r w:rsidR="003B673C">
        <w:rPr>
          <w:lang w:val="fr-FR"/>
        </w:rPr>
        <w:t xml:space="preserve">Amendement à la Partie 2, </w:t>
      </w:r>
      <w:r w:rsidR="003B673C" w:rsidRPr="009F4D79">
        <w:rPr>
          <w:lang w:val="fr-FR"/>
        </w:rPr>
        <w:t>Chapitre 2.</w:t>
      </w:r>
      <w:r w:rsidR="003B673C">
        <w:rPr>
          <w:lang w:val="fr-FR"/>
        </w:rPr>
        <w:t>1</w:t>
      </w:r>
      <w:r w:rsidR="003B673C" w:rsidRPr="009F4D79">
        <w:rPr>
          <w:lang w:val="fr-FR"/>
        </w:rPr>
        <w:t>, 2.</w:t>
      </w:r>
      <w:r w:rsidR="00CD53CC">
        <w:rPr>
          <w:lang w:val="fr-FR"/>
        </w:rPr>
        <w:t>1.3.5.5</w:t>
      </w:r>
    </w:p>
    <w:p w14:paraId="65D9A28D" w14:textId="4E7822FE" w:rsidR="00DC4F57" w:rsidRDefault="00DC4F57" w:rsidP="00DC4F57">
      <w:pPr>
        <w:pStyle w:val="SingleTxtG"/>
        <w:rPr>
          <w:lang w:val="fr-FR"/>
        </w:rPr>
      </w:pPr>
      <w:r w:rsidRPr="009F4D79">
        <w:rPr>
          <w:i/>
          <w:iCs/>
          <w:lang w:val="fr-FR"/>
        </w:rPr>
        <w:t xml:space="preserve">Substituer </w:t>
      </w:r>
      <w:r w:rsidRPr="009F4D79">
        <w:rPr>
          <w:lang w:val="fr-FR"/>
        </w:rPr>
        <w:t>au texte existant:</w:t>
      </w:r>
    </w:p>
    <w:p w14:paraId="71E348D5" w14:textId="3BB804ED" w:rsidR="00D220E7" w:rsidRPr="00D67FEA" w:rsidRDefault="00D220E7" w:rsidP="00D220E7">
      <w:pPr>
        <w:pStyle w:val="SingleTxtG"/>
      </w:pPr>
      <w:r w:rsidRPr="00B1435B">
        <w:t>2.1.3.5.5</w:t>
      </w:r>
      <w:r w:rsidRPr="00B1435B">
        <w:tab/>
        <w:t>Modifier la note de bas de page 2 pour lire comme suit:</w:t>
      </w:r>
    </w:p>
    <w:p w14:paraId="693DF4FB" w14:textId="77777777" w:rsidR="00DC4F57" w:rsidRPr="00DC4F57" w:rsidRDefault="00DC4F57" w:rsidP="00DC4F57">
      <w:pPr>
        <w:pStyle w:val="SingleTxtG"/>
        <w:rPr>
          <w:lang w:val="fr-FR"/>
        </w:rPr>
      </w:pPr>
      <w:r>
        <w:t>«</w:t>
      </w:r>
      <w:r w:rsidRPr="00B3079F">
        <w:rPr>
          <w:vertAlign w:val="superscript"/>
        </w:rPr>
        <w:t>2</w:t>
      </w:r>
      <w:r w:rsidRPr="00E073BA">
        <w:rPr>
          <w:szCs w:val="24"/>
        </w:rPr>
        <w:tab/>
      </w:r>
      <w:r w:rsidRPr="00B3079F">
        <w:rPr>
          <w:i/>
          <w:iCs/>
        </w:rPr>
        <w:t xml:space="preserve">Une telle législation est par exemple la décision 2000/532/CE de la Commission du 3 mai 2000 remplaçant la décision 94/3/CE, établissant une liste de déchets en application de l’article premier point a) de la Directive 75/442/CEE du Conseil relative aux déchets et la Décision 94/904/CE du Conseil, établissant une liste de déchets dangereux en application de l’article premier paragraphe 4 de la Directive 91/689/CEE relative aux déchets dangereux (Journal officiel des Communautés européennes </w:t>
      </w:r>
      <w:r w:rsidRPr="00B3079F">
        <w:rPr>
          <w:rFonts w:eastAsia="MS Mincho"/>
          <w:i/>
          <w:iCs/>
        </w:rPr>
        <w:t>No</w:t>
      </w:r>
      <w:r w:rsidRPr="00B3079F">
        <w:rPr>
          <w:i/>
          <w:iCs/>
        </w:rPr>
        <w:t xml:space="preserve"> L 226 du 6 septembre 2000, p. 3)</w:t>
      </w:r>
      <w:r w:rsidRPr="00B3079F">
        <w:rPr>
          <w:i/>
        </w:rPr>
        <w:t>, telle que modifiée</w:t>
      </w:r>
      <w:r w:rsidRPr="00B3079F">
        <w:rPr>
          <w:i/>
          <w:iCs/>
        </w:rPr>
        <w:t>; et la Directive 2008/98/CE du Parlement européen et du Conseil du 19 novembre 2008 relative aux déchets et abrogeant certaines directives (Journal officiel de l'Union européenne No L 312 du 22 novembre 2008, p. 3 à 30)</w:t>
      </w:r>
      <w:r w:rsidRPr="00B3079F">
        <w:rPr>
          <w:i/>
        </w:rPr>
        <w:t>, telle que modifiée</w:t>
      </w:r>
      <w:r w:rsidRPr="00B3079F">
        <w:rPr>
          <w:i/>
          <w:iCs/>
        </w:rPr>
        <w:t>.</w:t>
      </w:r>
      <w:r>
        <w:rPr>
          <w:i/>
          <w:iCs/>
        </w:rPr>
        <w:t>».</w:t>
      </w:r>
    </w:p>
    <w:p w14:paraId="08EC2165" w14:textId="46E75534" w:rsidR="00F25379" w:rsidRPr="009F4D79" w:rsidRDefault="003B673C" w:rsidP="00F25379">
      <w:pPr>
        <w:pStyle w:val="H23G"/>
        <w:rPr>
          <w:lang w:val="fr-FR"/>
        </w:rPr>
      </w:pPr>
      <w:r>
        <w:rPr>
          <w:lang w:val="fr-FR"/>
        </w:rPr>
        <w:tab/>
      </w:r>
      <w:r w:rsidR="00D267E2">
        <w:rPr>
          <w:lang w:val="fr-FR"/>
        </w:rPr>
        <w:t>14</w:t>
      </w:r>
      <w:r w:rsidR="00F25379" w:rsidRPr="009F4D79">
        <w:rPr>
          <w:lang w:val="fr-FR"/>
        </w:rPr>
        <w:t>.</w:t>
      </w:r>
      <w:r w:rsidR="00F25379" w:rsidRPr="009F4D79">
        <w:rPr>
          <w:lang w:val="fr-FR"/>
        </w:rPr>
        <w:tab/>
      </w:r>
      <w:r w:rsidR="0038106F">
        <w:rPr>
          <w:lang w:val="fr-FR"/>
        </w:rPr>
        <w:t xml:space="preserve">Amendement à la Partie 2, </w:t>
      </w:r>
      <w:r w:rsidR="00F25379" w:rsidRPr="009F4D79">
        <w:rPr>
          <w:lang w:val="fr-FR"/>
        </w:rPr>
        <w:t>Chapitre 2.2, 2.2.51.1.3</w:t>
      </w:r>
    </w:p>
    <w:p w14:paraId="65C9DBDB" w14:textId="77777777" w:rsidR="00F25379" w:rsidRPr="009F4D79" w:rsidRDefault="00F25379" w:rsidP="00F25379">
      <w:pPr>
        <w:pStyle w:val="SingleTxtG"/>
        <w:rPr>
          <w:lang w:val="fr-FR"/>
        </w:rPr>
      </w:pPr>
      <w:r w:rsidRPr="009F4D79">
        <w:rPr>
          <w:i/>
          <w:iCs/>
          <w:lang w:val="fr-FR"/>
        </w:rPr>
        <w:t xml:space="preserve">Au lieu de </w:t>
      </w:r>
      <w:r w:rsidRPr="009F4D79">
        <w:rPr>
          <w:lang w:val="fr-FR"/>
        </w:rPr>
        <w:t xml:space="preserve">treizième tiret </w:t>
      </w:r>
      <w:r w:rsidRPr="009F4D79">
        <w:rPr>
          <w:i/>
          <w:iCs/>
          <w:lang w:val="fr-FR"/>
        </w:rPr>
        <w:t xml:space="preserve">lire </w:t>
      </w:r>
      <w:bookmarkStart w:id="2" w:name="_Hlk521399441"/>
      <w:r w:rsidRPr="009F4D79">
        <w:rPr>
          <w:lang w:val="fr-FR"/>
        </w:rPr>
        <w:t>treizième et quatorzième tirets</w:t>
      </w:r>
      <w:bookmarkEnd w:id="2"/>
    </w:p>
    <w:p w14:paraId="0C045B4B" w14:textId="33BC983D" w:rsidR="00F25379" w:rsidRPr="009F4D79" w:rsidRDefault="00F25379" w:rsidP="00F25379">
      <w:pPr>
        <w:pStyle w:val="H23G"/>
        <w:rPr>
          <w:lang w:val="fr-FR"/>
        </w:rPr>
      </w:pPr>
      <w:r w:rsidRPr="009F4D79">
        <w:rPr>
          <w:lang w:val="fr-FR"/>
        </w:rPr>
        <w:tab/>
      </w:r>
      <w:r w:rsidR="00D267E2">
        <w:rPr>
          <w:lang w:val="fr-FR"/>
        </w:rPr>
        <w:t>15</w:t>
      </w:r>
      <w:r w:rsidRPr="009F4D79">
        <w:rPr>
          <w:lang w:val="fr-FR"/>
        </w:rPr>
        <w:t>.</w:t>
      </w:r>
      <w:r w:rsidRPr="009F4D79">
        <w:rPr>
          <w:lang w:val="fr-FR"/>
        </w:rPr>
        <w:tab/>
      </w:r>
      <w:r w:rsidR="0038106F">
        <w:rPr>
          <w:lang w:val="fr-FR"/>
        </w:rPr>
        <w:t xml:space="preserve">Amendement à la Partie 2, </w:t>
      </w:r>
      <w:r w:rsidRPr="009F4D79">
        <w:rPr>
          <w:lang w:val="fr-FR"/>
        </w:rPr>
        <w:t xml:space="preserve">Chapitre 2.2, 2.2.51.2.2, </w:t>
      </w:r>
      <w:bookmarkStart w:id="3" w:name="_Hlk516041739"/>
      <w:r w:rsidR="003836FF" w:rsidRPr="009F4D79">
        <w:rPr>
          <w:lang w:val="fr-FR"/>
        </w:rPr>
        <w:t>sous le tiret finissant par «numéro ONU 2067</w:t>
      </w:r>
      <w:r w:rsidRPr="009F4D79">
        <w:rPr>
          <w:lang w:val="fr-FR"/>
        </w:rPr>
        <w:t>»</w:t>
      </w:r>
      <w:bookmarkEnd w:id="3"/>
    </w:p>
    <w:p w14:paraId="1E2F13F4" w14:textId="77777777" w:rsidR="00F25379" w:rsidRPr="009F4D79" w:rsidRDefault="00F25379" w:rsidP="00F25379">
      <w:pPr>
        <w:pStyle w:val="SingleTxtG"/>
        <w:rPr>
          <w:i/>
          <w:iCs/>
          <w:lang w:val="fr-FR"/>
        </w:rPr>
      </w:pPr>
      <w:r w:rsidRPr="009F4D79">
        <w:rPr>
          <w:i/>
          <w:iCs/>
          <w:lang w:val="fr-FR"/>
        </w:rPr>
        <w:t>Insérer</w:t>
      </w:r>
    </w:p>
    <w:p w14:paraId="0F1D4AF7" w14:textId="77777777" w:rsidR="00F25379" w:rsidRPr="009F4D79" w:rsidRDefault="00F25379" w:rsidP="000A6DEB">
      <w:pPr>
        <w:pStyle w:val="SingleTxtG"/>
        <w:rPr>
          <w:lang w:val="fr-FR"/>
        </w:rPr>
      </w:pPr>
      <w:bookmarkStart w:id="4" w:name="_Hlk516041680"/>
      <w:r w:rsidRPr="009F4D79">
        <w:rPr>
          <w:b/>
          <w:bCs/>
          <w:i/>
          <w:iCs/>
          <w:lang w:val="fr-FR"/>
        </w:rPr>
        <w:t>NOTA:</w:t>
      </w:r>
      <w:r w:rsidRPr="009F4D79">
        <w:rPr>
          <w:i/>
          <w:iCs/>
          <w:lang w:val="fr-FR"/>
        </w:rPr>
        <w:tab/>
        <w:t>L'expression "autorité compétente" désigne l'autorité compétente du pays d'origine. Si le pays d'origine n'est pas une Partie contractante à l’ADN, la classification et les conditions de transport doivent être reconnues par l'autorité compétente du premier pays Partie contractante à l’ADN touché par l’envoi.</w:t>
      </w:r>
      <w:bookmarkEnd w:id="4"/>
    </w:p>
    <w:p w14:paraId="71D1989B" w14:textId="652928A9" w:rsidR="00F25379" w:rsidRPr="009F4D79" w:rsidRDefault="00F25379" w:rsidP="00F25379">
      <w:pPr>
        <w:pStyle w:val="H23G"/>
        <w:rPr>
          <w:lang w:val="fr-FR"/>
        </w:rPr>
      </w:pPr>
      <w:r w:rsidRPr="009F4D79">
        <w:rPr>
          <w:lang w:val="fr-FR"/>
        </w:rPr>
        <w:tab/>
      </w:r>
      <w:r w:rsidR="00D267E2">
        <w:rPr>
          <w:lang w:val="fr-FR"/>
        </w:rPr>
        <w:t>16</w:t>
      </w:r>
      <w:r w:rsidRPr="009F4D79">
        <w:rPr>
          <w:lang w:val="fr-FR"/>
        </w:rPr>
        <w:t>.</w:t>
      </w:r>
      <w:r w:rsidRPr="009F4D79">
        <w:rPr>
          <w:lang w:val="fr-FR"/>
        </w:rPr>
        <w:tab/>
      </w:r>
      <w:r w:rsidR="0038106F">
        <w:rPr>
          <w:lang w:val="fr-FR"/>
        </w:rPr>
        <w:t xml:space="preserve">Amendement à la Partie 2, </w:t>
      </w:r>
      <w:r w:rsidRPr="009F4D79">
        <w:rPr>
          <w:lang w:val="fr-FR"/>
        </w:rPr>
        <w:t>Chapitre 2.2, 2.2.9.1.7, nouvel alinéa g), après « piles ou batteries »</w:t>
      </w:r>
    </w:p>
    <w:p w14:paraId="10D858F7" w14:textId="77777777" w:rsidR="00F25379" w:rsidRPr="009F4D79" w:rsidRDefault="00F25379" w:rsidP="00F25379">
      <w:pPr>
        <w:pStyle w:val="SingleTxtG"/>
        <w:rPr>
          <w:lang w:val="fr-FR"/>
        </w:rPr>
      </w:pPr>
      <w:r w:rsidRPr="009F4D79">
        <w:rPr>
          <w:i/>
          <w:lang w:val="fr-FR"/>
        </w:rPr>
        <w:t>Insérer</w:t>
      </w:r>
      <w:r w:rsidRPr="009F4D79">
        <w:rPr>
          <w:lang w:val="fr-FR"/>
        </w:rPr>
        <w:t xml:space="preserve"> </w:t>
      </w:r>
      <w:bookmarkStart w:id="5" w:name="_Hlk516042041"/>
      <w:r w:rsidRPr="009F4D79">
        <w:rPr>
          <w:lang w:val="fr-FR"/>
        </w:rPr>
        <w:t>fabriquées après le 30 juin 2003</w:t>
      </w:r>
      <w:bookmarkEnd w:id="5"/>
    </w:p>
    <w:p w14:paraId="56D9A983" w14:textId="77777777" w:rsidR="00D45B1D" w:rsidRPr="00D267E2" w:rsidRDefault="00D45B1D" w:rsidP="004D1151">
      <w:pPr>
        <w:pStyle w:val="H23G"/>
        <w:rPr>
          <w:lang w:val="fr-FR"/>
        </w:rPr>
      </w:pPr>
      <w:r w:rsidRPr="009F4D79">
        <w:rPr>
          <w:lang w:val="fr-FR"/>
        </w:rPr>
        <w:tab/>
      </w:r>
      <w:r w:rsidR="00D267E2">
        <w:rPr>
          <w:lang w:val="fr-FR"/>
        </w:rPr>
        <w:t>17</w:t>
      </w:r>
      <w:r w:rsidRPr="00D267E2">
        <w:rPr>
          <w:lang w:val="fr-FR"/>
        </w:rPr>
        <w:t>.</w:t>
      </w:r>
      <w:r w:rsidRPr="00D267E2">
        <w:rPr>
          <w:lang w:val="fr-FR"/>
        </w:rPr>
        <w:tab/>
        <w:t>Amendement à la Partie 3, Chapitre 3.</w:t>
      </w:r>
      <w:r w:rsidR="004D1151" w:rsidRPr="00D267E2">
        <w:rPr>
          <w:lang w:val="fr-FR"/>
        </w:rPr>
        <w:t>1</w:t>
      </w:r>
      <w:r w:rsidRPr="00D267E2">
        <w:rPr>
          <w:lang w:val="fr-FR"/>
        </w:rPr>
        <w:t xml:space="preserve">, </w:t>
      </w:r>
      <w:bookmarkStart w:id="6" w:name="_Hlk522202141"/>
      <w:r w:rsidR="004D1151" w:rsidRPr="00D267E2">
        <w:rPr>
          <w:lang w:val="fr-FR"/>
        </w:rPr>
        <w:t>3.1.2.8.1.</w:t>
      </w:r>
      <w:bookmarkEnd w:id="6"/>
      <w:r w:rsidR="00B140AD" w:rsidRPr="00D267E2">
        <w:rPr>
          <w:lang w:val="fr-FR"/>
        </w:rPr>
        <w:t>3</w:t>
      </w:r>
      <w:r w:rsidR="004D1151" w:rsidRPr="00D267E2">
        <w:rPr>
          <w:lang w:val="fr-FR"/>
        </w:rPr>
        <w:t xml:space="preserve">, </w:t>
      </w:r>
      <w:r w:rsidR="00B140AD" w:rsidRPr="00D267E2">
        <w:rPr>
          <w:lang w:val="fr-FR"/>
        </w:rPr>
        <w:t>exemple</w:t>
      </w:r>
      <w:r w:rsidR="004D1151" w:rsidRPr="00D267E2">
        <w:rPr>
          <w:lang w:val="fr-FR"/>
        </w:rPr>
        <w:t xml:space="preserve"> </w:t>
      </w:r>
    </w:p>
    <w:p w14:paraId="7748DFC0" w14:textId="4983B30F" w:rsidR="004D1151" w:rsidRPr="00D267E2" w:rsidRDefault="004D1151" w:rsidP="004D1151">
      <w:pPr>
        <w:pStyle w:val="SingleTxtG"/>
        <w:rPr>
          <w:lang w:val="fr-FR"/>
        </w:rPr>
      </w:pPr>
      <w:r w:rsidRPr="00D267E2">
        <w:rPr>
          <w:i/>
          <w:iCs/>
          <w:lang w:val="fr-FR"/>
        </w:rPr>
        <w:t>Au lieu de</w:t>
      </w:r>
      <w:r w:rsidRPr="00D267E2">
        <w:rPr>
          <w:lang w:val="fr-FR"/>
        </w:rPr>
        <w:t xml:space="preserve"> </w:t>
      </w:r>
      <w:r w:rsidR="00471F12" w:rsidRPr="00D267E2">
        <w:rPr>
          <w:lang w:val="fr-FR"/>
        </w:rPr>
        <w:t>UN</w:t>
      </w:r>
      <w:r w:rsidR="00471F12" w:rsidRPr="00D267E2">
        <w:rPr>
          <w:i/>
          <w:iCs/>
          <w:lang w:val="fr-FR"/>
        </w:rPr>
        <w:t xml:space="preserve"> </w:t>
      </w:r>
      <w:r w:rsidRPr="00D267E2">
        <w:rPr>
          <w:i/>
          <w:iCs/>
          <w:lang w:val="fr-FR"/>
        </w:rPr>
        <w:t>lire</w:t>
      </w:r>
      <w:r w:rsidRPr="00D267E2">
        <w:rPr>
          <w:lang w:val="fr-FR"/>
        </w:rPr>
        <w:t xml:space="preserve"> </w:t>
      </w:r>
      <w:r w:rsidR="00471F12" w:rsidRPr="00D267E2">
        <w:rPr>
          <w:lang w:val="fr-FR"/>
        </w:rPr>
        <w:t>No ONU</w:t>
      </w:r>
    </w:p>
    <w:p w14:paraId="7553D244" w14:textId="6475C15C" w:rsidR="00E232CA" w:rsidRPr="009F4D79" w:rsidRDefault="00E232CA" w:rsidP="00E232CA">
      <w:pPr>
        <w:pStyle w:val="H23G"/>
        <w:rPr>
          <w:lang w:val="fr-FR"/>
        </w:rPr>
      </w:pPr>
      <w:r w:rsidRPr="009F4D79">
        <w:rPr>
          <w:lang w:val="fr-FR"/>
        </w:rPr>
        <w:tab/>
      </w:r>
      <w:r w:rsidR="00DA2608">
        <w:rPr>
          <w:lang w:val="fr-FR"/>
        </w:rPr>
        <w:t>18</w:t>
      </w:r>
      <w:r w:rsidRPr="009F4D79">
        <w:rPr>
          <w:lang w:val="fr-FR"/>
        </w:rPr>
        <w:t>.</w:t>
      </w:r>
      <w:r w:rsidRPr="009F4D79">
        <w:rPr>
          <w:lang w:val="fr-FR"/>
        </w:rPr>
        <w:tab/>
      </w:r>
      <w:r>
        <w:rPr>
          <w:lang w:val="fr-FR"/>
        </w:rPr>
        <w:t xml:space="preserve">Amendement à la Partie 3, </w:t>
      </w:r>
      <w:r w:rsidRPr="009F4D79">
        <w:rPr>
          <w:lang w:val="fr-FR"/>
        </w:rPr>
        <w:t>Chapitre 3.2, Tableau A, nouvelles rubriques, Nos ONU 3535, 3536, 3537, 3538, 3539, 3540, 3541, 3542, 3543, 3544, 3545, 3546, 3547, 3548, colonne (8)</w:t>
      </w:r>
    </w:p>
    <w:p w14:paraId="2BB67AE8" w14:textId="642C4F6C" w:rsidR="00E232CA" w:rsidRDefault="00E232CA" w:rsidP="00E232CA">
      <w:pPr>
        <w:pStyle w:val="SingleTxtG"/>
        <w:rPr>
          <w:lang w:val="fr-FR"/>
        </w:rPr>
      </w:pPr>
      <w:r w:rsidRPr="009F4D79">
        <w:rPr>
          <w:i/>
          <w:iCs/>
          <w:lang w:val="fr-FR"/>
        </w:rPr>
        <w:t>Supprimer</w:t>
      </w:r>
      <w:r w:rsidRPr="009F4D79">
        <w:rPr>
          <w:lang w:val="fr-FR"/>
        </w:rPr>
        <w:t xml:space="preserve"> le texte existant</w:t>
      </w:r>
    </w:p>
    <w:p w14:paraId="15ACBAAE" w14:textId="441A861D" w:rsidR="00B1435B" w:rsidRPr="009F4D79" w:rsidRDefault="00B1435B" w:rsidP="00B1435B">
      <w:pPr>
        <w:pStyle w:val="H23G"/>
        <w:rPr>
          <w:lang w:val="fr-FR"/>
        </w:rPr>
      </w:pPr>
      <w:r w:rsidRPr="009F4D79">
        <w:rPr>
          <w:lang w:val="fr-FR"/>
        </w:rPr>
        <w:tab/>
      </w:r>
      <w:r>
        <w:rPr>
          <w:lang w:val="fr-FR"/>
        </w:rPr>
        <w:t>1</w:t>
      </w:r>
      <w:r>
        <w:rPr>
          <w:lang w:val="fr-FR"/>
        </w:rPr>
        <w:t>9</w:t>
      </w:r>
      <w:r w:rsidRPr="009F4D79">
        <w:rPr>
          <w:lang w:val="fr-FR"/>
        </w:rPr>
        <w:t>.</w:t>
      </w:r>
      <w:r w:rsidRPr="009F4D79">
        <w:rPr>
          <w:lang w:val="fr-FR"/>
        </w:rPr>
        <w:tab/>
      </w:r>
      <w:r>
        <w:rPr>
          <w:lang w:val="fr-FR"/>
        </w:rPr>
        <w:t xml:space="preserve">Amendement à la Partie 3, </w:t>
      </w:r>
      <w:r w:rsidRPr="009F4D79">
        <w:rPr>
          <w:lang w:val="fr-FR"/>
        </w:rPr>
        <w:t>Chapitre 3.2, Tableau A, nouvelles rubriques, No</w:t>
      </w:r>
      <w:r>
        <w:rPr>
          <w:lang w:val="fr-FR"/>
        </w:rPr>
        <w:t xml:space="preserve"> ONU</w:t>
      </w:r>
      <w:r w:rsidRPr="009F4D79">
        <w:rPr>
          <w:lang w:val="fr-FR"/>
        </w:rPr>
        <w:t xml:space="preserve"> 3536, colonne (</w:t>
      </w:r>
      <w:r>
        <w:rPr>
          <w:lang w:val="fr-FR"/>
        </w:rPr>
        <w:t>5</w:t>
      </w:r>
      <w:r w:rsidRPr="009F4D79">
        <w:rPr>
          <w:lang w:val="fr-FR"/>
        </w:rPr>
        <w:t>)</w:t>
      </w:r>
    </w:p>
    <w:p w14:paraId="12EFC405" w14:textId="0816F710" w:rsidR="00B1435B" w:rsidRDefault="00B1435B" w:rsidP="00E232CA">
      <w:pPr>
        <w:pStyle w:val="SingleTxtG"/>
        <w:rPr>
          <w:lang w:val="fr-FR"/>
        </w:rPr>
      </w:pPr>
      <w:r w:rsidRPr="009F4D79">
        <w:rPr>
          <w:lang w:val="fr-FR"/>
        </w:rPr>
        <w:t>Sans objet en français.</w:t>
      </w:r>
    </w:p>
    <w:p w14:paraId="41BCCECC" w14:textId="0EFF6A94" w:rsidR="00200076" w:rsidRPr="000E0CAD" w:rsidRDefault="00200076" w:rsidP="00200076">
      <w:pPr>
        <w:pStyle w:val="H23G"/>
      </w:pPr>
      <w:r w:rsidRPr="00D267E2">
        <w:tab/>
      </w:r>
      <w:r w:rsidR="00B1435B">
        <w:t>20</w:t>
      </w:r>
      <w:r w:rsidRPr="00D267E2">
        <w:t>.</w:t>
      </w:r>
      <w:r w:rsidRPr="00D267E2">
        <w:tab/>
      </w:r>
      <w:r w:rsidR="00281D21" w:rsidRPr="00D267E2">
        <w:rPr>
          <w:lang w:val="fr-FR"/>
        </w:rPr>
        <w:t>Amendement</w:t>
      </w:r>
      <w:r w:rsidR="00281D21">
        <w:rPr>
          <w:lang w:val="fr-FR"/>
        </w:rPr>
        <w:t xml:space="preserve"> à la Partie 3, </w:t>
      </w:r>
      <w:r w:rsidRPr="000E0CAD">
        <w:t>Chap</w:t>
      </w:r>
      <w:r>
        <w:t>itre</w:t>
      </w:r>
      <w:r w:rsidRPr="000E0CAD">
        <w:t xml:space="preserve"> 3.2, 3.2.3</w:t>
      </w:r>
      <w:r>
        <w:t>.</w:t>
      </w:r>
      <w:r w:rsidRPr="000E0CAD">
        <w:t xml:space="preserve">1, </w:t>
      </w:r>
      <w:r>
        <w:t>observation 44</w:t>
      </w:r>
    </w:p>
    <w:p w14:paraId="0356404E" w14:textId="77777777" w:rsidR="00200076" w:rsidRDefault="00200076" w:rsidP="00200076">
      <w:pPr>
        <w:pStyle w:val="SingleTxtG"/>
      </w:pPr>
      <w:r w:rsidRPr="000E0CAD">
        <w:rPr>
          <w:i/>
          <w:iCs/>
        </w:rPr>
        <w:t>A la place de</w:t>
      </w:r>
      <w:r w:rsidRPr="000E0CAD">
        <w:t xml:space="preserve"> Une matière ne pourra être rangée dans cette rubrique que </w:t>
      </w:r>
      <w:r w:rsidRPr="000E0CAD">
        <w:rPr>
          <w:i/>
          <w:iCs/>
        </w:rPr>
        <w:t>lire</w:t>
      </w:r>
      <w:r w:rsidRPr="000E0CAD">
        <w:t xml:space="preserve"> Une matière ne pourra être affectée à cette rubrique que</w:t>
      </w:r>
    </w:p>
    <w:p w14:paraId="1EED9BCC" w14:textId="12F107D1" w:rsidR="00F33ECC" w:rsidRDefault="00F33ECC" w:rsidP="00DA2608">
      <w:pPr>
        <w:pStyle w:val="H23G"/>
        <w:pageBreakBefore/>
      </w:pPr>
      <w:r>
        <w:lastRenderedPageBreak/>
        <w:tab/>
      </w:r>
      <w:r w:rsidR="00DA2608">
        <w:t>2</w:t>
      </w:r>
      <w:r w:rsidR="00B1435B">
        <w:t>1</w:t>
      </w:r>
      <w:r w:rsidRPr="000E0CAD">
        <w:t>.</w:t>
      </w:r>
      <w:r w:rsidRPr="000E0CAD">
        <w:tab/>
      </w:r>
      <w:r>
        <w:rPr>
          <w:lang w:val="fr-FR"/>
        </w:rPr>
        <w:t xml:space="preserve">Amendement à la Partie 3, </w:t>
      </w:r>
      <w:r w:rsidRPr="000E0CAD">
        <w:t>Chap</w:t>
      </w:r>
      <w:r>
        <w:t>itre</w:t>
      </w:r>
      <w:r w:rsidRPr="000E0CAD">
        <w:t xml:space="preserve"> 3.2, </w:t>
      </w:r>
      <w:r>
        <w:t>Tableau C, Nos ONU 1578, 1663, 2078, 2205, 2259, 2280, 3446</w:t>
      </w:r>
    </w:p>
    <w:p w14:paraId="1C7EA213" w14:textId="77777777" w:rsidR="00F33ECC" w:rsidRPr="00F902C9" w:rsidRDefault="00F33ECC" w:rsidP="00F33ECC">
      <w:pPr>
        <w:pStyle w:val="SingleTxtG"/>
        <w:rPr>
          <w:i/>
          <w:iCs/>
        </w:rPr>
      </w:pPr>
      <w:r w:rsidRPr="009F4D79">
        <w:rPr>
          <w:i/>
          <w:iCs/>
          <w:lang w:val="fr-FR"/>
        </w:rPr>
        <w:t xml:space="preserve">Substituer </w:t>
      </w:r>
      <w:r w:rsidRPr="009F4D79">
        <w:rPr>
          <w:lang w:val="fr-FR"/>
        </w:rPr>
        <w:t>au texte existant:</w:t>
      </w:r>
    </w:p>
    <w:p w14:paraId="411C78E3" w14:textId="77777777" w:rsidR="00F33ECC" w:rsidRDefault="00F33ECC" w:rsidP="00F33ECC">
      <w:pPr>
        <w:pStyle w:val="SingleTxtG"/>
        <w:tabs>
          <w:tab w:val="left" w:pos="2268"/>
        </w:tabs>
        <w:spacing w:before="120"/>
        <w:rPr>
          <w:bCs/>
        </w:rPr>
      </w:pPr>
      <w:r w:rsidRPr="003C7C28">
        <w:t>3.2.3.2</w:t>
      </w:r>
      <w:r w:rsidRPr="003C7C28">
        <w:tab/>
      </w:r>
      <w:r w:rsidRPr="003C7C28">
        <w:rPr>
          <w:bCs/>
        </w:rPr>
        <w:t xml:space="preserve">Dans les rubriques suivantes, modifier la colonne (16) pour lire </w:t>
      </w:r>
      <w:r w:rsidRPr="003C7C28">
        <w:rPr>
          <w:i/>
        </w:rPr>
        <w:t>«</w:t>
      </w:r>
      <w:r w:rsidRPr="003C7C28">
        <w:t>II</w:t>
      </w:r>
      <w:r w:rsidRPr="003C7C28">
        <w:rPr>
          <w:bCs/>
        </w:rPr>
        <w:t> </w:t>
      </w:r>
      <w:r w:rsidRPr="003C7C28">
        <w:t>B</w:t>
      </w:r>
      <w:r w:rsidRPr="003C7C28">
        <w:rPr>
          <w:bCs/>
        </w:rPr>
        <w:t> </w:t>
      </w:r>
      <w:r w:rsidRPr="003C7C28">
        <w:t>(II</w:t>
      </w:r>
      <w:r w:rsidRPr="003C7C28">
        <w:rPr>
          <w:bCs/>
        </w:rPr>
        <w:t> </w:t>
      </w:r>
      <w:r w:rsidRPr="003C7C28">
        <w:t>B3</w:t>
      </w:r>
      <w:r w:rsidRPr="003C7C28">
        <w:rPr>
          <w:vertAlign w:val="superscript"/>
        </w:rPr>
        <w:t>14)</w:t>
      </w:r>
      <w:r w:rsidRPr="003C7C28">
        <w:t>)»</w:t>
      </w:r>
      <w:r w:rsidRPr="003C7C28">
        <w:rPr>
          <w:bCs/>
        </w:rPr>
        <w:t>:</w:t>
      </w:r>
    </w:p>
    <w:tbl>
      <w:tblPr>
        <w:tblStyle w:val="TableGrid"/>
        <w:tblW w:w="7371" w:type="dxa"/>
        <w:tblInd w:w="11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677"/>
      </w:tblGrid>
      <w:tr w:rsidR="00F33ECC" w:rsidRPr="00BF3BEC" w14:paraId="684B6593" w14:textId="77777777" w:rsidTr="00C50523">
        <w:tc>
          <w:tcPr>
            <w:tcW w:w="2694" w:type="dxa"/>
          </w:tcPr>
          <w:p w14:paraId="7C5668F7" w14:textId="77777777" w:rsidR="00F33ECC" w:rsidRPr="00BF3BEC" w:rsidRDefault="00F33ECC" w:rsidP="00C50523">
            <w:pPr>
              <w:pStyle w:val="SingleTxtG"/>
              <w:spacing w:before="80" w:after="80"/>
              <w:ind w:left="0" w:right="177"/>
              <w:jc w:val="left"/>
            </w:pPr>
            <w:r w:rsidRPr="00BF3BEC">
              <w:t>1578</w:t>
            </w:r>
            <w:r>
              <w:t xml:space="preserve"> (</w:t>
            </w:r>
            <w:r>
              <w:rPr>
                <w:lang w:val="fr-FR"/>
              </w:rPr>
              <w:t>première</w:t>
            </w:r>
            <w:r w:rsidRPr="00BF3BEC">
              <w:rPr>
                <w:lang w:val="fr-FR"/>
              </w:rPr>
              <w:t xml:space="preserve"> rubrique</w:t>
            </w:r>
            <w:r>
              <w:rPr>
                <w:lang w:val="fr-FR"/>
              </w:rPr>
              <w:t>)</w:t>
            </w:r>
          </w:p>
        </w:tc>
        <w:tc>
          <w:tcPr>
            <w:tcW w:w="4677" w:type="dxa"/>
          </w:tcPr>
          <w:p w14:paraId="1A05B708" w14:textId="77777777" w:rsidR="00F33ECC" w:rsidRPr="00BF3BEC" w:rsidRDefault="00F33ECC" w:rsidP="00C50523">
            <w:pPr>
              <w:pStyle w:val="SingleTxtG"/>
              <w:tabs>
                <w:tab w:val="left" w:pos="4961"/>
              </w:tabs>
              <w:spacing w:before="80" w:after="80"/>
              <w:ind w:left="0" w:right="426"/>
              <w:jc w:val="left"/>
            </w:pPr>
            <w:r w:rsidRPr="00BF3BEC">
              <w:t>CHLORONITROBENZÈNES, SOLIDES, FONDUS</w:t>
            </w:r>
          </w:p>
        </w:tc>
      </w:tr>
      <w:tr w:rsidR="00F33ECC" w:rsidRPr="00BF3BEC" w14:paraId="58323DDE" w14:textId="77777777" w:rsidTr="00C50523">
        <w:tc>
          <w:tcPr>
            <w:tcW w:w="2694" w:type="dxa"/>
          </w:tcPr>
          <w:p w14:paraId="2F84B708" w14:textId="77777777" w:rsidR="00F33ECC" w:rsidRPr="00BF3BEC" w:rsidRDefault="00F33ECC" w:rsidP="00C50523">
            <w:pPr>
              <w:pStyle w:val="SingleTxtG"/>
              <w:spacing w:before="80" w:after="80"/>
              <w:ind w:left="0" w:right="177"/>
              <w:jc w:val="left"/>
            </w:pPr>
            <w:r w:rsidRPr="00BF3BEC">
              <w:t>1663</w:t>
            </w:r>
            <w:r>
              <w:t xml:space="preserve"> (</w:t>
            </w:r>
            <w:r>
              <w:rPr>
                <w:lang w:val="fr-FR"/>
              </w:rPr>
              <w:t>première</w:t>
            </w:r>
            <w:r w:rsidRPr="00BF3BEC">
              <w:rPr>
                <w:lang w:val="fr-FR"/>
              </w:rPr>
              <w:t xml:space="preserve"> rubrique</w:t>
            </w:r>
            <w:r>
              <w:rPr>
                <w:lang w:val="fr-FR"/>
              </w:rPr>
              <w:t>)</w:t>
            </w:r>
          </w:p>
        </w:tc>
        <w:tc>
          <w:tcPr>
            <w:tcW w:w="4677" w:type="dxa"/>
          </w:tcPr>
          <w:p w14:paraId="116E86B3" w14:textId="77777777" w:rsidR="00F33ECC" w:rsidRPr="00BF3BEC" w:rsidRDefault="00F33ECC" w:rsidP="00C50523">
            <w:pPr>
              <w:pStyle w:val="SingleTxtG"/>
              <w:tabs>
                <w:tab w:val="left" w:pos="4961"/>
              </w:tabs>
              <w:spacing w:before="80" w:after="80"/>
              <w:ind w:left="0" w:right="426"/>
              <w:jc w:val="left"/>
            </w:pPr>
            <w:r w:rsidRPr="00BF3BEC">
              <w:t>NITROPHÉNOLS</w:t>
            </w:r>
          </w:p>
        </w:tc>
      </w:tr>
      <w:tr w:rsidR="00F33ECC" w:rsidRPr="00D67FEA" w14:paraId="36C33377" w14:textId="77777777" w:rsidTr="00C50523">
        <w:tc>
          <w:tcPr>
            <w:tcW w:w="2694" w:type="dxa"/>
          </w:tcPr>
          <w:p w14:paraId="1A7C5A5F" w14:textId="77777777" w:rsidR="00F33ECC" w:rsidRPr="00BF3BEC" w:rsidRDefault="00F33ECC" w:rsidP="00C50523">
            <w:pPr>
              <w:pStyle w:val="SingleTxtG"/>
              <w:spacing w:before="80" w:after="80"/>
              <w:ind w:left="0" w:right="177"/>
              <w:jc w:val="left"/>
            </w:pPr>
            <w:r w:rsidRPr="00BF3BEC">
              <w:t>2078</w:t>
            </w:r>
            <w:r>
              <w:t xml:space="preserve"> (</w:t>
            </w:r>
            <w:r>
              <w:rPr>
                <w:lang w:val="fr-FR"/>
              </w:rPr>
              <w:t>première</w:t>
            </w:r>
            <w:r w:rsidRPr="00BF3BEC">
              <w:rPr>
                <w:lang w:val="fr-FR"/>
              </w:rPr>
              <w:t xml:space="preserve"> rubrique</w:t>
            </w:r>
            <w:r>
              <w:rPr>
                <w:lang w:val="fr-FR"/>
              </w:rPr>
              <w:t>)</w:t>
            </w:r>
          </w:p>
        </w:tc>
        <w:tc>
          <w:tcPr>
            <w:tcW w:w="4677" w:type="dxa"/>
          </w:tcPr>
          <w:p w14:paraId="2FA3B77E" w14:textId="77777777" w:rsidR="00F33ECC" w:rsidRPr="00A1320A" w:rsidRDefault="00F33ECC" w:rsidP="00C50523">
            <w:pPr>
              <w:pStyle w:val="SingleTxtG"/>
              <w:tabs>
                <w:tab w:val="left" w:pos="4961"/>
              </w:tabs>
              <w:spacing w:before="80" w:after="80"/>
              <w:ind w:left="0" w:right="426"/>
              <w:jc w:val="left"/>
            </w:pPr>
            <w:r w:rsidRPr="00A1320A">
              <w:t>DIISOCYANATE DE TOLUÈNE (et mélanges isomères) (DIISOCYANATE DE TOLUÈNE-2,4)</w:t>
            </w:r>
          </w:p>
        </w:tc>
      </w:tr>
      <w:tr w:rsidR="00F33ECC" w:rsidRPr="00BF3BEC" w14:paraId="3F89CC3A" w14:textId="77777777" w:rsidTr="00C50523">
        <w:tc>
          <w:tcPr>
            <w:tcW w:w="2694" w:type="dxa"/>
          </w:tcPr>
          <w:p w14:paraId="799A3C23" w14:textId="77777777" w:rsidR="00F33ECC" w:rsidRPr="00BF3BEC" w:rsidRDefault="00F33ECC" w:rsidP="00C50523">
            <w:pPr>
              <w:pStyle w:val="SingleTxtG"/>
              <w:spacing w:before="80" w:after="80"/>
              <w:ind w:left="0" w:right="177"/>
            </w:pPr>
            <w:r w:rsidRPr="00BF3BEC">
              <w:t>2205</w:t>
            </w:r>
          </w:p>
        </w:tc>
        <w:tc>
          <w:tcPr>
            <w:tcW w:w="4677" w:type="dxa"/>
          </w:tcPr>
          <w:p w14:paraId="2D01F7BD" w14:textId="77777777" w:rsidR="00F33ECC" w:rsidRPr="00BF3BEC" w:rsidRDefault="00F33ECC" w:rsidP="00C50523">
            <w:pPr>
              <w:pStyle w:val="SingleTxtG"/>
              <w:tabs>
                <w:tab w:val="left" w:pos="4961"/>
              </w:tabs>
              <w:spacing w:before="80" w:after="80"/>
              <w:ind w:left="0" w:right="426"/>
            </w:pPr>
            <w:r w:rsidRPr="00BF3BEC">
              <w:t>ADIPONITRILE</w:t>
            </w:r>
          </w:p>
        </w:tc>
      </w:tr>
      <w:tr w:rsidR="00F33ECC" w:rsidRPr="00BF3BEC" w14:paraId="6EB8B74A" w14:textId="77777777" w:rsidTr="00C50523">
        <w:tc>
          <w:tcPr>
            <w:tcW w:w="2694" w:type="dxa"/>
          </w:tcPr>
          <w:p w14:paraId="246C9A40" w14:textId="77777777" w:rsidR="00F33ECC" w:rsidRPr="00BF3BEC" w:rsidRDefault="00F33ECC" w:rsidP="00C50523">
            <w:pPr>
              <w:pStyle w:val="SingleTxtG"/>
              <w:spacing w:before="80" w:after="80"/>
              <w:ind w:left="0" w:right="177"/>
            </w:pPr>
            <w:r w:rsidRPr="00BF3BEC">
              <w:t>2259</w:t>
            </w:r>
          </w:p>
        </w:tc>
        <w:tc>
          <w:tcPr>
            <w:tcW w:w="4677" w:type="dxa"/>
          </w:tcPr>
          <w:p w14:paraId="7566402B" w14:textId="77777777" w:rsidR="00F33ECC" w:rsidRPr="00BF3BEC" w:rsidRDefault="00F33ECC" w:rsidP="00C50523">
            <w:pPr>
              <w:pStyle w:val="SingleTxtG"/>
              <w:tabs>
                <w:tab w:val="left" w:pos="4961"/>
              </w:tabs>
              <w:spacing w:before="80" w:after="80"/>
              <w:ind w:left="0" w:right="426"/>
            </w:pPr>
            <w:r w:rsidRPr="00BF3BEC">
              <w:t>TRIÉTHYLÈNETÉTRAMINE</w:t>
            </w:r>
          </w:p>
        </w:tc>
      </w:tr>
      <w:tr w:rsidR="00F33ECC" w:rsidRPr="00BF3BEC" w14:paraId="30644B65" w14:textId="77777777" w:rsidTr="00C50523">
        <w:tc>
          <w:tcPr>
            <w:tcW w:w="2694" w:type="dxa"/>
          </w:tcPr>
          <w:p w14:paraId="3F5C93E2" w14:textId="77777777" w:rsidR="00F33ECC" w:rsidRPr="00BF3BEC" w:rsidRDefault="00F33ECC" w:rsidP="00C50523">
            <w:pPr>
              <w:pStyle w:val="SingleTxtG"/>
              <w:spacing w:before="80" w:after="80"/>
              <w:ind w:left="0" w:right="177"/>
              <w:jc w:val="left"/>
            </w:pPr>
            <w:r w:rsidRPr="00BF3BEC">
              <w:t>2280</w:t>
            </w:r>
            <w:r>
              <w:t xml:space="preserve"> (</w:t>
            </w:r>
            <w:r>
              <w:rPr>
                <w:lang w:val="fr-FR"/>
              </w:rPr>
              <w:t>première</w:t>
            </w:r>
            <w:r w:rsidRPr="00BF3BEC">
              <w:rPr>
                <w:lang w:val="fr-FR"/>
              </w:rPr>
              <w:t xml:space="preserve"> rubrique</w:t>
            </w:r>
            <w:r>
              <w:rPr>
                <w:lang w:val="fr-FR"/>
              </w:rPr>
              <w:t>)</w:t>
            </w:r>
          </w:p>
        </w:tc>
        <w:tc>
          <w:tcPr>
            <w:tcW w:w="4677" w:type="dxa"/>
          </w:tcPr>
          <w:p w14:paraId="5DA224A2" w14:textId="77777777" w:rsidR="00F33ECC" w:rsidRPr="00BF3BEC" w:rsidRDefault="00F33ECC" w:rsidP="00C50523">
            <w:pPr>
              <w:pStyle w:val="SingleTxtG"/>
              <w:tabs>
                <w:tab w:val="left" w:pos="4961"/>
              </w:tabs>
              <w:spacing w:before="80" w:after="80"/>
              <w:ind w:left="0" w:right="426"/>
              <w:jc w:val="left"/>
            </w:pPr>
            <w:r w:rsidRPr="00BF3BEC">
              <w:t>HEXAMÉTHYLÈNEDIAMINE, SOLIDE, FONDUE</w:t>
            </w:r>
          </w:p>
        </w:tc>
      </w:tr>
      <w:tr w:rsidR="00F33ECC" w:rsidRPr="00BF3BEC" w14:paraId="3282787F" w14:textId="77777777" w:rsidTr="00C50523">
        <w:tc>
          <w:tcPr>
            <w:tcW w:w="2694" w:type="dxa"/>
          </w:tcPr>
          <w:p w14:paraId="12AD34CA" w14:textId="77777777" w:rsidR="00F33ECC" w:rsidRPr="00BF3BEC" w:rsidRDefault="00F33ECC" w:rsidP="00C50523">
            <w:pPr>
              <w:pStyle w:val="SingleTxtG"/>
              <w:spacing w:before="80" w:after="80"/>
              <w:ind w:left="0" w:right="177"/>
            </w:pPr>
            <w:r w:rsidRPr="00BF3BEC">
              <w:t>3446</w:t>
            </w:r>
            <w:r>
              <w:t xml:space="preserve"> (</w:t>
            </w:r>
            <w:r>
              <w:rPr>
                <w:lang w:val="fr-FR"/>
              </w:rPr>
              <w:t>première</w:t>
            </w:r>
            <w:r w:rsidRPr="00BF3BEC">
              <w:rPr>
                <w:lang w:val="fr-FR"/>
              </w:rPr>
              <w:t xml:space="preserve"> rubrique</w:t>
            </w:r>
            <w:r>
              <w:rPr>
                <w:lang w:val="fr-FR"/>
              </w:rPr>
              <w:t>)</w:t>
            </w:r>
          </w:p>
        </w:tc>
        <w:tc>
          <w:tcPr>
            <w:tcW w:w="4677" w:type="dxa"/>
          </w:tcPr>
          <w:p w14:paraId="19CEEDB8" w14:textId="77777777" w:rsidR="00F33ECC" w:rsidRPr="00BF3BEC" w:rsidRDefault="00F33ECC" w:rsidP="00C50523">
            <w:pPr>
              <w:pStyle w:val="SingleTxtG"/>
              <w:tabs>
                <w:tab w:val="left" w:pos="4961"/>
              </w:tabs>
              <w:spacing w:before="80" w:after="80"/>
              <w:ind w:left="0" w:right="426"/>
              <w:rPr>
                <w:bCs/>
              </w:rPr>
            </w:pPr>
            <w:r w:rsidRPr="00BF3BEC">
              <w:t>NITROTOLUÈNES, SOLIDES, FONDUS</w:t>
            </w:r>
          </w:p>
        </w:tc>
      </w:tr>
    </w:tbl>
    <w:p w14:paraId="52557302" w14:textId="105AED66" w:rsidR="000762AA" w:rsidRPr="0032408A" w:rsidRDefault="000762AA" w:rsidP="000762AA">
      <w:pPr>
        <w:pStyle w:val="H23G"/>
        <w:jc w:val="both"/>
      </w:pPr>
      <w:r>
        <w:tab/>
        <w:t>2</w:t>
      </w:r>
      <w:r w:rsidR="00B1435B">
        <w:t>2</w:t>
      </w:r>
      <w:r w:rsidRPr="0032408A">
        <w:t>.</w:t>
      </w:r>
      <w:r w:rsidRPr="0032408A">
        <w:tab/>
      </w:r>
      <w:r>
        <w:rPr>
          <w:lang w:val="fr-FR"/>
        </w:rPr>
        <w:t xml:space="preserve">Amendement à la Partie 3, </w:t>
      </w:r>
      <w:r w:rsidRPr="0032408A">
        <w:t>Chap</w:t>
      </w:r>
      <w:r>
        <w:t>itre</w:t>
      </w:r>
      <w:r w:rsidRPr="0032408A">
        <w:t xml:space="preserve"> 3.2, Table</w:t>
      </w:r>
      <w:r>
        <w:t>au</w:t>
      </w:r>
      <w:r w:rsidRPr="0032408A">
        <w:t xml:space="preserve"> C, </w:t>
      </w:r>
      <w:r>
        <w:t>nouvelles rubriques</w:t>
      </w:r>
      <w:r w:rsidRPr="0032408A">
        <w:t>, No</w:t>
      </w:r>
      <w:r>
        <w:t> ONU </w:t>
      </w:r>
      <w:r w:rsidRPr="0032408A">
        <w:t xml:space="preserve"> 1</w:t>
      </w:r>
      <w:r>
        <w:t xml:space="preserve">148, </w:t>
      </w:r>
      <w:r w:rsidRPr="003C7C28">
        <w:rPr>
          <w:bCs/>
        </w:rPr>
        <w:t>colonne</w:t>
      </w:r>
      <w:r>
        <w:t xml:space="preserve"> (15)</w:t>
      </w:r>
    </w:p>
    <w:p w14:paraId="3329E985" w14:textId="77777777" w:rsidR="000762AA" w:rsidRPr="00D67FEA" w:rsidRDefault="000762AA" w:rsidP="000762AA">
      <w:pPr>
        <w:pStyle w:val="SingleTxtG"/>
      </w:pPr>
      <w:r w:rsidRPr="00D67FEA">
        <w:rPr>
          <w:i/>
          <w:iCs/>
        </w:rPr>
        <w:t>A la place de</w:t>
      </w:r>
      <w:r w:rsidRPr="00D67FEA">
        <w:t xml:space="preserve"> T1 </w:t>
      </w:r>
      <w:r w:rsidRPr="00D67FEA">
        <w:rPr>
          <w:i/>
          <w:iCs/>
        </w:rPr>
        <w:t>lire</w:t>
      </w:r>
      <w:r w:rsidRPr="00D67FEA">
        <w:t xml:space="preserve"> T1 </w:t>
      </w:r>
      <w:r w:rsidRPr="00D67FEA">
        <w:rPr>
          <w:vertAlign w:val="superscript"/>
        </w:rPr>
        <w:t>12)</w:t>
      </w:r>
    </w:p>
    <w:p w14:paraId="69F06C54" w14:textId="6904FD93" w:rsidR="000762AA" w:rsidRDefault="000762AA" w:rsidP="000762AA">
      <w:pPr>
        <w:pStyle w:val="H23G"/>
        <w:spacing w:before="120"/>
      </w:pPr>
      <w:r>
        <w:tab/>
        <w:t>2</w:t>
      </w:r>
      <w:r w:rsidR="00B1435B">
        <w:t>3</w:t>
      </w:r>
      <w:r>
        <w:t>.</w:t>
      </w:r>
      <w:r>
        <w:tab/>
      </w:r>
      <w:r>
        <w:rPr>
          <w:lang w:val="fr-FR"/>
        </w:rPr>
        <w:t xml:space="preserve">Amendement à la Partie 3, </w:t>
      </w:r>
      <w:r>
        <w:t xml:space="preserve">Chapitre 3.2, </w:t>
      </w:r>
      <w:r w:rsidRPr="0032408A">
        <w:t>Table</w:t>
      </w:r>
      <w:r>
        <w:t>au</w:t>
      </w:r>
      <w:r w:rsidRPr="0032408A">
        <w:t xml:space="preserve"> C, </w:t>
      </w:r>
      <w:r>
        <w:t>nouvelles rubriques, No ONU 1203, colonne (2)</w:t>
      </w:r>
    </w:p>
    <w:p w14:paraId="4778CAA0" w14:textId="77777777" w:rsidR="000762AA" w:rsidRDefault="000762AA" w:rsidP="000762AA">
      <w:pPr>
        <w:pStyle w:val="SingleTxtG"/>
      </w:pPr>
      <w:r w:rsidRPr="00F4493B">
        <w:rPr>
          <w:i/>
          <w:iCs/>
        </w:rPr>
        <w:t>A la place de</w:t>
      </w:r>
      <w:r w:rsidRPr="00F4493B">
        <w:t xml:space="preserve"> </w:t>
      </w:r>
      <w:r w:rsidRPr="008B6FD8">
        <w:t>ESSENCE POUR MOTEURS D’AUTOMOBILES</w:t>
      </w:r>
      <w:r>
        <w:t xml:space="preserve"> </w:t>
      </w:r>
      <w:r w:rsidRPr="00C3407E">
        <w:rPr>
          <w:i/>
          <w:iCs/>
        </w:rPr>
        <w:t>lire</w:t>
      </w:r>
      <w:r>
        <w:t xml:space="preserve"> </w:t>
      </w:r>
      <w:r w:rsidRPr="008B6FD8">
        <w:t>ESSENCE</w:t>
      </w:r>
    </w:p>
    <w:p w14:paraId="70D72B26" w14:textId="0C906A8B" w:rsidR="00200076" w:rsidRPr="0032408A" w:rsidRDefault="00200076" w:rsidP="007F578F">
      <w:pPr>
        <w:pStyle w:val="H23G"/>
        <w:jc w:val="both"/>
      </w:pPr>
      <w:r w:rsidRPr="00D67FEA">
        <w:tab/>
      </w:r>
      <w:r w:rsidR="00D267E2">
        <w:t>2</w:t>
      </w:r>
      <w:r w:rsidR="00B1435B">
        <w:t>4</w:t>
      </w:r>
      <w:r w:rsidRPr="0032408A">
        <w:t>.</w:t>
      </w:r>
      <w:r w:rsidRPr="0032408A">
        <w:tab/>
      </w:r>
      <w:r w:rsidR="00281D21">
        <w:rPr>
          <w:lang w:val="fr-FR"/>
        </w:rPr>
        <w:t xml:space="preserve">Amendement à la Partie 3, </w:t>
      </w:r>
      <w:r w:rsidRPr="0032408A">
        <w:t>Chap</w:t>
      </w:r>
      <w:r>
        <w:t>itre</w:t>
      </w:r>
      <w:r w:rsidRPr="0032408A">
        <w:t xml:space="preserve"> 3.2, Table</w:t>
      </w:r>
      <w:r>
        <w:t>au</w:t>
      </w:r>
      <w:r w:rsidRPr="0032408A">
        <w:t xml:space="preserve"> C, </w:t>
      </w:r>
      <w:r>
        <w:t>nouvelles rubriques</w:t>
      </w:r>
      <w:r w:rsidRPr="0032408A">
        <w:t>, No</w:t>
      </w:r>
      <w:r>
        <w:t>s</w:t>
      </w:r>
      <w:r w:rsidR="007F578F">
        <w:t> </w:t>
      </w:r>
      <w:r>
        <w:t>ONU</w:t>
      </w:r>
      <w:r w:rsidR="007F578F">
        <w:t> </w:t>
      </w:r>
      <w:r w:rsidRPr="0032408A">
        <w:t>2920, 3272</w:t>
      </w:r>
      <w:r>
        <w:t xml:space="preserve"> (première rubrique), </w:t>
      </w:r>
      <w:r w:rsidRPr="003C7C28">
        <w:rPr>
          <w:bCs/>
        </w:rPr>
        <w:t>colonne</w:t>
      </w:r>
      <w:r>
        <w:t xml:space="preserve"> (15)</w:t>
      </w:r>
    </w:p>
    <w:p w14:paraId="099F434D" w14:textId="77777777" w:rsidR="00200076" w:rsidRDefault="00200076" w:rsidP="007F578F">
      <w:pPr>
        <w:pStyle w:val="SingleTxtG"/>
        <w:rPr>
          <w:vertAlign w:val="superscript"/>
        </w:rPr>
      </w:pPr>
      <w:r w:rsidRPr="00D67FEA">
        <w:rPr>
          <w:i/>
          <w:iCs/>
        </w:rPr>
        <w:t>A la place de</w:t>
      </w:r>
      <w:r w:rsidRPr="00D67FEA">
        <w:t xml:space="preserve"> T</w:t>
      </w:r>
      <w:r>
        <w:t>2</w:t>
      </w:r>
      <w:r w:rsidRPr="00D67FEA">
        <w:t xml:space="preserve"> </w:t>
      </w:r>
      <w:r w:rsidRPr="00D67FEA">
        <w:rPr>
          <w:i/>
          <w:iCs/>
        </w:rPr>
        <w:t>lire</w:t>
      </w:r>
      <w:r w:rsidRPr="00D67FEA">
        <w:t xml:space="preserve"> T</w:t>
      </w:r>
      <w:r>
        <w:t>2</w:t>
      </w:r>
      <w:r w:rsidRPr="00D67FEA">
        <w:t xml:space="preserve"> </w:t>
      </w:r>
      <w:r w:rsidRPr="00D67FEA">
        <w:rPr>
          <w:vertAlign w:val="superscript"/>
        </w:rPr>
        <w:t>12)</w:t>
      </w:r>
    </w:p>
    <w:p w14:paraId="3DE59101" w14:textId="0020FD61" w:rsidR="00200076" w:rsidRPr="00EC550B" w:rsidRDefault="00200076" w:rsidP="007F578F">
      <w:pPr>
        <w:pStyle w:val="H23G"/>
        <w:jc w:val="both"/>
      </w:pPr>
      <w:r>
        <w:tab/>
      </w:r>
      <w:r w:rsidR="00D267E2">
        <w:t>2</w:t>
      </w:r>
      <w:r w:rsidR="00B1435B">
        <w:t>5</w:t>
      </w:r>
      <w:r w:rsidRPr="0032408A">
        <w:t>.</w:t>
      </w:r>
      <w:r w:rsidRPr="0032408A">
        <w:tab/>
      </w:r>
      <w:r w:rsidR="00281D21">
        <w:rPr>
          <w:lang w:val="fr-FR"/>
        </w:rPr>
        <w:t xml:space="preserve">Amendement à la Partie 3, </w:t>
      </w:r>
      <w:r w:rsidRPr="0032408A">
        <w:t>Chap</w:t>
      </w:r>
      <w:r>
        <w:t>itre</w:t>
      </w:r>
      <w:r w:rsidRPr="0032408A">
        <w:t xml:space="preserve"> 3.2, Table</w:t>
      </w:r>
      <w:r>
        <w:t>au</w:t>
      </w:r>
      <w:r w:rsidRPr="0032408A">
        <w:t xml:space="preserve"> C, </w:t>
      </w:r>
      <w:r>
        <w:t>nouvelles rubriques</w:t>
      </w:r>
      <w:r w:rsidRPr="0032408A">
        <w:t xml:space="preserve">, </w:t>
      </w:r>
      <w:r w:rsidR="007F578F" w:rsidRPr="0032408A">
        <w:t>No</w:t>
      </w:r>
      <w:r w:rsidR="007F578F">
        <w:t> ONU </w:t>
      </w:r>
      <w:r>
        <w:t xml:space="preserve">3272, </w:t>
      </w:r>
      <w:r w:rsidRPr="003C7C28">
        <w:rPr>
          <w:bCs/>
        </w:rPr>
        <w:t>colonne</w:t>
      </w:r>
      <w:r>
        <w:t xml:space="preserve"> (2)</w:t>
      </w:r>
    </w:p>
    <w:p w14:paraId="2AF89766" w14:textId="77777777" w:rsidR="00200076" w:rsidRDefault="00200076" w:rsidP="00200076">
      <w:pPr>
        <w:pStyle w:val="SingleTxtG"/>
      </w:pPr>
      <w:r w:rsidRPr="00D67FEA">
        <w:rPr>
          <w:i/>
          <w:iCs/>
        </w:rPr>
        <w:t xml:space="preserve">A la place de </w:t>
      </w:r>
      <w:r w:rsidRPr="00D67FEA">
        <w:t xml:space="preserve">ÉTHERS, N.S.A. </w:t>
      </w:r>
      <w:r w:rsidRPr="00D67FEA">
        <w:rPr>
          <w:i/>
          <w:iCs/>
        </w:rPr>
        <w:t>lire</w:t>
      </w:r>
      <w:r w:rsidRPr="00D67FEA">
        <w:t xml:space="preserve"> ESTERS, N.S.A.</w:t>
      </w:r>
    </w:p>
    <w:p w14:paraId="6676129C" w14:textId="33911297" w:rsidR="00200076" w:rsidRPr="00200076" w:rsidRDefault="00200076" w:rsidP="00200076">
      <w:pPr>
        <w:pStyle w:val="H23G"/>
      </w:pPr>
      <w:r>
        <w:tab/>
      </w:r>
      <w:r w:rsidR="00D267E2">
        <w:t>2</w:t>
      </w:r>
      <w:r w:rsidR="00B1435B">
        <w:t>6</w:t>
      </w:r>
      <w:r w:rsidRPr="00200076">
        <w:t>.</w:t>
      </w:r>
      <w:r w:rsidRPr="00200076">
        <w:tab/>
      </w:r>
      <w:r w:rsidR="00281D21">
        <w:rPr>
          <w:lang w:val="fr-FR"/>
        </w:rPr>
        <w:t xml:space="preserve">Amendement à la Partie 3, </w:t>
      </w:r>
      <w:r w:rsidRPr="00200076">
        <w:t>Chapitre 3.2, 3.2.4.3, A</w:t>
      </w:r>
    </w:p>
    <w:p w14:paraId="5AB4D1C6" w14:textId="77777777" w:rsidR="00200076" w:rsidRPr="00652A45" w:rsidRDefault="00200076" w:rsidP="00200076">
      <w:pPr>
        <w:pStyle w:val="SingleTxtG"/>
        <w:rPr>
          <w:i/>
          <w:iCs/>
        </w:rPr>
      </w:pPr>
      <w:r w:rsidRPr="009F4D79">
        <w:rPr>
          <w:i/>
          <w:iCs/>
          <w:lang w:val="fr-FR"/>
        </w:rPr>
        <w:t xml:space="preserve">Substituer </w:t>
      </w:r>
      <w:r w:rsidRPr="009F4D79">
        <w:rPr>
          <w:lang w:val="fr-FR"/>
        </w:rPr>
        <w:t>au texte existant:</w:t>
      </w:r>
    </w:p>
    <w:p w14:paraId="65E0705E" w14:textId="77777777" w:rsidR="00200076" w:rsidRDefault="00200076" w:rsidP="00200076">
      <w:pPr>
        <w:pStyle w:val="SingleTxtG"/>
        <w:rPr>
          <w:rFonts w:asciiTheme="majorBidi" w:eastAsia="Calibri" w:hAnsiTheme="majorBidi" w:cstheme="majorBidi"/>
          <w:lang w:val="fr-FR"/>
        </w:rPr>
      </w:pPr>
      <w:bookmarkStart w:id="7" w:name="_Hlk519786169"/>
      <w:r w:rsidRPr="009C1C52">
        <w:rPr>
          <w:rFonts w:asciiTheme="majorBidi" w:eastAsia="Calibri" w:hAnsiTheme="majorBidi" w:cstheme="majorBidi"/>
          <w:lang w:val="fr-FR"/>
        </w:rPr>
        <w:t>3.2.4.3, A</w:t>
      </w:r>
      <w:r w:rsidRPr="009C1C52">
        <w:rPr>
          <w:rFonts w:asciiTheme="majorBidi" w:eastAsia="Calibri" w:hAnsiTheme="majorBidi" w:cstheme="majorBidi"/>
          <w:lang w:val="fr-FR"/>
        </w:rPr>
        <w:tab/>
        <w:t>Dans les colonnes (6), (7) et (8), remplacer (</w:t>
      </w:r>
      <w:r>
        <w:rPr>
          <w:rFonts w:asciiTheme="majorBidi" w:eastAsia="Calibri" w:hAnsiTheme="majorBidi" w:cstheme="majorBidi"/>
          <w:lang w:val="fr-FR"/>
        </w:rPr>
        <w:t>dix</w:t>
      </w:r>
      <w:r w:rsidRPr="009C1C52">
        <w:rPr>
          <w:rFonts w:asciiTheme="majorBidi" w:eastAsia="Calibri" w:hAnsiTheme="majorBidi" w:cstheme="majorBidi"/>
          <w:lang w:val="fr-FR"/>
        </w:rPr>
        <w:t xml:space="preserve"> fois): «Pression d’ouverture des </w:t>
      </w:r>
      <w:bookmarkStart w:id="8" w:name="_Hlk519783886"/>
      <w:r w:rsidRPr="009C1C52">
        <w:rPr>
          <w:rFonts w:asciiTheme="majorBidi" w:eastAsia="Calibri" w:hAnsiTheme="majorBidi" w:cstheme="majorBidi"/>
          <w:lang w:val="fr-FR"/>
        </w:rPr>
        <w:t>soupapes de dégagement</w:t>
      </w:r>
      <w:bookmarkEnd w:id="8"/>
      <w:r w:rsidRPr="009C1C52">
        <w:rPr>
          <w:rFonts w:asciiTheme="majorBidi" w:eastAsia="Calibri" w:hAnsiTheme="majorBidi" w:cstheme="majorBidi"/>
          <w:lang w:val="fr-FR"/>
        </w:rPr>
        <w:t xml:space="preserve"> à grande vitesse» par «</w:t>
      </w:r>
      <w:bookmarkStart w:id="9" w:name="_Hlk519780564"/>
      <w:r w:rsidRPr="009C1C52">
        <w:rPr>
          <w:rFonts w:asciiTheme="majorBidi" w:eastAsia="Calibri" w:hAnsiTheme="majorBidi" w:cstheme="majorBidi"/>
          <w:lang w:val="fr-FR"/>
        </w:rPr>
        <w:t>Pression d’ouverture de la soupape de surpression/soupape de dégagement à grande vitesse</w:t>
      </w:r>
      <w:bookmarkEnd w:id="9"/>
      <w:r w:rsidRPr="009C1C52">
        <w:rPr>
          <w:rFonts w:asciiTheme="majorBidi" w:eastAsia="Calibri" w:hAnsiTheme="majorBidi" w:cstheme="majorBidi"/>
          <w:lang w:val="fr-FR"/>
        </w:rPr>
        <w:t>».</w:t>
      </w:r>
      <w:bookmarkEnd w:id="7"/>
    </w:p>
    <w:p w14:paraId="6E43C560" w14:textId="77777777" w:rsidR="00200076" w:rsidRPr="00FC30CF" w:rsidRDefault="00200076" w:rsidP="00200076">
      <w:pPr>
        <w:pStyle w:val="SingleTxtG"/>
        <w:rPr>
          <w:rFonts w:asciiTheme="majorBidi" w:eastAsia="Calibri" w:hAnsiTheme="majorBidi" w:cstheme="majorBidi"/>
          <w:lang w:val="fr-FR"/>
        </w:rPr>
      </w:pPr>
      <w:r w:rsidRPr="00FC30CF">
        <w:rPr>
          <w:rFonts w:asciiTheme="majorBidi" w:eastAsia="Calibri" w:hAnsiTheme="majorBidi" w:cstheme="majorBidi"/>
          <w:lang w:val="fr-FR"/>
        </w:rPr>
        <w:t>3.2.4.3, A</w:t>
      </w:r>
      <w:r w:rsidRPr="00FC30CF">
        <w:rPr>
          <w:rFonts w:asciiTheme="majorBidi" w:eastAsia="Calibri" w:hAnsiTheme="majorBidi" w:cstheme="majorBidi"/>
          <w:lang w:val="fr-FR"/>
        </w:rPr>
        <w:tab/>
        <w:t>Dans les colonnes (6), (7) et (8), point 3, remplacer: «</w:t>
      </w:r>
      <w:r w:rsidRPr="00FC30CF">
        <w:t>pression d'ouverture des éjecteurs</w:t>
      </w:r>
      <w:r w:rsidRPr="00FC30CF">
        <w:rPr>
          <w:rFonts w:asciiTheme="majorBidi" w:eastAsia="Calibri" w:hAnsiTheme="majorBidi" w:cstheme="majorBidi"/>
          <w:lang w:val="fr-FR"/>
        </w:rPr>
        <w:t>» par «</w:t>
      </w:r>
      <w:bookmarkStart w:id="10" w:name="_Hlk521416782"/>
      <w:r w:rsidRPr="00FC30CF">
        <w:rPr>
          <w:rFonts w:asciiTheme="majorBidi" w:eastAsia="Calibri" w:hAnsiTheme="majorBidi" w:cstheme="majorBidi"/>
          <w:lang w:val="fr-FR"/>
        </w:rPr>
        <w:t>pression d’ouverture de la soupape de surpression/soupape de dégagement à grande vitesse</w:t>
      </w:r>
      <w:bookmarkEnd w:id="10"/>
      <w:r w:rsidRPr="00FC30CF">
        <w:rPr>
          <w:rFonts w:asciiTheme="majorBidi" w:eastAsia="Calibri" w:hAnsiTheme="majorBidi" w:cstheme="majorBidi"/>
          <w:lang w:val="fr-FR"/>
        </w:rPr>
        <w:t>».</w:t>
      </w:r>
    </w:p>
    <w:p w14:paraId="38F7DE0D" w14:textId="77777777" w:rsidR="00200076" w:rsidRDefault="00200076" w:rsidP="00200076">
      <w:pPr>
        <w:pStyle w:val="SingleTxtG"/>
        <w:rPr>
          <w:rFonts w:asciiTheme="majorBidi" w:eastAsia="Calibri" w:hAnsiTheme="majorBidi" w:cstheme="majorBidi"/>
          <w:lang w:val="fr-FR"/>
        </w:rPr>
      </w:pPr>
      <w:r w:rsidRPr="009C1C52">
        <w:rPr>
          <w:rFonts w:asciiTheme="majorBidi" w:eastAsia="Calibri" w:hAnsiTheme="majorBidi" w:cstheme="majorBidi"/>
          <w:lang w:val="fr-FR"/>
        </w:rPr>
        <w:t>3.2.4.3, A</w:t>
      </w:r>
      <w:r>
        <w:rPr>
          <w:rFonts w:asciiTheme="majorBidi" w:eastAsia="Calibri" w:hAnsiTheme="majorBidi" w:cstheme="majorBidi"/>
          <w:lang w:val="fr-FR"/>
        </w:rPr>
        <w:tab/>
      </w:r>
      <w:r w:rsidRPr="009C1C52">
        <w:rPr>
          <w:rFonts w:asciiTheme="majorBidi" w:eastAsia="Calibri" w:hAnsiTheme="majorBidi" w:cstheme="majorBidi"/>
          <w:lang w:val="fr-FR"/>
        </w:rPr>
        <w:t>Dans les colonnes (6), (7) et (8),</w:t>
      </w:r>
      <w:r>
        <w:rPr>
          <w:rFonts w:asciiTheme="majorBidi" w:eastAsia="Calibri" w:hAnsiTheme="majorBidi" w:cstheme="majorBidi"/>
          <w:lang w:val="fr-FR"/>
        </w:rPr>
        <w:t xml:space="preserve"> point 4, </w:t>
      </w:r>
      <w:r w:rsidRPr="009C1C52">
        <w:rPr>
          <w:rFonts w:asciiTheme="majorBidi" w:eastAsia="Calibri" w:hAnsiTheme="majorBidi" w:cstheme="majorBidi"/>
          <w:lang w:val="fr-FR"/>
        </w:rPr>
        <w:t>remplacer: «Pression d’ouverture des soupapes de dégagement à grande vitesse</w:t>
      </w:r>
      <w:r>
        <w:rPr>
          <w:rFonts w:asciiTheme="majorBidi" w:eastAsia="Calibri" w:hAnsiTheme="majorBidi" w:cstheme="majorBidi"/>
          <w:lang w:val="fr-FR"/>
        </w:rPr>
        <w:t xml:space="preserve">/des </w:t>
      </w:r>
      <w:r w:rsidRPr="009C1C52">
        <w:rPr>
          <w:rFonts w:asciiTheme="majorBidi" w:eastAsia="Calibri" w:hAnsiTheme="majorBidi" w:cstheme="majorBidi"/>
          <w:lang w:val="fr-FR"/>
        </w:rPr>
        <w:t>soupapes de</w:t>
      </w:r>
      <w:r>
        <w:rPr>
          <w:rFonts w:asciiTheme="majorBidi" w:eastAsia="Calibri" w:hAnsiTheme="majorBidi" w:cstheme="majorBidi"/>
          <w:lang w:val="fr-FR"/>
        </w:rPr>
        <w:t xml:space="preserve"> sécurité</w:t>
      </w:r>
      <w:r w:rsidRPr="009C1C52">
        <w:rPr>
          <w:rFonts w:asciiTheme="majorBidi" w:eastAsia="Calibri" w:hAnsiTheme="majorBidi" w:cstheme="majorBidi"/>
          <w:lang w:val="fr-FR"/>
        </w:rPr>
        <w:t>» par «Pression d’ouverture de la soupape de surpression/soupape de dégagement à grande vitesse».</w:t>
      </w:r>
    </w:p>
    <w:p w14:paraId="180E5B09" w14:textId="3F2CA3D0" w:rsidR="00F25379" w:rsidRPr="009F4D79" w:rsidRDefault="00F25379" w:rsidP="00F25379">
      <w:pPr>
        <w:pStyle w:val="H23G"/>
        <w:rPr>
          <w:lang w:val="fr-FR"/>
        </w:rPr>
      </w:pPr>
      <w:r w:rsidRPr="009F4D79">
        <w:rPr>
          <w:lang w:val="fr-FR"/>
        </w:rPr>
        <w:lastRenderedPageBreak/>
        <w:tab/>
      </w:r>
      <w:r w:rsidR="00D267E2">
        <w:rPr>
          <w:lang w:val="fr-FR"/>
        </w:rPr>
        <w:t>2</w:t>
      </w:r>
      <w:r w:rsidR="00B1435B">
        <w:rPr>
          <w:lang w:val="fr-FR"/>
        </w:rPr>
        <w:t>7</w:t>
      </w:r>
      <w:r w:rsidRPr="009F4D79">
        <w:rPr>
          <w:lang w:val="fr-FR"/>
        </w:rPr>
        <w:t>.</w:t>
      </w:r>
      <w:r w:rsidRPr="009F4D79">
        <w:rPr>
          <w:lang w:val="fr-FR"/>
        </w:rPr>
        <w:tab/>
      </w:r>
      <w:r w:rsidR="0038106F">
        <w:rPr>
          <w:lang w:val="fr-FR"/>
        </w:rPr>
        <w:t xml:space="preserve">Amendement à la Partie 3, </w:t>
      </w:r>
      <w:r w:rsidRPr="009F4D79">
        <w:rPr>
          <w:lang w:val="fr-FR"/>
        </w:rPr>
        <w:t>Chapitre 3.3, disposition spéciale 251, alinéa a)</w:t>
      </w:r>
    </w:p>
    <w:p w14:paraId="79C73897" w14:textId="77777777" w:rsidR="00F25379" w:rsidRPr="009F4D79" w:rsidRDefault="00F25379" w:rsidP="00F25379">
      <w:pPr>
        <w:pStyle w:val="SingleTxtG"/>
        <w:rPr>
          <w:lang w:val="fr-FR"/>
        </w:rPr>
      </w:pPr>
      <w:r w:rsidRPr="009F4D79">
        <w:rPr>
          <w:i/>
          <w:iCs/>
          <w:lang w:val="fr-FR"/>
        </w:rPr>
        <w:t>Au lieu de</w:t>
      </w:r>
      <w:r w:rsidRPr="009F4D79">
        <w:rPr>
          <w:lang w:val="fr-FR"/>
        </w:rPr>
        <w:t xml:space="preserve"> en dessous des quantités </w:t>
      </w:r>
      <w:r w:rsidRPr="009F4D79">
        <w:rPr>
          <w:i/>
          <w:iCs/>
          <w:lang w:val="fr-FR"/>
        </w:rPr>
        <w:t xml:space="preserve">lire </w:t>
      </w:r>
      <w:bookmarkStart w:id="11" w:name="_Hlk516042473"/>
      <w:r w:rsidRPr="009F4D79">
        <w:rPr>
          <w:lang w:val="fr-FR"/>
        </w:rPr>
        <w:t>ne dépassant pas les quantités</w:t>
      </w:r>
      <w:bookmarkEnd w:id="11"/>
    </w:p>
    <w:p w14:paraId="6AD2EE44" w14:textId="2C7D8123" w:rsidR="00F25379" w:rsidRPr="009F4D79" w:rsidRDefault="00F25379" w:rsidP="00F25379">
      <w:pPr>
        <w:pStyle w:val="H23G"/>
        <w:rPr>
          <w:lang w:val="fr-FR"/>
        </w:rPr>
      </w:pPr>
      <w:r w:rsidRPr="009F4D79">
        <w:rPr>
          <w:lang w:val="fr-FR"/>
        </w:rPr>
        <w:tab/>
      </w:r>
      <w:r w:rsidR="00D267E2">
        <w:rPr>
          <w:lang w:val="fr-FR"/>
        </w:rPr>
        <w:t>2</w:t>
      </w:r>
      <w:r w:rsidR="00B1435B">
        <w:rPr>
          <w:lang w:val="fr-FR"/>
        </w:rPr>
        <w:t>8</w:t>
      </w:r>
      <w:r w:rsidRPr="009F4D79">
        <w:rPr>
          <w:lang w:val="fr-FR"/>
        </w:rPr>
        <w:t>.</w:t>
      </w:r>
      <w:r w:rsidRPr="009F4D79">
        <w:rPr>
          <w:lang w:val="fr-FR"/>
        </w:rPr>
        <w:tab/>
      </w:r>
      <w:r w:rsidR="0038106F">
        <w:rPr>
          <w:lang w:val="fr-FR"/>
        </w:rPr>
        <w:t xml:space="preserve">Amendement à la Partie 3, </w:t>
      </w:r>
      <w:r w:rsidRPr="009F4D79">
        <w:rPr>
          <w:lang w:val="fr-FR"/>
        </w:rPr>
        <w:t>Chapitre 3.3, disposition spéciale 307, deuxième phrase</w:t>
      </w:r>
    </w:p>
    <w:p w14:paraId="390B98D2" w14:textId="77777777" w:rsidR="00F25379" w:rsidRPr="009F4D79" w:rsidRDefault="00F25379" w:rsidP="00F25379">
      <w:pPr>
        <w:pStyle w:val="SingleTxtG"/>
        <w:rPr>
          <w:lang w:val="fr-FR"/>
        </w:rPr>
      </w:pPr>
      <w:r w:rsidRPr="009F4D79">
        <w:rPr>
          <w:i/>
          <w:iCs/>
          <w:lang w:val="fr-FR"/>
        </w:rPr>
        <w:t xml:space="preserve">Au lieu de </w:t>
      </w:r>
      <w:r w:rsidRPr="009F4D79">
        <w:rPr>
          <w:lang w:val="fr-FR"/>
        </w:rPr>
        <w:t xml:space="preserve">treizième tiret </w:t>
      </w:r>
      <w:r w:rsidRPr="009F4D79">
        <w:rPr>
          <w:i/>
          <w:iCs/>
          <w:lang w:val="fr-FR"/>
        </w:rPr>
        <w:t xml:space="preserve">lire </w:t>
      </w:r>
      <w:bookmarkStart w:id="12" w:name="_Hlk521400014"/>
      <w:r w:rsidRPr="009F4D79">
        <w:rPr>
          <w:lang w:val="fr-FR"/>
        </w:rPr>
        <w:t>treizième et quatorzième tirets</w:t>
      </w:r>
      <w:bookmarkEnd w:id="12"/>
    </w:p>
    <w:p w14:paraId="0CF27C58" w14:textId="73F8522E" w:rsidR="00F25379" w:rsidRPr="009F4D79" w:rsidRDefault="00F25379" w:rsidP="00F25379">
      <w:pPr>
        <w:pStyle w:val="H23G"/>
        <w:rPr>
          <w:lang w:val="fr-FR"/>
        </w:rPr>
      </w:pPr>
      <w:r w:rsidRPr="009F4D79">
        <w:rPr>
          <w:lang w:val="fr-FR"/>
        </w:rPr>
        <w:tab/>
      </w:r>
      <w:r w:rsidR="00D267E2">
        <w:rPr>
          <w:lang w:val="fr-FR"/>
        </w:rPr>
        <w:t>2</w:t>
      </w:r>
      <w:r w:rsidR="00B1435B">
        <w:rPr>
          <w:lang w:val="fr-FR"/>
        </w:rPr>
        <w:t>9</w:t>
      </w:r>
      <w:r w:rsidRPr="009F4D79">
        <w:rPr>
          <w:lang w:val="fr-FR"/>
        </w:rPr>
        <w:t>.</w:t>
      </w:r>
      <w:r w:rsidRPr="009F4D79">
        <w:rPr>
          <w:lang w:val="fr-FR"/>
        </w:rPr>
        <w:tab/>
      </w:r>
      <w:r w:rsidR="0038106F">
        <w:rPr>
          <w:lang w:val="fr-FR"/>
        </w:rPr>
        <w:t xml:space="preserve">Amendement à la Partie 3, </w:t>
      </w:r>
      <w:r w:rsidRPr="009F4D79">
        <w:rPr>
          <w:lang w:val="fr-FR"/>
        </w:rPr>
        <w:t>Chapitre 3.3, nouvelle disposition spéciale 388, quatrième paragraphe</w:t>
      </w:r>
    </w:p>
    <w:p w14:paraId="4D98FD75" w14:textId="77777777" w:rsidR="00F25379" w:rsidRPr="009F4D79" w:rsidRDefault="00F25379" w:rsidP="00F25379">
      <w:pPr>
        <w:pStyle w:val="SingleTxtG"/>
        <w:rPr>
          <w:b/>
          <w:bCs/>
          <w:lang w:val="fr-FR"/>
        </w:rPr>
      </w:pPr>
      <w:r w:rsidRPr="009F4D79">
        <w:rPr>
          <w:i/>
          <w:iCs/>
          <w:lang w:val="fr-FR"/>
        </w:rPr>
        <w:t xml:space="preserve">Substituer </w:t>
      </w:r>
      <w:r w:rsidRPr="009F4D79">
        <w:rPr>
          <w:lang w:val="fr-FR"/>
        </w:rPr>
        <w:t>au texte existant:</w:t>
      </w:r>
    </w:p>
    <w:p w14:paraId="014041E8" w14:textId="77777777" w:rsidR="00F25379" w:rsidRPr="009F4D79" w:rsidRDefault="00F25379" w:rsidP="000762AA">
      <w:pPr>
        <w:pStyle w:val="SingleTxtG"/>
        <w:rPr>
          <w:lang w:val="fr-FR"/>
        </w:rPr>
      </w:pPr>
      <w:bookmarkStart w:id="13" w:name="_Hlk516042602"/>
      <w:r w:rsidRPr="009F4D79">
        <w:rPr>
          <w:lang w:val="fr-FR"/>
        </w:rPr>
        <w:t>Si un véhicule est propulsé par un moteur à combustion interne fonctionnant au liquide inflammable et au gaz inflammable, il doit être affecté à la rubrique ONU 3166 VÉHICULE À PROPULSION PAR GAZ INFLAMMABLE.</w:t>
      </w:r>
      <w:bookmarkEnd w:id="13"/>
    </w:p>
    <w:p w14:paraId="192D10F0" w14:textId="696C465C" w:rsidR="00F25379" w:rsidRPr="009F4D79" w:rsidRDefault="00F25379" w:rsidP="00F25379">
      <w:pPr>
        <w:pStyle w:val="H23G"/>
        <w:rPr>
          <w:lang w:val="fr-FR"/>
        </w:rPr>
      </w:pPr>
      <w:r w:rsidRPr="009F4D79">
        <w:rPr>
          <w:lang w:val="fr-FR"/>
        </w:rPr>
        <w:tab/>
      </w:r>
      <w:bookmarkStart w:id="14" w:name="_Hlk515971069"/>
      <w:r w:rsidR="00B1435B">
        <w:rPr>
          <w:lang w:val="fr-FR"/>
        </w:rPr>
        <w:t>30</w:t>
      </w:r>
      <w:r w:rsidRPr="009F4D79">
        <w:rPr>
          <w:lang w:val="fr-FR"/>
        </w:rPr>
        <w:t>.</w:t>
      </w:r>
      <w:r w:rsidRPr="009F4D79">
        <w:rPr>
          <w:lang w:val="fr-FR"/>
        </w:rPr>
        <w:tab/>
      </w:r>
      <w:r w:rsidR="0038106F">
        <w:rPr>
          <w:lang w:val="fr-FR"/>
        </w:rPr>
        <w:t xml:space="preserve">Amendement à la Partie 3, </w:t>
      </w:r>
      <w:r w:rsidRPr="009F4D79">
        <w:rPr>
          <w:lang w:val="fr-FR"/>
        </w:rPr>
        <w:t xml:space="preserve">Chapitre 3.3, nouvelle disposition spéciale 392, à </w:t>
      </w:r>
      <w:r w:rsidR="0038106F" w:rsidRPr="009F4D79">
        <w:rPr>
          <w:lang w:val="fr-FR"/>
        </w:rPr>
        <w:t>l’alinéa</w:t>
      </w:r>
      <w:r w:rsidR="0038106F">
        <w:rPr>
          <w:lang w:val="fr-FR"/>
        </w:rPr>
        <w:t> </w:t>
      </w:r>
      <w:r w:rsidRPr="009F4D79">
        <w:rPr>
          <w:lang w:val="fr-FR"/>
        </w:rPr>
        <w:t>a), dans le tableau, avant-dernière ligne, deuxième colonne</w:t>
      </w:r>
    </w:p>
    <w:p w14:paraId="70EF8EBE" w14:textId="77777777" w:rsidR="00F25379" w:rsidRPr="009F4D79" w:rsidRDefault="00F25379" w:rsidP="00F25379">
      <w:pPr>
        <w:pStyle w:val="SingleTxtG"/>
        <w:rPr>
          <w:lang w:val="fr-FR"/>
        </w:rPr>
      </w:pPr>
      <w:r w:rsidRPr="009F4D79">
        <w:rPr>
          <w:i/>
          <w:lang w:val="fr-FR"/>
        </w:rPr>
        <w:t>Au lieu de</w:t>
      </w:r>
      <w:r w:rsidRPr="009F4D79">
        <w:rPr>
          <w:lang w:val="fr-FR"/>
        </w:rPr>
        <w:t xml:space="preserve"> Règlement </w:t>
      </w:r>
      <w:r w:rsidR="00BA00DC" w:rsidRPr="009F4D79">
        <w:rPr>
          <w:lang w:val="fr-FR"/>
        </w:rPr>
        <w:t xml:space="preserve">ONU No 134 - </w:t>
      </w:r>
      <w:r w:rsidRPr="009F4D79">
        <w:rPr>
          <w:lang w:val="fr-FR"/>
        </w:rPr>
        <w:t>Véhicules à hydrogène</w:t>
      </w:r>
      <w:r w:rsidR="00BA00DC" w:rsidRPr="009F4D79">
        <w:rPr>
          <w:lang w:val="fr-FR"/>
        </w:rPr>
        <w:t xml:space="preserve"> et à pile à combustible (HFCV)</w:t>
      </w:r>
      <w:r w:rsidRPr="009F4D79">
        <w:rPr>
          <w:lang w:val="fr-FR"/>
        </w:rPr>
        <w:t xml:space="preserve"> </w:t>
      </w:r>
      <w:r w:rsidRPr="009F4D79">
        <w:rPr>
          <w:i/>
          <w:lang w:val="fr-FR"/>
        </w:rPr>
        <w:t>lire</w:t>
      </w:r>
      <w:r w:rsidRPr="009F4D79">
        <w:rPr>
          <w:lang w:val="fr-FR"/>
        </w:rPr>
        <w:t xml:space="preserve"> </w:t>
      </w:r>
      <w:r w:rsidR="00BA00DC" w:rsidRPr="009F4D79">
        <w:rPr>
          <w:lang w:val="fr-FR"/>
        </w:rPr>
        <w:t xml:space="preserve">Règlement ONU No 134 - </w:t>
      </w:r>
      <w:r w:rsidRPr="009F4D79">
        <w:rPr>
          <w:lang w:val="fr-FR"/>
        </w:rPr>
        <w:t>Prescriptions uniformes relatives à l’homologation des véhicules automobiles et de leurs composants en ce qui concerne les prescriptions de sécurité des véhicules fonctionnant à l’hydrogène</w:t>
      </w:r>
    </w:p>
    <w:bookmarkEnd w:id="14"/>
    <w:p w14:paraId="31440646" w14:textId="5D724647" w:rsidR="00F25379" w:rsidRPr="009F4D79" w:rsidRDefault="00F25379" w:rsidP="00F25379">
      <w:pPr>
        <w:pStyle w:val="H23G"/>
        <w:rPr>
          <w:lang w:val="fr-FR"/>
        </w:rPr>
      </w:pPr>
      <w:r w:rsidRPr="009F4D79">
        <w:rPr>
          <w:lang w:val="fr-FR"/>
        </w:rPr>
        <w:tab/>
      </w:r>
      <w:r w:rsidR="00DA2608">
        <w:rPr>
          <w:lang w:val="fr-FR"/>
        </w:rPr>
        <w:t>3</w:t>
      </w:r>
      <w:r w:rsidR="00B1435B">
        <w:rPr>
          <w:lang w:val="fr-FR"/>
        </w:rPr>
        <w:t>1</w:t>
      </w:r>
      <w:r w:rsidRPr="009F4D79">
        <w:rPr>
          <w:lang w:val="fr-FR"/>
        </w:rPr>
        <w:t>.</w:t>
      </w:r>
      <w:r w:rsidRPr="009F4D79">
        <w:rPr>
          <w:lang w:val="fr-FR"/>
        </w:rPr>
        <w:tab/>
      </w:r>
      <w:r w:rsidR="0038106F">
        <w:rPr>
          <w:lang w:val="fr-FR"/>
        </w:rPr>
        <w:t xml:space="preserve">Amendement à la Partie 3, </w:t>
      </w:r>
      <w:r w:rsidRPr="009F4D79">
        <w:rPr>
          <w:lang w:val="fr-FR"/>
        </w:rPr>
        <w:t xml:space="preserve">Chapitre 3.3, nouvelle disposition spéciale 392 b), Nota 1 </w:t>
      </w:r>
    </w:p>
    <w:p w14:paraId="19B1753D" w14:textId="77777777" w:rsidR="00F25379" w:rsidRPr="009F4D79" w:rsidRDefault="00F25379" w:rsidP="00F25379">
      <w:pPr>
        <w:pStyle w:val="SingleTxtG"/>
        <w:rPr>
          <w:lang w:val="fr-FR"/>
        </w:rPr>
      </w:pPr>
      <w:r w:rsidRPr="009F4D79">
        <w:rPr>
          <w:i/>
          <w:iCs/>
          <w:lang w:val="fr-FR"/>
        </w:rPr>
        <w:t>Au lieu de</w:t>
      </w:r>
      <w:r w:rsidRPr="009F4D79">
        <w:rPr>
          <w:lang w:val="fr-FR"/>
        </w:rPr>
        <w:t xml:space="preserve"> ISO 11623:2015 Bouteilles à gaz transportable − Contrôles et essais périodiques des bouteilles à gaz en matériau composite </w:t>
      </w:r>
      <w:r w:rsidRPr="009F4D79">
        <w:rPr>
          <w:i/>
          <w:iCs/>
          <w:lang w:val="fr-FR"/>
        </w:rPr>
        <w:t>lire</w:t>
      </w:r>
      <w:r w:rsidRPr="009F4D79">
        <w:rPr>
          <w:lang w:val="fr-FR"/>
        </w:rPr>
        <w:t xml:space="preserve"> </w:t>
      </w:r>
      <w:bookmarkStart w:id="15" w:name="_Hlk516042877"/>
      <w:r w:rsidRPr="009F4D79">
        <w:rPr>
          <w:lang w:val="fr-FR"/>
        </w:rPr>
        <w:t>ISO 11623:2015 Bouteilles à gaz − Construction composite − Contrôles et essais périodiques</w:t>
      </w:r>
      <w:bookmarkEnd w:id="15"/>
    </w:p>
    <w:p w14:paraId="47EB556A" w14:textId="68DE5246" w:rsidR="00F25379" w:rsidRPr="009F4D79" w:rsidRDefault="00F25379" w:rsidP="00F25379">
      <w:pPr>
        <w:pStyle w:val="H23G"/>
        <w:rPr>
          <w:lang w:val="fr-FR"/>
        </w:rPr>
      </w:pPr>
      <w:r w:rsidRPr="009F4D79">
        <w:rPr>
          <w:lang w:val="fr-FR"/>
        </w:rPr>
        <w:tab/>
      </w:r>
      <w:r w:rsidR="00D267E2">
        <w:rPr>
          <w:lang w:val="fr-FR"/>
        </w:rPr>
        <w:t>3</w:t>
      </w:r>
      <w:r w:rsidR="00B1435B">
        <w:rPr>
          <w:lang w:val="fr-FR"/>
        </w:rPr>
        <w:t>2</w:t>
      </w:r>
      <w:r w:rsidRPr="009F4D79">
        <w:rPr>
          <w:lang w:val="fr-FR"/>
        </w:rPr>
        <w:t>.</w:t>
      </w:r>
      <w:r w:rsidRPr="009F4D79">
        <w:rPr>
          <w:lang w:val="fr-FR"/>
        </w:rPr>
        <w:tab/>
      </w:r>
      <w:r w:rsidR="0038106F">
        <w:rPr>
          <w:lang w:val="fr-FR"/>
        </w:rPr>
        <w:t xml:space="preserve">Amendement à la Partie 3, </w:t>
      </w:r>
      <w:r w:rsidRPr="009F4D79">
        <w:rPr>
          <w:lang w:val="fr-FR"/>
        </w:rPr>
        <w:t>Chapitre 3.3, nouvelle disposition spéciale 392, exemples 1 et 2 à la fin</w:t>
      </w:r>
    </w:p>
    <w:p w14:paraId="2A389C73" w14:textId="77777777" w:rsidR="00F25379" w:rsidRPr="009F4D79" w:rsidRDefault="00F25379" w:rsidP="00F25379">
      <w:pPr>
        <w:pStyle w:val="SingleTxtG"/>
        <w:rPr>
          <w:lang w:val="fr-FR"/>
        </w:rPr>
      </w:pPr>
      <w:r w:rsidRPr="009F4D79">
        <w:rPr>
          <w:i/>
          <w:iCs/>
          <w:lang w:val="fr-FR"/>
        </w:rPr>
        <w:t>Au lieu de</w:t>
      </w:r>
      <w:r w:rsidRPr="009F4D79">
        <w:rPr>
          <w:lang w:val="fr-FR"/>
        </w:rPr>
        <w:t xml:space="preserve"> No ONU </w:t>
      </w:r>
      <w:r w:rsidRPr="009F4D79">
        <w:rPr>
          <w:i/>
          <w:iCs/>
          <w:lang w:val="fr-FR"/>
        </w:rPr>
        <w:t>lire</w:t>
      </w:r>
      <w:r w:rsidRPr="009F4D79">
        <w:rPr>
          <w:lang w:val="fr-FR"/>
        </w:rPr>
        <w:t xml:space="preserve"> UN</w:t>
      </w:r>
    </w:p>
    <w:p w14:paraId="58D6B28E" w14:textId="169EA02A" w:rsidR="00F25379" w:rsidRPr="009F4D79" w:rsidRDefault="00F25379" w:rsidP="00F25379">
      <w:pPr>
        <w:pStyle w:val="H23G"/>
        <w:rPr>
          <w:lang w:val="fr-FR"/>
        </w:rPr>
      </w:pPr>
      <w:r w:rsidRPr="009F4D79">
        <w:rPr>
          <w:lang w:val="fr-FR"/>
        </w:rPr>
        <w:tab/>
      </w:r>
      <w:r w:rsidR="00D267E2">
        <w:rPr>
          <w:lang w:val="fr-FR"/>
        </w:rPr>
        <w:t>3</w:t>
      </w:r>
      <w:r w:rsidR="00B1435B">
        <w:rPr>
          <w:lang w:val="fr-FR"/>
        </w:rPr>
        <w:t>3</w:t>
      </w:r>
      <w:r w:rsidRPr="009F4D79">
        <w:rPr>
          <w:lang w:val="fr-FR"/>
        </w:rPr>
        <w:t>.</w:t>
      </w:r>
      <w:r w:rsidRPr="009F4D79">
        <w:rPr>
          <w:lang w:val="fr-FR"/>
        </w:rPr>
        <w:tab/>
      </w:r>
      <w:r w:rsidR="0038106F">
        <w:rPr>
          <w:lang w:val="fr-FR"/>
        </w:rPr>
        <w:t xml:space="preserve">Amendement à la Partie </w:t>
      </w:r>
      <w:r w:rsidR="003C3FE1">
        <w:rPr>
          <w:lang w:val="fr-FR"/>
        </w:rPr>
        <w:t>5</w:t>
      </w:r>
      <w:r w:rsidR="0038106F">
        <w:rPr>
          <w:lang w:val="fr-FR"/>
        </w:rPr>
        <w:t xml:space="preserve">, </w:t>
      </w:r>
      <w:r w:rsidRPr="009F4D79">
        <w:rPr>
          <w:lang w:val="fr-FR"/>
        </w:rPr>
        <w:t>Chapitre 5.2, 5.2.2.2.2, dans le tableau, pour le No du modèle d’é</w:t>
      </w:r>
      <w:r w:rsidR="003836FF" w:rsidRPr="009F4D79">
        <w:rPr>
          <w:lang w:val="fr-FR"/>
        </w:rPr>
        <w:t>tiquette 2.1, dans la colonne «Division ou Catégorie</w:t>
      </w:r>
      <w:r w:rsidRPr="009F4D79">
        <w:rPr>
          <w:lang w:val="fr-FR"/>
        </w:rPr>
        <w:t>»</w:t>
      </w:r>
    </w:p>
    <w:p w14:paraId="3F8CD611" w14:textId="77777777" w:rsidR="00F25379" w:rsidRPr="009F4D79" w:rsidRDefault="00F25379" w:rsidP="00F25379">
      <w:pPr>
        <w:pStyle w:val="SingleTxtG"/>
        <w:rPr>
          <w:lang w:val="fr-FR"/>
        </w:rPr>
      </w:pPr>
      <w:r w:rsidRPr="009F4D79">
        <w:rPr>
          <w:i/>
          <w:iCs/>
          <w:lang w:val="fr-FR"/>
        </w:rPr>
        <w:t xml:space="preserve">Supprimer </w:t>
      </w:r>
      <w:r w:rsidRPr="009F4D79">
        <w:rPr>
          <w:lang w:val="fr-FR"/>
        </w:rPr>
        <w:t>(sauf selon 5.2.2.2.1.6 d))</w:t>
      </w:r>
    </w:p>
    <w:p w14:paraId="18FD13E8" w14:textId="028E570A" w:rsidR="00F25379" w:rsidRPr="009F4D79" w:rsidRDefault="00F25379" w:rsidP="00F25379">
      <w:pPr>
        <w:pStyle w:val="H23G"/>
        <w:rPr>
          <w:lang w:val="fr-FR"/>
        </w:rPr>
      </w:pPr>
      <w:r w:rsidRPr="009F4D79">
        <w:rPr>
          <w:lang w:val="fr-FR"/>
        </w:rPr>
        <w:tab/>
      </w:r>
      <w:r w:rsidR="00D267E2">
        <w:rPr>
          <w:lang w:val="fr-FR"/>
        </w:rPr>
        <w:t>3</w:t>
      </w:r>
      <w:r w:rsidR="00B1435B">
        <w:rPr>
          <w:lang w:val="fr-FR"/>
        </w:rPr>
        <w:t>4</w:t>
      </w:r>
      <w:r w:rsidRPr="009F4D79">
        <w:rPr>
          <w:lang w:val="fr-FR"/>
        </w:rPr>
        <w:t>.</w:t>
      </w:r>
      <w:r w:rsidRPr="009F4D79">
        <w:rPr>
          <w:lang w:val="fr-FR"/>
        </w:rPr>
        <w:tab/>
      </w:r>
      <w:r w:rsidR="0038106F">
        <w:rPr>
          <w:lang w:val="fr-FR"/>
        </w:rPr>
        <w:t xml:space="preserve">Amendement à la Partie 5, </w:t>
      </w:r>
      <w:r w:rsidRPr="009F4D79">
        <w:rPr>
          <w:lang w:val="fr-FR"/>
        </w:rPr>
        <w:t>Chapitre 5.2, 5.2.2.2.2, dans le tableau, pour le No du modèle d’éti</w:t>
      </w:r>
      <w:r w:rsidR="003836FF" w:rsidRPr="009F4D79">
        <w:rPr>
          <w:lang w:val="fr-FR"/>
        </w:rPr>
        <w:t>quette 2.1, dans les colonnes «</w:t>
      </w:r>
      <w:r w:rsidRPr="009F4D79">
        <w:rPr>
          <w:lang w:val="fr-FR"/>
        </w:rPr>
        <w:t>Signe co</w:t>
      </w:r>
      <w:r w:rsidR="003836FF" w:rsidRPr="009F4D79">
        <w:rPr>
          <w:lang w:val="fr-FR"/>
        </w:rPr>
        <w:t>nventionnel et couleur du signe» et «</w:t>
      </w:r>
      <w:r w:rsidRPr="009F4D79">
        <w:rPr>
          <w:lang w:val="fr-FR"/>
        </w:rPr>
        <w:t>Chiffre figurant dans le coin inférieur (et couleur du chiffre)», à la fin</w:t>
      </w:r>
    </w:p>
    <w:p w14:paraId="3FF17AEE" w14:textId="77777777" w:rsidR="00F25379" w:rsidRPr="009F4D79" w:rsidRDefault="00F25379" w:rsidP="00F25379">
      <w:pPr>
        <w:pStyle w:val="SingleTxtG"/>
        <w:rPr>
          <w:lang w:val="fr-FR"/>
        </w:rPr>
      </w:pPr>
      <w:r w:rsidRPr="009F4D79">
        <w:rPr>
          <w:i/>
          <w:iCs/>
          <w:lang w:val="fr-FR"/>
        </w:rPr>
        <w:t xml:space="preserve">Ajouter </w:t>
      </w:r>
      <w:r w:rsidRPr="009F4D79">
        <w:rPr>
          <w:lang w:val="fr-FR"/>
        </w:rPr>
        <w:t>(sauf selon 5.2.2.2.1.6 d))</w:t>
      </w:r>
    </w:p>
    <w:p w14:paraId="2E05D986" w14:textId="0D33098E" w:rsidR="00F25379" w:rsidRPr="009F4D79" w:rsidRDefault="00F25379" w:rsidP="00F25379">
      <w:pPr>
        <w:pStyle w:val="H23G"/>
        <w:rPr>
          <w:lang w:val="fr-FR"/>
        </w:rPr>
      </w:pPr>
      <w:r w:rsidRPr="009F4D79">
        <w:rPr>
          <w:lang w:val="fr-FR"/>
        </w:rPr>
        <w:tab/>
      </w:r>
      <w:r w:rsidR="00D267E2">
        <w:rPr>
          <w:lang w:val="fr-FR"/>
        </w:rPr>
        <w:t>3</w:t>
      </w:r>
      <w:r w:rsidR="00B1435B">
        <w:rPr>
          <w:lang w:val="fr-FR"/>
        </w:rPr>
        <w:t>5</w:t>
      </w:r>
      <w:r w:rsidRPr="009F4D79">
        <w:rPr>
          <w:lang w:val="fr-FR"/>
        </w:rPr>
        <w:t>.</w:t>
      </w:r>
      <w:r w:rsidRPr="009F4D79">
        <w:rPr>
          <w:lang w:val="fr-FR"/>
        </w:rPr>
        <w:tab/>
      </w:r>
      <w:r w:rsidR="0038106F">
        <w:rPr>
          <w:lang w:val="fr-FR"/>
        </w:rPr>
        <w:t xml:space="preserve">Amendement à la Partie 5, </w:t>
      </w:r>
      <w:r w:rsidRPr="009F4D79">
        <w:rPr>
          <w:lang w:val="fr-FR"/>
        </w:rPr>
        <w:t xml:space="preserve">Chapitre 5.2, 5.2.2.2.2, tableau, </w:t>
      </w:r>
      <w:r w:rsidR="003836FF" w:rsidRPr="009F4D79">
        <w:rPr>
          <w:bCs/>
          <w:lang w:val="fr-FR"/>
        </w:rPr>
        <w:t>pour la ligne «Danger de classe 4.1</w:t>
      </w:r>
      <w:r w:rsidRPr="009F4D79">
        <w:rPr>
          <w:bCs/>
          <w:lang w:val="fr-FR"/>
        </w:rPr>
        <w:t>»</w:t>
      </w:r>
    </w:p>
    <w:p w14:paraId="3176B416" w14:textId="77777777" w:rsidR="00F25379" w:rsidRPr="009F4D79" w:rsidRDefault="00F25379" w:rsidP="00F25379">
      <w:pPr>
        <w:pStyle w:val="SingleTxtG"/>
        <w:rPr>
          <w:lang w:val="fr-FR"/>
        </w:rPr>
      </w:pPr>
      <w:r w:rsidRPr="009F4D79">
        <w:rPr>
          <w:lang w:val="fr-FR"/>
        </w:rPr>
        <w:t>Sans objet en français.</w:t>
      </w:r>
    </w:p>
    <w:p w14:paraId="31E771A1" w14:textId="43AE13FE" w:rsidR="00F25379" w:rsidRPr="009F4D79" w:rsidRDefault="00F25379" w:rsidP="00F25379">
      <w:pPr>
        <w:pStyle w:val="H23G"/>
        <w:tabs>
          <w:tab w:val="left" w:pos="2268"/>
        </w:tabs>
        <w:rPr>
          <w:lang w:val="fr-FR"/>
        </w:rPr>
      </w:pPr>
      <w:r w:rsidRPr="009F4D79">
        <w:rPr>
          <w:lang w:val="fr-FR"/>
        </w:rPr>
        <w:tab/>
      </w:r>
      <w:r w:rsidR="00D267E2">
        <w:rPr>
          <w:lang w:val="fr-FR"/>
        </w:rPr>
        <w:t>3</w:t>
      </w:r>
      <w:r w:rsidR="00B1435B">
        <w:rPr>
          <w:lang w:val="fr-FR"/>
        </w:rPr>
        <w:t>6</w:t>
      </w:r>
      <w:r w:rsidRPr="009F4D79">
        <w:rPr>
          <w:lang w:val="fr-FR"/>
        </w:rPr>
        <w:t>.</w:t>
      </w:r>
      <w:r w:rsidRPr="009F4D79">
        <w:rPr>
          <w:lang w:val="fr-FR"/>
        </w:rPr>
        <w:tab/>
      </w:r>
      <w:r w:rsidR="0038106F">
        <w:rPr>
          <w:lang w:val="fr-FR"/>
        </w:rPr>
        <w:t xml:space="preserve">Amendement à la Partie 5, </w:t>
      </w:r>
      <w:r w:rsidRPr="009F4D79">
        <w:rPr>
          <w:lang w:val="fr-FR"/>
        </w:rPr>
        <w:t>Chapitre 5.3, 5.3.1.2</w:t>
      </w:r>
    </w:p>
    <w:p w14:paraId="16FF0BD3" w14:textId="77777777" w:rsidR="00F25379" w:rsidRPr="009F4D79" w:rsidRDefault="00F25379" w:rsidP="00F25379">
      <w:pPr>
        <w:pStyle w:val="SingleTxtG"/>
        <w:rPr>
          <w:lang w:val="fr-FR"/>
        </w:rPr>
      </w:pPr>
      <w:r w:rsidRPr="009F4D79">
        <w:rPr>
          <w:i/>
          <w:lang w:val="fr-FR"/>
        </w:rPr>
        <w:t xml:space="preserve">Substituer </w:t>
      </w:r>
      <w:r w:rsidRPr="009F4D79">
        <w:rPr>
          <w:lang w:val="fr-FR"/>
        </w:rPr>
        <w:t>au texte existant</w:t>
      </w:r>
    </w:p>
    <w:p w14:paraId="51756B6D" w14:textId="77777777" w:rsidR="00F25379" w:rsidRPr="009F4D79" w:rsidRDefault="003836FF" w:rsidP="000762AA">
      <w:pPr>
        <w:pStyle w:val="SingleTxtG"/>
        <w:tabs>
          <w:tab w:val="left" w:pos="1985"/>
        </w:tabs>
        <w:rPr>
          <w:lang w:val="fr-FR"/>
        </w:rPr>
      </w:pPr>
      <w:r w:rsidRPr="009F4D79">
        <w:rPr>
          <w:lang w:val="fr-FR"/>
        </w:rPr>
        <w:t>5.3.1.2</w:t>
      </w:r>
      <w:r w:rsidRPr="009F4D79">
        <w:rPr>
          <w:lang w:val="fr-FR"/>
        </w:rPr>
        <w:tab/>
        <w:t>Dans le titre, après «</w:t>
      </w:r>
      <w:r w:rsidR="00F25379" w:rsidRPr="009F4D79">
        <w:rPr>
          <w:lang w:val="fr-FR"/>
        </w:rPr>
        <w:t>conteneurs» ajouter: «conteneurs pour vrac,».</w:t>
      </w:r>
    </w:p>
    <w:p w14:paraId="20A72345" w14:textId="77777777" w:rsidR="00F25379" w:rsidRPr="009F4D79" w:rsidRDefault="00F25379" w:rsidP="000762AA">
      <w:pPr>
        <w:pStyle w:val="SingleTxtG"/>
        <w:tabs>
          <w:tab w:val="left" w:pos="1985"/>
        </w:tabs>
        <w:rPr>
          <w:lang w:val="fr-FR"/>
        </w:rPr>
      </w:pPr>
      <w:r w:rsidRPr="009F4D79">
        <w:rPr>
          <w:lang w:val="fr-FR"/>
        </w:rPr>
        <w:t>5.3.1.2</w:t>
      </w:r>
      <w:r w:rsidRPr="009F4D79">
        <w:rPr>
          <w:lang w:val="fr-FR"/>
        </w:rPr>
        <w:tab/>
        <w:t>Modifier le premier paragraphe figurant après le Nota pour lire comme suit:</w:t>
      </w:r>
    </w:p>
    <w:p w14:paraId="4700CC68" w14:textId="77777777" w:rsidR="00F25379" w:rsidRPr="009F4D79" w:rsidRDefault="00F25379" w:rsidP="000762AA">
      <w:pPr>
        <w:pStyle w:val="SingleTxtG"/>
        <w:rPr>
          <w:lang w:val="fr-FR"/>
        </w:rPr>
      </w:pPr>
      <w:r w:rsidRPr="009F4D79">
        <w:rPr>
          <w:lang w:val="fr-FR"/>
        </w:rPr>
        <w:lastRenderedPageBreak/>
        <w:t>«</w:t>
      </w:r>
      <w:bookmarkStart w:id="16" w:name="_Hlk516043871"/>
      <w:r w:rsidRPr="009F4D79">
        <w:rPr>
          <w:lang w:val="fr-FR"/>
        </w:rPr>
        <w:t>Les plaques-étiquettes doivent être apposées des deux côtés et à chaque extrémité du conteneur, du conteneur pour vrac, du CGEM, du conteneur-citerne ou de la citerne mobile et sur deux côtés opposés dans le cas des conteneurs pour vrac souples.</w:t>
      </w:r>
      <w:bookmarkEnd w:id="16"/>
      <w:r w:rsidRPr="009F4D79">
        <w:rPr>
          <w:lang w:val="fr-FR"/>
        </w:rPr>
        <w:t>».</w:t>
      </w:r>
    </w:p>
    <w:p w14:paraId="04AE906B" w14:textId="60845142" w:rsidR="00AE767D" w:rsidRPr="009F4D79" w:rsidRDefault="00AE767D" w:rsidP="00281D21">
      <w:pPr>
        <w:pStyle w:val="H23G"/>
        <w:rPr>
          <w:rFonts w:asciiTheme="majorBidi" w:hAnsiTheme="majorBidi" w:cstheme="majorBidi"/>
          <w:lang w:val="fr-FR"/>
        </w:rPr>
      </w:pPr>
      <w:r w:rsidRPr="009F4D79">
        <w:rPr>
          <w:rFonts w:asciiTheme="majorBidi" w:hAnsiTheme="majorBidi" w:cstheme="majorBidi"/>
          <w:lang w:val="fr-FR"/>
        </w:rPr>
        <w:tab/>
      </w:r>
      <w:r w:rsidR="00D267E2">
        <w:rPr>
          <w:rFonts w:asciiTheme="majorBidi" w:hAnsiTheme="majorBidi" w:cstheme="majorBidi"/>
          <w:lang w:val="fr-FR"/>
        </w:rPr>
        <w:t>3</w:t>
      </w:r>
      <w:r w:rsidR="00B1435B">
        <w:rPr>
          <w:rFonts w:asciiTheme="majorBidi" w:hAnsiTheme="majorBidi" w:cstheme="majorBidi"/>
          <w:lang w:val="fr-FR"/>
        </w:rPr>
        <w:t>7</w:t>
      </w:r>
      <w:r w:rsidRPr="009F4D79">
        <w:rPr>
          <w:rFonts w:asciiTheme="majorBidi" w:hAnsiTheme="majorBidi" w:cstheme="majorBidi"/>
          <w:lang w:val="fr-FR"/>
        </w:rPr>
        <w:t>.</w:t>
      </w:r>
      <w:r w:rsidRPr="009F4D79">
        <w:rPr>
          <w:rFonts w:asciiTheme="majorBidi" w:hAnsiTheme="majorBidi" w:cstheme="majorBidi"/>
          <w:lang w:val="fr-FR"/>
        </w:rPr>
        <w:tab/>
      </w:r>
      <w:r w:rsidR="0038106F">
        <w:rPr>
          <w:lang w:val="fr-FR"/>
        </w:rPr>
        <w:t xml:space="preserve">Amendement à la Partie 7, </w:t>
      </w:r>
      <w:r w:rsidRPr="009F4D79">
        <w:rPr>
          <w:rFonts w:asciiTheme="majorBidi" w:hAnsiTheme="majorBidi" w:cstheme="majorBidi"/>
          <w:lang w:val="fr-FR"/>
        </w:rPr>
        <w:t xml:space="preserve">Chapitre 7.2, 7.2.3.7.1.2, </w:t>
      </w:r>
      <w:r w:rsidRPr="009F4D79">
        <w:rPr>
          <w:lang w:val="fr-FR"/>
        </w:rPr>
        <w:t>à</w:t>
      </w:r>
      <w:r w:rsidRPr="009F4D79">
        <w:rPr>
          <w:rFonts w:asciiTheme="majorBidi" w:hAnsiTheme="majorBidi" w:cstheme="majorBidi"/>
          <w:lang w:val="fr-FR"/>
        </w:rPr>
        <w:t xml:space="preserve"> la fin</w:t>
      </w:r>
    </w:p>
    <w:p w14:paraId="37E71C28" w14:textId="77777777" w:rsidR="00AE767D" w:rsidRPr="009F4D79" w:rsidRDefault="00AE767D" w:rsidP="00AE767D">
      <w:pPr>
        <w:pStyle w:val="SingleTxtG"/>
        <w:rPr>
          <w:i/>
          <w:iCs/>
          <w:lang w:val="fr-FR"/>
        </w:rPr>
      </w:pPr>
      <w:r w:rsidRPr="009F4D79">
        <w:rPr>
          <w:i/>
          <w:iCs/>
          <w:lang w:val="fr-FR"/>
        </w:rPr>
        <w:t xml:space="preserve">Ajouter </w:t>
      </w:r>
    </w:p>
    <w:p w14:paraId="383008B8" w14:textId="77777777" w:rsidR="00AE767D" w:rsidRPr="009F4D79" w:rsidRDefault="00AE767D" w:rsidP="00AE767D">
      <w:pPr>
        <w:pStyle w:val="ListParagraph"/>
        <w:numPr>
          <w:ilvl w:val="0"/>
          <w:numId w:val="7"/>
        </w:numPr>
        <w:tabs>
          <w:tab w:val="left" w:pos="1418"/>
        </w:tabs>
        <w:spacing w:after="120"/>
        <w:ind w:left="1418" w:right="1134" w:hanging="284"/>
        <w:jc w:val="both"/>
        <w:rPr>
          <w:color w:val="000000"/>
          <w:lang w:val="fr-CH"/>
        </w:rPr>
      </w:pPr>
      <w:bookmarkStart w:id="17" w:name="_Hlk521401193"/>
      <w:r w:rsidRPr="009F4D79">
        <w:rPr>
          <w:lang w:val="fr-FR"/>
        </w:rPr>
        <w:t>Que toutes les entrées ou ouvertures des locaux reliés avec l'extérieur soient fermées; cela ne s'applique pas aux ouvertures d'arrivée d'air de la salle des machines ni aux équipements de surpression de l’air;</w:t>
      </w:r>
    </w:p>
    <w:p w14:paraId="25CB3AAF" w14:textId="77777777" w:rsidR="00AE767D" w:rsidRPr="009F4D79" w:rsidRDefault="00AE767D" w:rsidP="00AE767D">
      <w:pPr>
        <w:pStyle w:val="ListParagraph"/>
        <w:numPr>
          <w:ilvl w:val="0"/>
          <w:numId w:val="7"/>
        </w:numPr>
        <w:tabs>
          <w:tab w:val="left" w:pos="1418"/>
        </w:tabs>
        <w:spacing w:after="120"/>
        <w:ind w:left="1418" w:right="1134" w:hanging="284"/>
        <w:jc w:val="both"/>
        <w:rPr>
          <w:color w:val="000000"/>
          <w:lang w:val="fr-CH"/>
        </w:rPr>
      </w:pPr>
      <w:r w:rsidRPr="009F4D79">
        <w:rPr>
          <w:lang w:val="fr-FR"/>
        </w:rPr>
        <w:t>Que tout membre de l'équipage travaillant sur le pont porte un équipement de protection approprié;</w:t>
      </w:r>
    </w:p>
    <w:p w14:paraId="00971C20" w14:textId="77777777" w:rsidR="00AE767D" w:rsidRPr="00200076" w:rsidRDefault="00AE767D" w:rsidP="00AE767D">
      <w:pPr>
        <w:pStyle w:val="ListParagraph"/>
        <w:numPr>
          <w:ilvl w:val="0"/>
          <w:numId w:val="7"/>
        </w:numPr>
        <w:tabs>
          <w:tab w:val="left" w:pos="1418"/>
        </w:tabs>
        <w:spacing w:after="120"/>
        <w:ind w:left="1418" w:right="1134" w:hanging="284"/>
        <w:jc w:val="both"/>
        <w:rPr>
          <w:color w:val="000000"/>
          <w:lang w:val="fr-CH"/>
        </w:rPr>
      </w:pPr>
      <w:r w:rsidRPr="009F4D79">
        <w:rPr>
          <w:lang w:val="fr-FR"/>
        </w:rPr>
        <w:t>De ne pas être effectué à proximité des écluses y compris leurs garages, sous des ponts ou dans des zones à forte densité de population.</w:t>
      </w:r>
      <w:bookmarkEnd w:id="17"/>
    </w:p>
    <w:p w14:paraId="401EB537" w14:textId="3972627F" w:rsidR="00200076" w:rsidRPr="00AC302B" w:rsidRDefault="00200076" w:rsidP="00281D21">
      <w:pPr>
        <w:pStyle w:val="H23G"/>
        <w:rPr>
          <w:rFonts w:asciiTheme="majorBidi" w:hAnsiTheme="majorBidi" w:cstheme="majorBidi"/>
          <w:lang w:val="fr-FR"/>
        </w:rPr>
      </w:pPr>
      <w:r w:rsidRPr="0032408A">
        <w:tab/>
      </w:r>
      <w:r w:rsidR="00D267E2">
        <w:t>3</w:t>
      </w:r>
      <w:r w:rsidR="00B1435B">
        <w:t>8</w:t>
      </w:r>
      <w:r w:rsidRPr="0061013B">
        <w:t>.</w:t>
      </w:r>
      <w:r w:rsidRPr="0061013B">
        <w:tab/>
      </w:r>
      <w:r w:rsidR="003C3FE1">
        <w:rPr>
          <w:lang w:val="fr-FR"/>
        </w:rPr>
        <w:t xml:space="preserve">Amendement à la Partie 8, </w:t>
      </w:r>
      <w:r w:rsidRPr="0061013B">
        <w:t>Chap</w:t>
      </w:r>
      <w:r>
        <w:t>itre</w:t>
      </w:r>
      <w:r w:rsidRPr="0061013B">
        <w:t xml:space="preserve"> 8.2, 8.2.2.3.3.2</w:t>
      </w:r>
    </w:p>
    <w:p w14:paraId="751AE4A8" w14:textId="77777777" w:rsidR="00200076" w:rsidRPr="00D67FEA" w:rsidRDefault="00200076" w:rsidP="00AC302B">
      <w:pPr>
        <w:pStyle w:val="SingleTxtG"/>
        <w:rPr>
          <w:sz w:val="22"/>
          <w:szCs w:val="22"/>
          <w:highlight w:val="yellow"/>
        </w:rPr>
      </w:pPr>
      <w:r w:rsidRPr="009F4D79">
        <w:rPr>
          <w:i/>
          <w:iCs/>
          <w:lang w:val="fr-FR"/>
        </w:rPr>
        <w:t xml:space="preserve">Substituer </w:t>
      </w:r>
      <w:r w:rsidRPr="009F4D79">
        <w:rPr>
          <w:lang w:val="fr-FR"/>
        </w:rPr>
        <w:t>au texte existant:</w:t>
      </w:r>
    </w:p>
    <w:p w14:paraId="23C2F8FE" w14:textId="77777777" w:rsidR="00200076" w:rsidRPr="005D4DC5" w:rsidRDefault="00200076" w:rsidP="00AC302B">
      <w:pPr>
        <w:pStyle w:val="SingleTxtG"/>
      </w:pPr>
      <w:r w:rsidRPr="005D4DC5">
        <w:t>8.2.2.3.3.2</w:t>
      </w:r>
      <w:r w:rsidRPr="005D4DC5">
        <w:tab/>
      </w:r>
      <w:r w:rsidRPr="0061013B">
        <w:t>Premier amendement sans objet en français.</w:t>
      </w:r>
      <w:r>
        <w:t xml:space="preserve"> </w:t>
      </w:r>
      <w:r w:rsidRPr="005D4DC5">
        <w:t>Modifier le huitième tiret pour lire comme suit:</w:t>
      </w:r>
    </w:p>
    <w:p w14:paraId="09D6FAC6" w14:textId="77777777" w:rsidR="00200076" w:rsidRPr="009F4D79" w:rsidRDefault="00200076" w:rsidP="00AC302B">
      <w:pPr>
        <w:pStyle w:val="SingleTxtG"/>
        <w:rPr>
          <w:color w:val="000000"/>
        </w:rPr>
      </w:pPr>
      <w:r w:rsidRPr="005D4DC5">
        <w:rPr>
          <w:i/>
        </w:rPr>
        <w:t>«</w:t>
      </w:r>
      <w:r w:rsidRPr="005D4DC5">
        <w:t>-</w:t>
      </w:r>
      <w:r w:rsidRPr="005D4DC5">
        <w:tab/>
      </w:r>
      <w:bookmarkStart w:id="18" w:name="_Hlk520107358"/>
      <w:r w:rsidRPr="005D4DC5">
        <w:t>Attestations d’absence de gaz et travaux admis</w:t>
      </w:r>
      <w:bookmarkEnd w:id="18"/>
      <w:r w:rsidRPr="005D4DC5">
        <w:t>;».</w:t>
      </w:r>
    </w:p>
    <w:p w14:paraId="175F30E2" w14:textId="58F1DE8C" w:rsidR="00AE767D" w:rsidRPr="009F4D79" w:rsidRDefault="00AE767D" w:rsidP="00AE767D">
      <w:pPr>
        <w:pStyle w:val="H23G"/>
        <w:rPr>
          <w:lang w:val="fr-FR"/>
        </w:rPr>
      </w:pPr>
      <w:r w:rsidRPr="009F4D79">
        <w:rPr>
          <w:lang w:val="fr-FR"/>
        </w:rPr>
        <w:tab/>
      </w:r>
      <w:r w:rsidR="00D267E2">
        <w:rPr>
          <w:lang w:val="fr-FR"/>
        </w:rPr>
        <w:t>3</w:t>
      </w:r>
      <w:r w:rsidR="00B1435B">
        <w:rPr>
          <w:lang w:val="fr-FR"/>
        </w:rPr>
        <w:t>9</w:t>
      </w:r>
      <w:r w:rsidRPr="009F4D79">
        <w:rPr>
          <w:lang w:val="fr-FR"/>
        </w:rPr>
        <w:t>.</w:t>
      </w:r>
      <w:r w:rsidRPr="009F4D79">
        <w:rPr>
          <w:lang w:val="fr-FR"/>
        </w:rPr>
        <w:tab/>
      </w:r>
      <w:r w:rsidR="0038106F">
        <w:rPr>
          <w:lang w:val="fr-FR"/>
        </w:rPr>
        <w:t xml:space="preserve">Amendement à la Partie 9, </w:t>
      </w:r>
      <w:r w:rsidRPr="009F4D79">
        <w:rPr>
          <w:lang w:val="fr-FR"/>
        </w:rPr>
        <w:t>Partie 9, note de bas de page 2, toutes les occurrences</w:t>
      </w:r>
    </w:p>
    <w:p w14:paraId="39E3155C" w14:textId="77777777" w:rsidR="00AE767D" w:rsidRDefault="00AE767D" w:rsidP="00AE767D">
      <w:pPr>
        <w:pStyle w:val="SingleTxtG"/>
        <w:rPr>
          <w:szCs w:val="18"/>
          <w:lang w:val="fr-FR"/>
        </w:rPr>
      </w:pPr>
      <w:r w:rsidRPr="009F4D79">
        <w:rPr>
          <w:i/>
          <w:iCs/>
          <w:lang w:val="fr-FR"/>
        </w:rPr>
        <w:t xml:space="preserve">Au lieu de </w:t>
      </w:r>
      <w:r w:rsidRPr="009F4D79">
        <w:rPr>
          <w:szCs w:val="18"/>
          <w:lang w:val="fr-FR"/>
        </w:rPr>
        <w:t xml:space="preserve">29 </w:t>
      </w:r>
      <w:r w:rsidR="00D66797" w:rsidRPr="009F4D79">
        <w:rPr>
          <w:szCs w:val="18"/>
          <w:lang w:val="fr-FR"/>
        </w:rPr>
        <w:t>août</w:t>
      </w:r>
      <w:r w:rsidRPr="009F4D79">
        <w:rPr>
          <w:szCs w:val="18"/>
          <w:lang w:val="fr-FR"/>
        </w:rPr>
        <w:t xml:space="preserve"> 2008 </w:t>
      </w:r>
      <w:r w:rsidRPr="009F4D79">
        <w:rPr>
          <w:i/>
          <w:iCs/>
          <w:szCs w:val="18"/>
          <w:lang w:val="fr-FR"/>
        </w:rPr>
        <w:t>lire</w:t>
      </w:r>
      <w:r w:rsidR="00D66797" w:rsidRPr="009F4D79">
        <w:rPr>
          <w:szCs w:val="18"/>
          <w:lang w:val="fr-FR"/>
        </w:rPr>
        <w:t xml:space="preserve"> 4 juin</w:t>
      </w:r>
      <w:r w:rsidRPr="009F4D79">
        <w:rPr>
          <w:szCs w:val="18"/>
          <w:lang w:val="fr-FR"/>
        </w:rPr>
        <w:t xml:space="preserve"> 2008</w:t>
      </w:r>
    </w:p>
    <w:p w14:paraId="57B73A4B" w14:textId="3EA60A5D" w:rsidR="00F33ECC" w:rsidRDefault="00F33ECC" w:rsidP="00F33ECC">
      <w:pPr>
        <w:pStyle w:val="H23G"/>
        <w:spacing w:before="120"/>
      </w:pPr>
      <w:r>
        <w:tab/>
      </w:r>
      <w:r w:rsidR="00B1435B">
        <w:t>40</w:t>
      </w:r>
      <w:r>
        <w:t>.</w:t>
      </w:r>
      <w:r>
        <w:tab/>
      </w:r>
      <w:r>
        <w:rPr>
          <w:lang w:val="fr-FR"/>
        </w:rPr>
        <w:t xml:space="preserve">Amendement à la Partie 9, </w:t>
      </w:r>
      <w:r>
        <w:t xml:space="preserve">Chapitre 9.3, </w:t>
      </w:r>
      <w:r>
        <w:rPr>
          <w:rFonts w:asciiTheme="majorBidi" w:eastAsia="Calibri" w:hAnsiTheme="majorBidi" w:cstheme="majorBidi"/>
          <w:lang w:val="fr-FR"/>
        </w:rPr>
        <w:t>9.3.1.52.6, 9.3.2.52.6 et 9.3.3.52.6</w:t>
      </w:r>
    </w:p>
    <w:p w14:paraId="2B444137" w14:textId="77777777" w:rsidR="00F33ECC" w:rsidRDefault="00F33ECC" w:rsidP="00F33ECC">
      <w:pPr>
        <w:pStyle w:val="SingleTxtG"/>
        <w:rPr>
          <w:rFonts w:asciiTheme="majorBidi" w:eastAsia="Calibri" w:hAnsiTheme="majorBidi" w:cstheme="majorBidi"/>
          <w:iCs/>
          <w:lang w:val="fr-FR"/>
        </w:rPr>
      </w:pPr>
      <w:r>
        <w:rPr>
          <w:lang w:val="fr-FR"/>
        </w:rPr>
        <w:t>Sans objet en français.</w:t>
      </w:r>
    </w:p>
    <w:p w14:paraId="6AA93DF0" w14:textId="28929504" w:rsidR="00AE767D" w:rsidRPr="009F4D79" w:rsidRDefault="00AE767D" w:rsidP="00AE767D">
      <w:pPr>
        <w:pStyle w:val="H23G"/>
        <w:rPr>
          <w:lang w:val="fr-FR"/>
        </w:rPr>
      </w:pPr>
      <w:r w:rsidRPr="009F4D79">
        <w:rPr>
          <w:lang w:val="fr-FR"/>
        </w:rPr>
        <w:tab/>
      </w:r>
      <w:r w:rsidR="00DA2608">
        <w:rPr>
          <w:lang w:val="fr-FR"/>
        </w:rPr>
        <w:t>4</w:t>
      </w:r>
      <w:r w:rsidR="00B1435B">
        <w:rPr>
          <w:lang w:val="fr-FR"/>
        </w:rPr>
        <w:t>1</w:t>
      </w:r>
      <w:bookmarkStart w:id="19" w:name="_GoBack"/>
      <w:bookmarkEnd w:id="19"/>
      <w:r w:rsidRPr="009F4D79">
        <w:rPr>
          <w:lang w:val="fr-FR"/>
        </w:rPr>
        <w:t>.</w:t>
      </w:r>
      <w:r w:rsidRPr="009F4D79">
        <w:rPr>
          <w:lang w:val="fr-FR"/>
        </w:rPr>
        <w:tab/>
      </w:r>
      <w:r w:rsidR="0038106F">
        <w:rPr>
          <w:lang w:val="fr-FR"/>
        </w:rPr>
        <w:t xml:space="preserve">Amendement à la Partie 9, </w:t>
      </w:r>
      <w:r w:rsidRPr="009F4D79">
        <w:rPr>
          <w:lang w:val="fr-FR"/>
        </w:rPr>
        <w:t>Chap</w:t>
      </w:r>
      <w:r w:rsidR="006749A4" w:rsidRPr="009F4D79">
        <w:rPr>
          <w:lang w:val="fr-FR"/>
        </w:rPr>
        <w:t>itre</w:t>
      </w:r>
      <w:r w:rsidRPr="009F4D79">
        <w:rPr>
          <w:lang w:val="fr-FR"/>
        </w:rPr>
        <w:t xml:space="preserve"> 9.3, 9.3.3.22.4 (d), </w:t>
      </w:r>
      <w:r w:rsidR="005A02DC">
        <w:rPr>
          <w:lang w:val="fr-FR"/>
        </w:rPr>
        <w:t>dernier</w:t>
      </w:r>
      <w:r w:rsidRPr="009F4D79">
        <w:rPr>
          <w:lang w:val="fr-FR"/>
        </w:rPr>
        <w:t xml:space="preserve"> paragraph</w:t>
      </w:r>
      <w:r w:rsidR="006749A4" w:rsidRPr="009F4D79">
        <w:rPr>
          <w:lang w:val="fr-FR"/>
        </w:rPr>
        <w:t>e</w:t>
      </w:r>
    </w:p>
    <w:p w14:paraId="79BA1A64" w14:textId="77777777" w:rsidR="00FD06A0" w:rsidRPr="009F4D79" w:rsidRDefault="00AE767D" w:rsidP="00AE767D">
      <w:pPr>
        <w:pStyle w:val="SingleTxtG"/>
        <w:rPr>
          <w:lang w:val="fr-FR"/>
        </w:rPr>
      </w:pPr>
      <w:r w:rsidRPr="009F4D79">
        <w:rPr>
          <w:lang w:val="fr-FR"/>
        </w:rPr>
        <w:t>Sans objet en français</w:t>
      </w:r>
    </w:p>
    <w:p w14:paraId="73937858" w14:textId="77777777" w:rsidR="008D0723" w:rsidRPr="009F4D79" w:rsidRDefault="00D440EE" w:rsidP="00D440EE">
      <w:pPr>
        <w:spacing w:before="240"/>
        <w:ind w:left="1134" w:right="1134"/>
        <w:jc w:val="center"/>
        <w:rPr>
          <w:u w:val="single"/>
          <w:lang w:val="fr-FR"/>
        </w:rPr>
      </w:pPr>
      <w:r w:rsidRPr="009F4D79">
        <w:rPr>
          <w:u w:val="single"/>
          <w:lang w:val="fr-FR"/>
        </w:rPr>
        <w:tab/>
      </w:r>
      <w:r w:rsidRPr="009F4D79">
        <w:rPr>
          <w:u w:val="single"/>
          <w:lang w:val="fr-FR"/>
        </w:rPr>
        <w:tab/>
      </w:r>
      <w:r w:rsidRPr="009F4D79">
        <w:rPr>
          <w:u w:val="single"/>
          <w:lang w:val="fr-FR"/>
        </w:rPr>
        <w:tab/>
      </w:r>
    </w:p>
    <w:sectPr w:rsidR="008D0723" w:rsidRPr="009F4D79" w:rsidSect="001A73B7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E5028" w14:textId="77777777" w:rsidR="0006085A" w:rsidRDefault="0006085A"/>
  </w:endnote>
  <w:endnote w:type="continuationSeparator" w:id="0">
    <w:p w14:paraId="3AF27336" w14:textId="77777777" w:rsidR="0006085A" w:rsidRDefault="0006085A"/>
  </w:endnote>
  <w:endnote w:type="continuationNotice" w:id="1">
    <w:p w14:paraId="1EFD321F" w14:textId="77777777" w:rsidR="0006085A" w:rsidRDefault="000608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59806" w14:textId="77777777" w:rsidR="0006085A" w:rsidRPr="0029776B" w:rsidRDefault="0006085A" w:rsidP="0029776B">
    <w:pPr>
      <w:pStyle w:val="Footer"/>
      <w:tabs>
        <w:tab w:val="right" w:pos="9638"/>
      </w:tabs>
    </w:pPr>
    <w:r w:rsidRPr="0029776B">
      <w:rPr>
        <w:b/>
        <w:sz w:val="18"/>
      </w:rPr>
      <w:fldChar w:fldCharType="begin"/>
    </w:r>
    <w:r w:rsidRPr="0029776B">
      <w:rPr>
        <w:b/>
        <w:sz w:val="18"/>
      </w:rPr>
      <w:instrText xml:space="preserve"> PAGE  \* MERGEFORMAT </w:instrText>
    </w:r>
    <w:r w:rsidRPr="0029776B">
      <w:rPr>
        <w:b/>
        <w:sz w:val="18"/>
      </w:rPr>
      <w:fldChar w:fldCharType="separate"/>
    </w:r>
    <w:r w:rsidR="008F3B01">
      <w:rPr>
        <w:b/>
        <w:noProof/>
        <w:sz w:val="18"/>
      </w:rPr>
      <w:t>2</w:t>
    </w:r>
    <w:r w:rsidRPr="0029776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FA433" w14:textId="77777777" w:rsidR="0006085A" w:rsidRPr="0029776B" w:rsidRDefault="0006085A" w:rsidP="0029776B">
    <w:pPr>
      <w:pStyle w:val="Footer"/>
      <w:tabs>
        <w:tab w:val="right" w:pos="9638"/>
      </w:tabs>
      <w:rPr>
        <w:b/>
        <w:sz w:val="18"/>
      </w:rPr>
    </w:pPr>
    <w:r>
      <w:tab/>
    </w:r>
    <w:r w:rsidRPr="0029776B">
      <w:rPr>
        <w:b/>
        <w:sz w:val="18"/>
      </w:rPr>
      <w:fldChar w:fldCharType="begin"/>
    </w:r>
    <w:r w:rsidRPr="0029776B">
      <w:rPr>
        <w:b/>
        <w:sz w:val="18"/>
      </w:rPr>
      <w:instrText xml:space="preserve"> PAGE  \* MERGEFORMAT </w:instrText>
    </w:r>
    <w:r w:rsidRPr="0029776B">
      <w:rPr>
        <w:b/>
        <w:sz w:val="18"/>
      </w:rPr>
      <w:fldChar w:fldCharType="separate"/>
    </w:r>
    <w:r w:rsidR="008F3B01">
      <w:rPr>
        <w:b/>
        <w:noProof/>
        <w:sz w:val="18"/>
      </w:rPr>
      <w:t>3</w:t>
    </w:r>
    <w:r w:rsidRPr="0029776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9660C" w14:textId="77777777" w:rsidR="0006085A" w:rsidRPr="00D27D5E" w:rsidRDefault="0006085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38A561" w14:textId="77777777" w:rsidR="0006085A" w:rsidRPr="00A80554" w:rsidRDefault="0006085A" w:rsidP="00A80554">
      <w:pPr>
        <w:tabs>
          <w:tab w:val="left" w:pos="2155"/>
        </w:tabs>
        <w:spacing w:after="80"/>
        <w:ind w:left="680"/>
        <w:rPr>
          <w:u w:val="single"/>
        </w:rPr>
      </w:pPr>
      <w:r w:rsidRPr="00A80554">
        <w:rPr>
          <w:u w:val="single"/>
        </w:rPr>
        <w:tab/>
      </w:r>
    </w:p>
  </w:footnote>
  <w:footnote w:type="continuationNotice" w:id="1">
    <w:p w14:paraId="4B3C093E" w14:textId="77777777" w:rsidR="0006085A" w:rsidRDefault="0006085A"/>
  </w:footnote>
  <w:footnote w:id="2">
    <w:p w14:paraId="48B2BC34" w14:textId="77777777" w:rsidR="0038106F" w:rsidRDefault="0038106F" w:rsidP="0038106F">
      <w:pPr>
        <w:pStyle w:val="FootnoteText"/>
      </w:pPr>
      <w:r>
        <w:tab/>
      </w:r>
      <w:r w:rsidRPr="00074AFE">
        <w:rPr>
          <w:rStyle w:val="FootnoteReference"/>
          <w:sz w:val="20"/>
          <w:szCs w:val="22"/>
          <w:vertAlign w:val="baseline"/>
        </w:rPr>
        <w:t>*</w:t>
      </w:r>
      <w:r>
        <w:t xml:space="preserve"> </w:t>
      </w:r>
      <w:r>
        <w:tab/>
      </w:r>
      <w:r w:rsidRPr="00B92D5C">
        <w:t xml:space="preserve">Diffusé en langue allemande par la Commission centrale pour la navigation du Rhin sous la cote </w:t>
      </w:r>
      <w:r w:rsidRPr="004D52BD">
        <w:rPr>
          <w:lang w:val="fr-FR"/>
        </w:rPr>
        <w:t>CCNR/ZKR/ADN/</w:t>
      </w:r>
      <w:r>
        <w:rPr>
          <w:lang w:val="fr-FR"/>
        </w:rPr>
        <w:t>45/Corr.1</w:t>
      </w:r>
      <w:r w:rsidRPr="004D52BD">
        <w:rPr>
          <w:lang w:val="fr-FR"/>
        </w:rPr>
        <w:t>.</w:t>
      </w:r>
    </w:p>
  </w:footnote>
  <w:footnote w:id="3">
    <w:p w14:paraId="54A377EB" w14:textId="77777777" w:rsidR="00205D79" w:rsidRPr="008778F5" w:rsidRDefault="00205D79" w:rsidP="00205D79">
      <w:pPr>
        <w:pStyle w:val="FootnoteText"/>
        <w:rPr>
          <w:i/>
          <w:sz w:val="20"/>
        </w:rPr>
      </w:pPr>
      <w:r w:rsidRPr="00B916F6">
        <w:rPr>
          <w:i/>
          <w:szCs w:val="18"/>
        </w:rPr>
        <w:tab/>
      </w:r>
      <w:r w:rsidRPr="008778F5">
        <w:rPr>
          <w:rStyle w:val="FootnoteReference"/>
          <w:i/>
          <w:szCs w:val="18"/>
        </w:rPr>
        <w:t>2</w:t>
      </w:r>
      <w:r w:rsidRPr="008778F5">
        <w:rPr>
          <w:i/>
          <w:szCs w:val="18"/>
        </w:rPr>
        <w:tab/>
      </w:r>
      <w:r>
        <w:rPr>
          <w:i/>
          <w:szCs w:val="18"/>
          <w:lang w:val="fr-FR"/>
        </w:rPr>
        <w:t>Journal officiel de l’Union européenne No L 96 du 29 mars 2014, p. 309.</w:t>
      </w:r>
    </w:p>
  </w:footnote>
  <w:footnote w:id="4">
    <w:p w14:paraId="1E3C447F" w14:textId="77777777" w:rsidR="00205D79" w:rsidRPr="0043671D" w:rsidRDefault="00205D79" w:rsidP="00205D79">
      <w:pPr>
        <w:pStyle w:val="FootnoteText"/>
        <w:rPr>
          <w:i/>
          <w:sz w:val="22"/>
          <w:szCs w:val="22"/>
          <w:lang w:val="en-GB"/>
        </w:rPr>
      </w:pPr>
      <w:r w:rsidRPr="008778F5">
        <w:tab/>
      </w:r>
      <w:r w:rsidRPr="0043671D">
        <w:rPr>
          <w:rStyle w:val="FootnoteReference"/>
          <w:i/>
          <w:iCs/>
          <w:lang w:val="en-GB"/>
        </w:rPr>
        <w:t>5</w:t>
      </w:r>
      <w:r w:rsidRPr="0043671D">
        <w:rPr>
          <w:lang w:val="en-GB"/>
        </w:rPr>
        <w:tab/>
      </w:r>
      <w:r w:rsidRPr="001D322E">
        <w:rPr>
          <w:i/>
          <w:color w:val="0000FF"/>
          <w:szCs w:val="18"/>
          <w:u w:val="single"/>
          <w:lang w:val="en-US"/>
        </w:rPr>
        <w:t>http://iecex.com/rules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BF2CF" w14:textId="5CEB58C0" w:rsidR="0006085A" w:rsidRPr="00565A49" w:rsidRDefault="0006085A" w:rsidP="0029776B">
    <w:pPr>
      <w:pStyle w:val="Header"/>
      <w:rPr>
        <w:lang w:val="en-GB"/>
      </w:rPr>
    </w:pPr>
    <w:r w:rsidRPr="00565A49">
      <w:rPr>
        <w:lang w:val="en-GB"/>
      </w:rPr>
      <w:t>ECE/</w:t>
    </w:r>
    <w:r w:rsidR="00842AEF">
      <w:rPr>
        <w:lang w:val="en-GB"/>
      </w:rPr>
      <w:t>ADN</w:t>
    </w:r>
    <w:r w:rsidRPr="00565A49">
      <w:rPr>
        <w:lang w:val="en-GB"/>
      </w:rPr>
      <w:t>/</w:t>
    </w:r>
    <w:r w:rsidR="00842AEF">
      <w:rPr>
        <w:lang w:val="en-GB"/>
      </w:rPr>
      <w:t>45</w:t>
    </w:r>
    <w:r w:rsidRPr="00565A49">
      <w:rPr>
        <w:lang w:val="en-GB"/>
      </w:rPr>
      <w:t>/</w:t>
    </w:r>
    <w:r w:rsidR="00842AEF">
      <w:rPr>
        <w:lang w:val="en-GB"/>
      </w:rPr>
      <w:t>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B13DE" w14:textId="1B08F7C2" w:rsidR="0006085A" w:rsidRPr="00565A49" w:rsidRDefault="00842AEF" w:rsidP="0029776B">
    <w:pPr>
      <w:pStyle w:val="Header"/>
      <w:jc w:val="right"/>
      <w:rPr>
        <w:lang w:val="en-GB"/>
      </w:rPr>
    </w:pPr>
    <w:r w:rsidRPr="00565A49">
      <w:rPr>
        <w:lang w:val="en-GB"/>
      </w:rPr>
      <w:t>ECE/</w:t>
    </w:r>
    <w:r>
      <w:rPr>
        <w:lang w:val="en-GB"/>
      </w:rPr>
      <w:t>ADN</w:t>
    </w:r>
    <w:r w:rsidRPr="00565A49">
      <w:rPr>
        <w:lang w:val="en-GB"/>
      </w:rPr>
      <w:t>/</w:t>
    </w:r>
    <w:r>
      <w:rPr>
        <w:lang w:val="en-GB"/>
      </w:rPr>
      <w:t>45</w:t>
    </w:r>
    <w:r w:rsidRPr="00565A49">
      <w:rPr>
        <w:lang w:val="en-GB"/>
      </w:rPr>
      <w:t>/</w:t>
    </w:r>
    <w:r>
      <w:rPr>
        <w:lang w:val="en-GB"/>
      </w:rPr>
      <w:t>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D2FA4"/>
    <w:multiLevelType w:val="hybridMultilevel"/>
    <w:tmpl w:val="B1361968"/>
    <w:lvl w:ilvl="0" w:tplc="80442C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25609"/>
    <w:multiLevelType w:val="hybridMultilevel"/>
    <w:tmpl w:val="198C6962"/>
    <w:lvl w:ilvl="0" w:tplc="0D50022E">
      <w:start w:val="5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2B3F49C6"/>
    <w:multiLevelType w:val="singleLevel"/>
    <w:tmpl w:val="720CB540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4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61070BF4"/>
    <w:multiLevelType w:val="hybridMultilevel"/>
    <w:tmpl w:val="55E226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7F1B7FF4"/>
    <w:multiLevelType w:val="hybridMultilevel"/>
    <w:tmpl w:val="83F6D60A"/>
    <w:lvl w:ilvl="0" w:tplc="B7A266B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fr-CA" w:vendorID="64" w:dllVersion="6" w:nlCheck="1" w:checkStyle="1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41A"/>
    <w:rsid w:val="0000195C"/>
    <w:rsid w:val="00003FFB"/>
    <w:rsid w:val="0000754C"/>
    <w:rsid w:val="000121D3"/>
    <w:rsid w:val="000131A5"/>
    <w:rsid w:val="00016AC5"/>
    <w:rsid w:val="00022BD7"/>
    <w:rsid w:val="00030ADE"/>
    <w:rsid w:val="000312C0"/>
    <w:rsid w:val="00033A63"/>
    <w:rsid w:val="0004058B"/>
    <w:rsid w:val="000418CC"/>
    <w:rsid w:val="00046CF1"/>
    <w:rsid w:val="000472A1"/>
    <w:rsid w:val="000507A8"/>
    <w:rsid w:val="00051A95"/>
    <w:rsid w:val="00056E8F"/>
    <w:rsid w:val="0006085A"/>
    <w:rsid w:val="00061CBC"/>
    <w:rsid w:val="0006415C"/>
    <w:rsid w:val="000643B7"/>
    <w:rsid w:val="00066716"/>
    <w:rsid w:val="00071432"/>
    <w:rsid w:val="000758B9"/>
    <w:rsid w:val="000762AA"/>
    <w:rsid w:val="00081790"/>
    <w:rsid w:val="000828C8"/>
    <w:rsid w:val="00091D54"/>
    <w:rsid w:val="00092022"/>
    <w:rsid w:val="00094EF2"/>
    <w:rsid w:val="000963EA"/>
    <w:rsid w:val="000964C7"/>
    <w:rsid w:val="000A49E0"/>
    <w:rsid w:val="000A6DEB"/>
    <w:rsid w:val="000A7EC2"/>
    <w:rsid w:val="000B0429"/>
    <w:rsid w:val="000B1105"/>
    <w:rsid w:val="000B34CA"/>
    <w:rsid w:val="000C0699"/>
    <w:rsid w:val="000D7E12"/>
    <w:rsid w:val="000E68FB"/>
    <w:rsid w:val="000F0CDA"/>
    <w:rsid w:val="000F41F2"/>
    <w:rsid w:val="00104ADE"/>
    <w:rsid w:val="00114946"/>
    <w:rsid w:val="00115943"/>
    <w:rsid w:val="00122A4D"/>
    <w:rsid w:val="00127A72"/>
    <w:rsid w:val="0013180D"/>
    <w:rsid w:val="00135C0D"/>
    <w:rsid w:val="0013653F"/>
    <w:rsid w:val="00143574"/>
    <w:rsid w:val="00154636"/>
    <w:rsid w:val="001551B7"/>
    <w:rsid w:val="001568BB"/>
    <w:rsid w:val="00156A92"/>
    <w:rsid w:val="00160540"/>
    <w:rsid w:val="00162132"/>
    <w:rsid w:val="00162E33"/>
    <w:rsid w:val="0016419C"/>
    <w:rsid w:val="00164FB7"/>
    <w:rsid w:val="001703B7"/>
    <w:rsid w:val="0017182C"/>
    <w:rsid w:val="00171EA3"/>
    <w:rsid w:val="00172DDE"/>
    <w:rsid w:val="00177007"/>
    <w:rsid w:val="00186EE9"/>
    <w:rsid w:val="00190399"/>
    <w:rsid w:val="00192EEB"/>
    <w:rsid w:val="001A20FB"/>
    <w:rsid w:val="001A37C7"/>
    <w:rsid w:val="001A61FB"/>
    <w:rsid w:val="001A73B7"/>
    <w:rsid w:val="001B6948"/>
    <w:rsid w:val="001B6AF6"/>
    <w:rsid w:val="001B6F40"/>
    <w:rsid w:val="001C4BBB"/>
    <w:rsid w:val="001C7508"/>
    <w:rsid w:val="001D0B5F"/>
    <w:rsid w:val="001D7DF9"/>
    <w:rsid w:val="001D7F8A"/>
    <w:rsid w:val="001E3FEB"/>
    <w:rsid w:val="001E4A02"/>
    <w:rsid w:val="001F3CC1"/>
    <w:rsid w:val="001F412D"/>
    <w:rsid w:val="001F5816"/>
    <w:rsid w:val="00200076"/>
    <w:rsid w:val="00203B6A"/>
    <w:rsid w:val="002041A8"/>
    <w:rsid w:val="00205D79"/>
    <w:rsid w:val="0020607F"/>
    <w:rsid w:val="002069D5"/>
    <w:rsid w:val="00216861"/>
    <w:rsid w:val="0022098E"/>
    <w:rsid w:val="0022197A"/>
    <w:rsid w:val="00223B89"/>
    <w:rsid w:val="00225A8C"/>
    <w:rsid w:val="00232C61"/>
    <w:rsid w:val="0023674C"/>
    <w:rsid w:val="002403AA"/>
    <w:rsid w:val="00260A9C"/>
    <w:rsid w:val="00261C6B"/>
    <w:rsid w:val="002659F1"/>
    <w:rsid w:val="00265FE8"/>
    <w:rsid w:val="0027037E"/>
    <w:rsid w:val="00271C7C"/>
    <w:rsid w:val="00281D21"/>
    <w:rsid w:val="00287E79"/>
    <w:rsid w:val="0029101B"/>
    <w:rsid w:val="002928F9"/>
    <w:rsid w:val="0029776B"/>
    <w:rsid w:val="002A1905"/>
    <w:rsid w:val="002A29C3"/>
    <w:rsid w:val="002A5D07"/>
    <w:rsid w:val="002A5F7F"/>
    <w:rsid w:val="002B2881"/>
    <w:rsid w:val="002C37E7"/>
    <w:rsid w:val="002C4075"/>
    <w:rsid w:val="002C555D"/>
    <w:rsid w:val="002D0474"/>
    <w:rsid w:val="002D7928"/>
    <w:rsid w:val="002E21F9"/>
    <w:rsid w:val="002F2735"/>
    <w:rsid w:val="003016B7"/>
    <w:rsid w:val="00304272"/>
    <w:rsid w:val="00306511"/>
    <w:rsid w:val="00311B85"/>
    <w:rsid w:val="00321245"/>
    <w:rsid w:val="0032270A"/>
    <w:rsid w:val="00327E03"/>
    <w:rsid w:val="00330F9C"/>
    <w:rsid w:val="003338E5"/>
    <w:rsid w:val="00335202"/>
    <w:rsid w:val="003371E0"/>
    <w:rsid w:val="00340C35"/>
    <w:rsid w:val="00343859"/>
    <w:rsid w:val="003470CB"/>
    <w:rsid w:val="003515AA"/>
    <w:rsid w:val="00351AD9"/>
    <w:rsid w:val="003540B3"/>
    <w:rsid w:val="00361EBD"/>
    <w:rsid w:val="00367E6A"/>
    <w:rsid w:val="00370E0F"/>
    <w:rsid w:val="00372345"/>
    <w:rsid w:val="00374106"/>
    <w:rsid w:val="00374296"/>
    <w:rsid w:val="0038106F"/>
    <w:rsid w:val="003836FF"/>
    <w:rsid w:val="00391403"/>
    <w:rsid w:val="00397250"/>
    <w:rsid w:val="003974E1"/>
    <w:rsid w:val="003976D5"/>
    <w:rsid w:val="003A1FEF"/>
    <w:rsid w:val="003A462C"/>
    <w:rsid w:val="003A4D3C"/>
    <w:rsid w:val="003A6283"/>
    <w:rsid w:val="003A656C"/>
    <w:rsid w:val="003B673C"/>
    <w:rsid w:val="003B6B20"/>
    <w:rsid w:val="003C322F"/>
    <w:rsid w:val="003C3A75"/>
    <w:rsid w:val="003C3FE1"/>
    <w:rsid w:val="003C5C5B"/>
    <w:rsid w:val="003D1DF3"/>
    <w:rsid w:val="003D46A7"/>
    <w:rsid w:val="003D6C68"/>
    <w:rsid w:val="003D76E4"/>
    <w:rsid w:val="003E604A"/>
    <w:rsid w:val="003F118A"/>
    <w:rsid w:val="004005D0"/>
    <w:rsid w:val="00406E74"/>
    <w:rsid w:val="00413736"/>
    <w:rsid w:val="00414425"/>
    <w:rsid w:val="004153CF"/>
    <w:rsid w:val="004159D0"/>
    <w:rsid w:val="004177C5"/>
    <w:rsid w:val="00421AC2"/>
    <w:rsid w:val="00423D55"/>
    <w:rsid w:val="004249E7"/>
    <w:rsid w:val="00426DA1"/>
    <w:rsid w:val="00430C92"/>
    <w:rsid w:val="00434168"/>
    <w:rsid w:val="0044289E"/>
    <w:rsid w:val="00454017"/>
    <w:rsid w:val="00461870"/>
    <w:rsid w:val="00471DA9"/>
    <w:rsid w:val="00471F12"/>
    <w:rsid w:val="00475DD2"/>
    <w:rsid w:val="004866AA"/>
    <w:rsid w:val="00486E96"/>
    <w:rsid w:val="00491EC7"/>
    <w:rsid w:val="0049374F"/>
    <w:rsid w:val="004974B9"/>
    <w:rsid w:val="00497A70"/>
    <w:rsid w:val="004A1FBE"/>
    <w:rsid w:val="004A324B"/>
    <w:rsid w:val="004A331B"/>
    <w:rsid w:val="004A3778"/>
    <w:rsid w:val="004A4B22"/>
    <w:rsid w:val="004A5C90"/>
    <w:rsid w:val="004B154F"/>
    <w:rsid w:val="004C1C7B"/>
    <w:rsid w:val="004D0EB7"/>
    <w:rsid w:val="004D1151"/>
    <w:rsid w:val="004D53B7"/>
    <w:rsid w:val="004E1AC3"/>
    <w:rsid w:val="004E551E"/>
    <w:rsid w:val="004F666D"/>
    <w:rsid w:val="00502CA8"/>
    <w:rsid w:val="00502D1A"/>
    <w:rsid w:val="00504EB2"/>
    <w:rsid w:val="00514EB1"/>
    <w:rsid w:val="0052158A"/>
    <w:rsid w:val="0052416A"/>
    <w:rsid w:val="00524D9B"/>
    <w:rsid w:val="00530057"/>
    <w:rsid w:val="00531F0F"/>
    <w:rsid w:val="005367EB"/>
    <w:rsid w:val="00543D5E"/>
    <w:rsid w:val="005446F3"/>
    <w:rsid w:val="00545F2F"/>
    <w:rsid w:val="005611FF"/>
    <w:rsid w:val="005622F9"/>
    <w:rsid w:val="00563346"/>
    <w:rsid w:val="00565A49"/>
    <w:rsid w:val="005669DD"/>
    <w:rsid w:val="00571F41"/>
    <w:rsid w:val="00575335"/>
    <w:rsid w:val="00576C84"/>
    <w:rsid w:val="00585A6B"/>
    <w:rsid w:val="00591942"/>
    <w:rsid w:val="0059410B"/>
    <w:rsid w:val="00595BE4"/>
    <w:rsid w:val="00595C56"/>
    <w:rsid w:val="005A02DC"/>
    <w:rsid w:val="005A041A"/>
    <w:rsid w:val="005B645E"/>
    <w:rsid w:val="005B738F"/>
    <w:rsid w:val="005B76A3"/>
    <w:rsid w:val="005C6014"/>
    <w:rsid w:val="005D1EE1"/>
    <w:rsid w:val="005E0DC6"/>
    <w:rsid w:val="005E5D1F"/>
    <w:rsid w:val="005E5E79"/>
    <w:rsid w:val="005F25D1"/>
    <w:rsid w:val="005F302D"/>
    <w:rsid w:val="005F59DB"/>
    <w:rsid w:val="00603391"/>
    <w:rsid w:val="006049FD"/>
    <w:rsid w:val="00605683"/>
    <w:rsid w:val="00611D43"/>
    <w:rsid w:val="00612D48"/>
    <w:rsid w:val="00616B45"/>
    <w:rsid w:val="0061708F"/>
    <w:rsid w:val="006210B6"/>
    <w:rsid w:val="006229C8"/>
    <w:rsid w:val="00625F01"/>
    <w:rsid w:val="00630D9B"/>
    <w:rsid w:val="00631953"/>
    <w:rsid w:val="006439EC"/>
    <w:rsid w:val="00653874"/>
    <w:rsid w:val="00654B07"/>
    <w:rsid w:val="00667177"/>
    <w:rsid w:val="00670F36"/>
    <w:rsid w:val="00671CD2"/>
    <w:rsid w:val="006728CD"/>
    <w:rsid w:val="00673231"/>
    <w:rsid w:val="006749A4"/>
    <w:rsid w:val="00693C13"/>
    <w:rsid w:val="0069653B"/>
    <w:rsid w:val="006A047B"/>
    <w:rsid w:val="006A2C79"/>
    <w:rsid w:val="006A3A23"/>
    <w:rsid w:val="006A4F1F"/>
    <w:rsid w:val="006A5D70"/>
    <w:rsid w:val="006B09E0"/>
    <w:rsid w:val="006B4590"/>
    <w:rsid w:val="006B56EC"/>
    <w:rsid w:val="006C3041"/>
    <w:rsid w:val="006C340C"/>
    <w:rsid w:val="006C7BA8"/>
    <w:rsid w:val="006D21A0"/>
    <w:rsid w:val="006D36A8"/>
    <w:rsid w:val="006D3778"/>
    <w:rsid w:val="006D638D"/>
    <w:rsid w:val="006E0743"/>
    <w:rsid w:val="006E19BA"/>
    <w:rsid w:val="006E3B48"/>
    <w:rsid w:val="006E5FC7"/>
    <w:rsid w:val="006E7722"/>
    <w:rsid w:val="006F151C"/>
    <w:rsid w:val="00700CF9"/>
    <w:rsid w:val="0070298A"/>
    <w:rsid w:val="0070347C"/>
    <w:rsid w:val="007176C1"/>
    <w:rsid w:val="00734FF6"/>
    <w:rsid w:val="00737BCE"/>
    <w:rsid w:val="0074123A"/>
    <w:rsid w:val="00741462"/>
    <w:rsid w:val="00742FD7"/>
    <w:rsid w:val="007450F8"/>
    <w:rsid w:val="00745CA1"/>
    <w:rsid w:val="007514EF"/>
    <w:rsid w:val="007527B6"/>
    <w:rsid w:val="00753BDA"/>
    <w:rsid w:val="00761B66"/>
    <w:rsid w:val="00766A94"/>
    <w:rsid w:val="007673E8"/>
    <w:rsid w:val="00780EAE"/>
    <w:rsid w:val="007811F7"/>
    <w:rsid w:val="007817A1"/>
    <w:rsid w:val="007820F2"/>
    <w:rsid w:val="00783F37"/>
    <w:rsid w:val="00784245"/>
    <w:rsid w:val="007904AF"/>
    <w:rsid w:val="00790F2F"/>
    <w:rsid w:val="00795138"/>
    <w:rsid w:val="0079676B"/>
    <w:rsid w:val="007A6076"/>
    <w:rsid w:val="007B1AD5"/>
    <w:rsid w:val="007C1A44"/>
    <w:rsid w:val="007D78D5"/>
    <w:rsid w:val="007E2F66"/>
    <w:rsid w:val="007F0F13"/>
    <w:rsid w:val="007F55CB"/>
    <w:rsid w:val="007F578F"/>
    <w:rsid w:val="00812C1A"/>
    <w:rsid w:val="00816FA8"/>
    <w:rsid w:val="0081704B"/>
    <w:rsid w:val="00831329"/>
    <w:rsid w:val="008317F6"/>
    <w:rsid w:val="00835193"/>
    <w:rsid w:val="008353E4"/>
    <w:rsid w:val="00835BFB"/>
    <w:rsid w:val="00836924"/>
    <w:rsid w:val="00842AEF"/>
    <w:rsid w:val="00844750"/>
    <w:rsid w:val="00851438"/>
    <w:rsid w:val="008550B4"/>
    <w:rsid w:val="00860C9D"/>
    <w:rsid w:val="00871051"/>
    <w:rsid w:val="008749A0"/>
    <w:rsid w:val="00883D70"/>
    <w:rsid w:val="00884E9C"/>
    <w:rsid w:val="008901C1"/>
    <w:rsid w:val="008A3A56"/>
    <w:rsid w:val="008A6307"/>
    <w:rsid w:val="008B44C4"/>
    <w:rsid w:val="008B7879"/>
    <w:rsid w:val="008C1BBA"/>
    <w:rsid w:val="008C2211"/>
    <w:rsid w:val="008C7684"/>
    <w:rsid w:val="008D0723"/>
    <w:rsid w:val="008D0C3F"/>
    <w:rsid w:val="008D1AC7"/>
    <w:rsid w:val="008D3919"/>
    <w:rsid w:val="008E0B16"/>
    <w:rsid w:val="008E3F2C"/>
    <w:rsid w:val="008E5107"/>
    <w:rsid w:val="008E7FAE"/>
    <w:rsid w:val="008F0E80"/>
    <w:rsid w:val="008F1725"/>
    <w:rsid w:val="008F3B01"/>
    <w:rsid w:val="008F60FF"/>
    <w:rsid w:val="00902558"/>
    <w:rsid w:val="009066AE"/>
    <w:rsid w:val="00911BF7"/>
    <w:rsid w:val="00922301"/>
    <w:rsid w:val="00922FBA"/>
    <w:rsid w:val="00926E87"/>
    <w:rsid w:val="00932D7A"/>
    <w:rsid w:val="00934DFD"/>
    <w:rsid w:val="00952FDB"/>
    <w:rsid w:val="00953DE0"/>
    <w:rsid w:val="009566B0"/>
    <w:rsid w:val="00970F62"/>
    <w:rsid w:val="00977EC8"/>
    <w:rsid w:val="009817BD"/>
    <w:rsid w:val="009837CB"/>
    <w:rsid w:val="009A21FA"/>
    <w:rsid w:val="009A6F85"/>
    <w:rsid w:val="009B060F"/>
    <w:rsid w:val="009B18A3"/>
    <w:rsid w:val="009B25CE"/>
    <w:rsid w:val="009B5EA0"/>
    <w:rsid w:val="009C1239"/>
    <w:rsid w:val="009C246D"/>
    <w:rsid w:val="009C2848"/>
    <w:rsid w:val="009C38EA"/>
    <w:rsid w:val="009D3A8C"/>
    <w:rsid w:val="009E01B8"/>
    <w:rsid w:val="009E698E"/>
    <w:rsid w:val="009E7956"/>
    <w:rsid w:val="009F4D79"/>
    <w:rsid w:val="00A10BD1"/>
    <w:rsid w:val="00A11C63"/>
    <w:rsid w:val="00A134EB"/>
    <w:rsid w:val="00A1547F"/>
    <w:rsid w:val="00A2492E"/>
    <w:rsid w:val="00A31F07"/>
    <w:rsid w:val="00A3535C"/>
    <w:rsid w:val="00A41235"/>
    <w:rsid w:val="00A44CBA"/>
    <w:rsid w:val="00A45EBB"/>
    <w:rsid w:val="00A6502C"/>
    <w:rsid w:val="00A70163"/>
    <w:rsid w:val="00A71439"/>
    <w:rsid w:val="00A73DB7"/>
    <w:rsid w:val="00A778A5"/>
    <w:rsid w:val="00A80554"/>
    <w:rsid w:val="00A81B59"/>
    <w:rsid w:val="00A8674A"/>
    <w:rsid w:val="00A86837"/>
    <w:rsid w:val="00A963DD"/>
    <w:rsid w:val="00AA0176"/>
    <w:rsid w:val="00AA3C96"/>
    <w:rsid w:val="00AA72C3"/>
    <w:rsid w:val="00AB0475"/>
    <w:rsid w:val="00AB6447"/>
    <w:rsid w:val="00AC302B"/>
    <w:rsid w:val="00AC3562"/>
    <w:rsid w:val="00AC67A1"/>
    <w:rsid w:val="00AC7977"/>
    <w:rsid w:val="00AD1E14"/>
    <w:rsid w:val="00AD3F23"/>
    <w:rsid w:val="00AE352C"/>
    <w:rsid w:val="00AE4CAA"/>
    <w:rsid w:val="00AE4F08"/>
    <w:rsid w:val="00AE5E87"/>
    <w:rsid w:val="00AE69A8"/>
    <w:rsid w:val="00AE767D"/>
    <w:rsid w:val="00AE7BCA"/>
    <w:rsid w:val="00AF1446"/>
    <w:rsid w:val="00AF2F6F"/>
    <w:rsid w:val="00AF46FB"/>
    <w:rsid w:val="00B06BC2"/>
    <w:rsid w:val="00B07DE2"/>
    <w:rsid w:val="00B11444"/>
    <w:rsid w:val="00B140AD"/>
    <w:rsid w:val="00B1435B"/>
    <w:rsid w:val="00B255B8"/>
    <w:rsid w:val="00B278CF"/>
    <w:rsid w:val="00B30CFB"/>
    <w:rsid w:val="00B3131C"/>
    <w:rsid w:val="00B318CC"/>
    <w:rsid w:val="00B32A61"/>
    <w:rsid w:val="00B32E2D"/>
    <w:rsid w:val="00B357CC"/>
    <w:rsid w:val="00B35B4C"/>
    <w:rsid w:val="00B3753A"/>
    <w:rsid w:val="00B37895"/>
    <w:rsid w:val="00B438C5"/>
    <w:rsid w:val="00B4466B"/>
    <w:rsid w:val="00B52107"/>
    <w:rsid w:val="00B61990"/>
    <w:rsid w:val="00B62922"/>
    <w:rsid w:val="00B64B1C"/>
    <w:rsid w:val="00B64C87"/>
    <w:rsid w:val="00B6602A"/>
    <w:rsid w:val="00B66CB6"/>
    <w:rsid w:val="00B7107E"/>
    <w:rsid w:val="00B72161"/>
    <w:rsid w:val="00B77126"/>
    <w:rsid w:val="00B85D99"/>
    <w:rsid w:val="00B924CA"/>
    <w:rsid w:val="00B936CC"/>
    <w:rsid w:val="00B93E72"/>
    <w:rsid w:val="00B94939"/>
    <w:rsid w:val="00BA00DC"/>
    <w:rsid w:val="00BA0ABA"/>
    <w:rsid w:val="00BA1725"/>
    <w:rsid w:val="00BA3805"/>
    <w:rsid w:val="00BC5D40"/>
    <w:rsid w:val="00BC6537"/>
    <w:rsid w:val="00BD0B53"/>
    <w:rsid w:val="00BD44B1"/>
    <w:rsid w:val="00BD50B3"/>
    <w:rsid w:val="00BD5B50"/>
    <w:rsid w:val="00BE3741"/>
    <w:rsid w:val="00BF0556"/>
    <w:rsid w:val="00BF06B0"/>
    <w:rsid w:val="00BF47BD"/>
    <w:rsid w:val="00BF505B"/>
    <w:rsid w:val="00C0071F"/>
    <w:rsid w:val="00C00C2A"/>
    <w:rsid w:val="00C1607E"/>
    <w:rsid w:val="00C218FD"/>
    <w:rsid w:val="00C2232D"/>
    <w:rsid w:val="00C24B53"/>
    <w:rsid w:val="00C261F8"/>
    <w:rsid w:val="00C2783F"/>
    <w:rsid w:val="00C33100"/>
    <w:rsid w:val="00C34C11"/>
    <w:rsid w:val="00C358CC"/>
    <w:rsid w:val="00C36AD1"/>
    <w:rsid w:val="00C4302B"/>
    <w:rsid w:val="00C45121"/>
    <w:rsid w:val="00C51BB4"/>
    <w:rsid w:val="00C53F4B"/>
    <w:rsid w:val="00C63AC1"/>
    <w:rsid w:val="00C732D1"/>
    <w:rsid w:val="00C77D6E"/>
    <w:rsid w:val="00C836BC"/>
    <w:rsid w:val="00C940E9"/>
    <w:rsid w:val="00CA047F"/>
    <w:rsid w:val="00CA3500"/>
    <w:rsid w:val="00CA5CBD"/>
    <w:rsid w:val="00CB2BEA"/>
    <w:rsid w:val="00CB6267"/>
    <w:rsid w:val="00CD1A71"/>
    <w:rsid w:val="00CD1FBB"/>
    <w:rsid w:val="00CD4C90"/>
    <w:rsid w:val="00CD53CC"/>
    <w:rsid w:val="00CD7CA8"/>
    <w:rsid w:val="00CE130B"/>
    <w:rsid w:val="00CF6435"/>
    <w:rsid w:val="00D016B5"/>
    <w:rsid w:val="00D034F1"/>
    <w:rsid w:val="00D11B17"/>
    <w:rsid w:val="00D202EA"/>
    <w:rsid w:val="00D218FC"/>
    <w:rsid w:val="00D220E7"/>
    <w:rsid w:val="00D267E2"/>
    <w:rsid w:val="00D27297"/>
    <w:rsid w:val="00D27D5E"/>
    <w:rsid w:val="00D34270"/>
    <w:rsid w:val="00D40906"/>
    <w:rsid w:val="00D41B47"/>
    <w:rsid w:val="00D428F9"/>
    <w:rsid w:val="00D440EE"/>
    <w:rsid w:val="00D45452"/>
    <w:rsid w:val="00D45B1D"/>
    <w:rsid w:val="00D47F24"/>
    <w:rsid w:val="00D52A86"/>
    <w:rsid w:val="00D60301"/>
    <w:rsid w:val="00D66797"/>
    <w:rsid w:val="00D72874"/>
    <w:rsid w:val="00D75A23"/>
    <w:rsid w:val="00D84247"/>
    <w:rsid w:val="00D8534F"/>
    <w:rsid w:val="00D86AD1"/>
    <w:rsid w:val="00D96366"/>
    <w:rsid w:val="00DA1820"/>
    <w:rsid w:val="00DA2608"/>
    <w:rsid w:val="00DA57D4"/>
    <w:rsid w:val="00DA6BC7"/>
    <w:rsid w:val="00DB4793"/>
    <w:rsid w:val="00DB5C62"/>
    <w:rsid w:val="00DC158C"/>
    <w:rsid w:val="00DC4F57"/>
    <w:rsid w:val="00DC51E3"/>
    <w:rsid w:val="00DD051B"/>
    <w:rsid w:val="00DD5D73"/>
    <w:rsid w:val="00DE01E3"/>
    <w:rsid w:val="00DE0AF7"/>
    <w:rsid w:val="00DE24A4"/>
    <w:rsid w:val="00DE6D90"/>
    <w:rsid w:val="00DF002F"/>
    <w:rsid w:val="00DF1BEA"/>
    <w:rsid w:val="00DF1F03"/>
    <w:rsid w:val="00DF3492"/>
    <w:rsid w:val="00DF4DCE"/>
    <w:rsid w:val="00DF51D3"/>
    <w:rsid w:val="00DF6551"/>
    <w:rsid w:val="00E0244D"/>
    <w:rsid w:val="00E02CE0"/>
    <w:rsid w:val="00E07FA3"/>
    <w:rsid w:val="00E11BBC"/>
    <w:rsid w:val="00E1236D"/>
    <w:rsid w:val="00E15EC6"/>
    <w:rsid w:val="00E22F40"/>
    <w:rsid w:val="00E232CA"/>
    <w:rsid w:val="00E27056"/>
    <w:rsid w:val="00E33CB5"/>
    <w:rsid w:val="00E53CCD"/>
    <w:rsid w:val="00E53D77"/>
    <w:rsid w:val="00E5407C"/>
    <w:rsid w:val="00E55D71"/>
    <w:rsid w:val="00E60E30"/>
    <w:rsid w:val="00E6288C"/>
    <w:rsid w:val="00E640A2"/>
    <w:rsid w:val="00E653A2"/>
    <w:rsid w:val="00E65B70"/>
    <w:rsid w:val="00E6627D"/>
    <w:rsid w:val="00E73AEE"/>
    <w:rsid w:val="00E74F8B"/>
    <w:rsid w:val="00E81E94"/>
    <w:rsid w:val="00E82607"/>
    <w:rsid w:val="00E876EC"/>
    <w:rsid w:val="00E87C4C"/>
    <w:rsid w:val="00E90A2D"/>
    <w:rsid w:val="00E95AF8"/>
    <w:rsid w:val="00E97EE2"/>
    <w:rsid w:val="00EA0C87"/>
    <w:rsid w:val="00EA2677"/>
    <w:rsid w:val="00EA31C2"/>
    <w:rsid w:val="00EA4D5A"/>
    <w:rsid w:val="00EA5169"/>
    <w:rsid w:val="00EB16FF"/>
    <w:rsid w:val="00EB4C54"/>
    <w:rsid w:val="00EC0734"/>
    <w:rsid w:val="00EC3132"/>
    <w:rsid w:val="00EC3FA6"/>
    <w:rsid w:val="00EC60C5"/>
    <w:rsid w:val="00ED265E"/>
    <w:rsid w:val="00ED7BEB"/>
    <w:rsid w:val="00EE2EA3"/>
    <w:rsid w:val="00EE43A7"/>
    <w:rsid w:val="00EF041A"/>
    <w:rsid w:val="00F01516"/>
    <w:rsid w:val="00F12577"/>
    <w:rsid w:val="00F14D09"/>
    <w:rsid w:val="00F2271B"/>
    <w:rsid w:val="00F227C9"/>
    <w:rsid w:val="00F22C3C"/>
    <w:rsid w:val="00F25379"/>
    <w:rsid w:val="00F33ECC"/>
    <w:rsid w:val="00F35A1F"/>
    <w:rsid w:val="00F42AEB"/>
    <w:rsid w:val="00F461B4"/>
    <w:rsid w:val="00F524AA"/>
    <w:rsid w:val="00F546C6"/>
    <w:rsid w:val="00F560CD"/>
    <w:rsid w:val="00F57129"/>
    <w:rsid w:val="00F90CFE"/>
    <w:rsid w:val="00F96586"/>
    <w:rsid w:val="00FA40A9"/>
    <w:rsid w:val="00FA43E0"/>
    <w:rsid w:val="00FA5A79"/>
    <w:rsid w:val="00FA6422"/>
    <w:rsid w:val="00FB00CB"/>
    <w:rsid w:val="00FB0BFE"/>
    <w:rsid w:val="00FB2419"/>
    <w:rsid w:val="00FB4C51"/>
    <w:rsid w:val="00FB6AC1"/>
    <w:rsid w:val="00FB72A4"/>
    <w:rsid w:val="00FC0CDC"/>
    <w:rsid w:val="00FC6DF0"/>
    <w:rsid w:val="00FD06A0"/>
    <w:rsid w:val="00FD64E0"/>
    <w:rsid w:val="00FE1D5F"/>
    <w:rsid w:val="00FE2AF4"/>
    <w:rsid w:val="00FE307F"/>
    <w:rsid w:val="00FE61E3"/>
    <w:rsid w:val="00FE69B3"/>
    <w:rsid w:val="00FF1DBD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oNotEmbedSmartTags/>
  <w:decimalSymbol w:val="."/>
  <w:listSeparator w:val=","/>
  <w14:docId w14:val="772CB1CA"/>
  <w15:docId w15:val="{C89BFC69-0368-4F44-93B3-57BD6FE7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964C7"/>
    <w:pPr>
      <w:outlineLvl w:val="1"/>
    </w:pPr>
  </w:style>
  <w:style w:type="paragraph" w:styleId="Heading3">
    <w:name w:val="heading 3"/>
    <w:basedOn w:val="Normal"/>
    <w:next w:val="Normal"/>
    <w:qFormat/>
    <w:rsid w:val="000964C7"/>
    <w:pPr>
      <w:outlineLvl w:val="2"/>
    </w:pPr>
  </w:style>
  <w:style w:type="paragraph" w:styleId="Heading4">
    <w:name w:val="heading 4"/>
    <w:basedOn w:val="Normal"/>
    <w:next w:val="Normal"/>
    <w:qFormat/>
    <w:rsid w:val="000964C7"/>
    <w:pPr>
      <w:outlineLvl w:val="3"/>
    </w:pPr>
  </w:style>
  <w:style w:type="paragraph" w:styleId="Heading5">
    <w:name w:val="heading 5"/>
    <w:basedOn w:val="Normal"/>
    <w:next w:val="Normal"/>
    <w:qFormat/>
    <w:rsid w:val="000964C7"/>
    <w:pPr>
      <w:outlineLvl w:val="4"/>
    </w:pPr>
  </w:style>
  <w:style w:type="paragraph" w:styleId="Heading6">
    <w:name w:val="heading 6"/>
    <w:basedOn w:val="Normal"/>
    <w:next w:val="Normal"/>
    <w:qFormat/>
    <w:rsid w:val="000964C7"/>
    <w:pPr>
      <w:outlineLvl w:val="5"/>
    </w:pPr>
  </w:style>
  <w:style w:type="paragraph" w:styleId="Heading7">
    <w:name w:val="heading 7"/>
    <w:basedOn w:val="Normal"/>
    <w:next w:val="Normal"/>
    <w:qFormat/>
    <w:rsid w:val="000964C7"/>
    <w:pPr>
      <w:outlineLvl w:val="6"/>
    </w:pPr>
  </w:style>
  <w:style w:type="paragraph" w:styleId="Heading8">
    <w:name w:val="heading 8"/>
    <w:basedOn w:val="Normal"/>
    <w:next w:val="Normal"/>
    <w:qFormat/>
    <w:rsid w:val="000964C7"/>
    <w:pPr>
      <w:outlineLvl w:val="7"/>
    </w:pPr>
  </w:style>
  <w:style w:type="paragraph" w:styleId="Heading9">
    <w:name w:val="heading 9"/>
    <w:basedOn w:val="Normal"/>
    <w:next w:val="Normal"/>
    <w:qFormat/>
    <w:rsid w:val="000964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qFormat/>
    <w:rsid w:val="000964C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0964C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qFormat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964C7"/>
  </w:style>
  <w:style w:type="character" w:styleId="PageNumber">
    <w:name w:val="page number"/>
    <w:aliases w:val="7_G"/>
    <w:rsid w:val="000964C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0964C7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0964C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0964C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0964C7"/>
    <w:rPr>
      <w:color w:val="auto"/>
      <w:u w:val="none"/>
    </w:rPr>
  </w:style>
  <w:style w:type="character" w:styleId="FollowedHyperlink">
    <w:name w:val="FollowedHyperlink"/>
    <w:semiHidden/>
    <w:rsid w:val="000964C7"/>
    <w:rPr>
      <w:color w:val="auto"/>
      <w:u w:val="none"/>
    </w:rPr>
  </w:style>
  <w:style w:type="character" w:customStyle="1" w:styleId="H1GChar">
    <w:name w:val="_ H_1_G Char"/>
    <w:link w:val="H1G"/>
    <w:rsid w:val="006B09E0"/>
    <w:rPr>
      <w:b/>
      <w:sz w:val="24"/>
      <w:lang w:val="fr-CH" w:eastAsia="en-US"/>
    </w:rPr>
  </w:style>
  <w:style w:type="character" w:customStyle="1" w:styleId="H23GChar">
    <w:name w:val="_ H_2/3_G Char"/>
    <w:link w:val="H23G"/>
    <w:rsid w:val="006B09E0"/>
    <w:rPr>
      <w:b/>
      <w:lang w:val="fr-CH" w:eastAsia="en-US"/>
    </w:rPr>
  </w:style>
  <w:style w:type="character" w:customStyle="1" w:styleId="SingleTxtGChar">
    <w:name w:val="_ Single Txt_G Char"/>
    <w:link w:val="SingleTxtG"/>
    <w:qFormat/>
    <w:rsid w:val="006B09E0"/>
    <w:rPr>
      <w:lang w:val="fr-CH" w:eastAsia="en-US"/>
    </w:rPr>
  </w:style>
  <w:style w:type="character" w:customStyle="1" w:styleId="FootnoteTextChar">
    <w:name w:val="Footnote Text Char"/>
    <w:aliases w:val="5_G Char"/>
    <w:link w:val="FootnoteText"/>
    <w:rsid w:val="006B09E0"/>
    <w:rPr>
      <w:sz w:val="18"/>
      <w:lang w:val="fr-CH" w:eastAsia="en-US"/>
    </w:rPr>
  </w:style>
  <w:style w:type="character" w:customStyle="1" w:styleId="H1GCar">
    <w:name w:val="_ H_1_G Car"/>
    <w:locked/>
    <w:rsid w:val="00FE2AF4"/>
    <w:rPr>
      <w:b/>
      <w:sz w:val="24"/>
      <w:lang w:val="fr-CH" w:eastAsia="en-US"/>
    </w:rPr>
  </w:style>
  <w:style w:type="character" w:styleId="CommentReference">
    <w:name w:val="annotation reference"/>
    <w:rsid w:val="000963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63EA"/>
  </w:style>
  <w:style w:type="character" w:customStyle="1" w:styleId="CommentTextChar">
    <w:name w:val="Comment Text Char"/>
    <w:link w:val="CommentText"/>
    <w:rsid w:val="000963EA"/>
    <w:rPr>
      <w:lang w:val="fr-CH" w:eastAsia="en-US"/>
    </w:rPr>
  </w:style>
  <w:style w:type="paragraph" w:styleId="BalloonText">
    <w:name w:val="Balloon Text"/>
    <w:basedOn w:val="Normal"/>
    <w:link w:val="BalloonTextChar"/>
    <w:rsid w:val="001A37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37C7"/>
    <w:rPr>
      <w:rFonts w:ascii="Tahoma" w:hAnsi="Tahoma" w:cs="Tahoma"/>
      <w:sz w:val="16"/>
      <w:szCs w:val="16"/>
      <w:lang w:val="fr-CH" w:eastAsia="en-US"/>
    </w:rPr>
  </w:style>
  <w:style w:type="paragraph" w:customStyle="1" w:styleId="TabellenformatKlasse2">
    <w:name w:val="Tabellenformat Klasse 2"/>
    <w:basedOn w:val="Normal"/>
    <w:rsid w:val="00261C6B"/>
    <w:pPr>
      <w:tabs>
        <w:tab w:val="left" w:pos="567"/>
      </w:tabs>
      <w:suppressAutoHyphens w:val="0"/>
      <w:spacing w:line="240" w:lineRule="auto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ParNoG">
    <w:name w:val="_ParNo_G"/>
    <w:basedOn w:val="SingleTxtG"/>
    <w:link w:val="ParNoGCar"/>
    <w:rsid w:val="00E1236D"/>
    <w:pPr>
      <w:numPr>
        <w:numId w:val="3"/>
      </w:numPr>
    </w:pPr>
  </w:style>
  <w:style w:type="character" w:customStyle="1" w:styleId="HChGChar">
    <w:name w:val="_ H _Ch_G Char"/>
    <w:link w:val="HChG"/>
    <w:locked/>
    <w:rsid w:val="00742FD7"/>
    <w:rPr>
      <w:b/>
      <w:sz w:val="28"/>
      <w:lang w:val="fr-CH" w:eastAsia="en-US"/>
    </w:rPr>
  </w:style>
  <w:style w:type="character" w:customStyle="1" w:styleId="SingleTxtGZchnZchn">
    <w:name w:val="_ Single Txt_G Zchn Zchn"/>
    <w:rsid w:val="00742FD7"/>
    <w:rPr>
      <w:lang w:val="en-GB" w:eastAsia="en-US" w:bidi="ar-SA"/>
    </w:rPr>
  </w:style>
  <w:style w:type="character" w:customStyle="1" w:styleId="Heading1Char">
    <w:name w:val="Heading 1 Char"/>
    <w:aliases w:val="Table_G Char"/>
    <w:link w:val="Heading1"/>
    <w:rsid w:val="00742FD7"/>
    <w:rPr>
      <w:lang w:val="fr-CH" w:eastAsia="en-US"/>
    </w:rPr>
  </w:style>
  <w:style w:type="character" w:customStyle="1" w:styleId="SingleTxtGCar">
    <w:name w:val="_ Single Txt_G Car"/>
    <w:rsid w:val="00742FD7"/>
    <w:rPr>
      <w:lang w:val="fr-CH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742FD7"/>
    <w:rPr>
      <w:b/>
      <w:bCs/>
    </w:rPr>
  </w:style>
  <w:style w:type="character" w:customStyle="1" w:styleId="CommentSubjectChar">
    <w:name w:val="Comment Subject Char"/>
    <w:link w:val="CommentSubject"/>
    <w:rsid w:val="00742FD7"/>
    <w:rPr>
      <w:b/>
      <w:bCs/>
      <w:lang w:val="fr-CH" w:eastAsia="en-US"/>
    </w:rPr>
  </w:style>
  <w:style w:type="paragraph" w:styleId="Revision">
    <w:name w:val="Revision"/>
    <w:hidden/>
    <w:uiPriority w:val="99"/>
    <w:semiHidden/>
    <w:rsid w:val="00742FD7"/>
    <w:rPr>
      <w:lang w:val="fr-CH" w:eastAsia="en-US"/>
    </w:rPr>
  </w:style>
  <w:style w:type="paragraph" w:customStyle="1" w:styleId="Default">
    <w:name w:val="Default"/>
    <w:rsid w:val="00742FD7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ParNoGCar">
    <w:name w:val="_ParNo_G Car"/>
    <w:link w:val="ParNoG"/>
    <w:rsid w:val="0052158A"/>
    <w:rPr>
      <w:lang w:val="fr-CH" w:eastAsia="en-US"/>
    </w:rPr>
  </w:style>
  <w:style w:type="paragraph" w:customStyle="1" w:styleId="SingleTxt">
    <w:name w:val="__Single Txt"/>
    <w:basedOn w:val="Normal"/>
    <w:qFormat/>
    <w:rsid w:val="00EA516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1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1105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AE767D"/>
    <w:pPr>
      <w:ind w:left="720"/>
      <w:contextualSpacing/>
    </w:pPr>
    <w:rPr>
      <w:lang w:val="en-GB"/>
    </w:rPr>
  </w:style>
  <w:style w:type="paragraph" w:styleId="BodyTextIndent">
    <w:name w:val="Body Text Indent"/>
    <w:basedOn w:val="Normal"/>
    <w:link w:val="BodyTextIndentChar"/>
    <w:rsid w:val="00AE767D"/>
    <w:pPr>
      <w:suppressAutoHyphens w:val="0"/>
      <w:spacing w:line="240" w:lineRule="auto"/>
      <w:ind w:left="1418"/>
    </w:pPr>
    <w:rPr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767D"/>
    <w:rPr>
      <w:sz w:val="22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20007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00076"/>
    <w:rPr>
      <w:lang w:val="fr-CH" w:eastAsia="en-US"/>
    </w:rPr>
  </w:style>
  <w:style w:type="paragraph" w:customStyle="1" w:styleId="Rom2">
    <w:name w:val="Rom2"/>
    <w:basedOn w:val="SingleTxtG"/>
    <w:semiHidden/>
    <w:rsid w:val="00C2783F"/>
    <w:pPr>
      <w:numPr>
        <w:numId w:val="8"/>
      </w:numPr>
      <w:tabs>
        <w:tab w:val="clear" w:pos="2160"/>
      </w:tabs>
      <w:ind w:left="2835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6DE44-1CE3-4D4F-AEE7-B81DB31C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TRANS_WP15_AC1_F</Template>
  <TotalTime>18</TotalTime>
  <Pages>6</Pages>
  <Words>1712</Words>
  <Characters>9759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</vt:lpstr>
      <vt:lpstr>ECE/TRANS/WP.15/AC.1/</vt:lpstr>
    </vt:vector>
  </TitlesOfParts>
  <Company>CSD</Company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</dc:title>
  <dc:creator>UNECE</dc:creator>
  <cp:lastModifiedBy>ECE-ADN-45-Add.1e</cp:lastModifiedBy>
  <cp:revision>8</cp:revision>
  <cp:lastPrinted>2016-06-09T07:50:00Z</cp:lastPrinted>
  <dcterms:created xsi:type="dcterms:W3CDTF">2018-09-28T08:25:00Z</dcterms:created>
  <dcterms:modified xsi:type="dcterms:W3CDTF">2018-09-28T14:38:00Z</dcterms:modified>
</cp:coreProperties>
</file>