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0" w:tblpY="568"/>
        <w:tblOverlap w:val="never"/>
        <w:tblW w:w="9719" w:type="dxa"/>
        <w:tblLayout w:type="fixed"/>
        <w:tblCellMar>
          <w:left w:w="0" w:type="dxa"/>
          <w:right w:w="0" w:type="dxa"/>
        </w:tblCellMar>
        <w:tblLook w:val="01E0" w:firstRow="1" w:lastRow="1" w:firstColumn="1" w:lastColumn="1" w:noHBand="0" w:noVBand="0"/>
      </w:tblPr>
      <w:tblGrid>
        <w:gridCol w:w="9719"/>
      </w:tblGrid>
      <w:tr w:rsidR="0099001C" w:rsidRPr="006E5FDA" w:rsidTr="00911270">
        <w:trPr>
          <w:cantSplit/>
          <w:trHeight w:hRule="exact" w:val="907"/>
        </w:trPr>
        <w:tc>
          <w:tcPr>
            <w:tcW w:w="9719" w:type="dxa"/>
            <w:tcBorders>
              <w:bottom w:val="single" w:sz="4" w:space="0" w:color="auto"/>
            </w:tcBorders>
          </w:tcPr>
          <w:p w:rsidR="00911270" w:rsidRPr="00A5250B" w:rsidRDefault="0099001C" w:rsidP="00911270">
            <w:pPr>
              <w:jc w:val="right"/>
              <w:rPr>
                <w:b/>
                <w:sz w:val="40"/>
                <w:szCs w:val="40"/>
                <w:lang w:val="fr-FR"/>
              </w:rPr>
            </w:pPr>
            <w:bookmarkStart w:id="0" w:name="_GoBack"/>
            <w:bookmarkEnd w:id="0"/>
            <w:r w:rsidRPr="00A5250B">
              <w:rPr>
                <w:b/>
                <w:sz w:val="40"/>
                <w:szCs w:val="40"/>
                <w:lang w:val="fr-FR"/>
              </w:rPr>
              <w:t>UN/SCE</w:t>
            </w:r>
            <w:r w:rsidR="001D3183" w:rsidRPr="00A5250B">
              <w:rPr>
                <w:b/>
                <w:sz w:val="40"/>
                <w:szCs w:val="40"/>
                <w:lang w:val="fr-FR"/>
              </w:rPr>
              <w:t>TDG</w:t>
            </w:r>
            <w:r w:rsidRPr="00A5250B">
              <w:rPr>
                <w:b/>
                <w:sz w:val="40"/>
                <w:szCs w:val="40"/>
                <w:lang w:val="fr-FR"/>
              </w:rPr>
              <w:t>/</w:t>
            </w:r>
            <w:r w:rsidR="007C52DF" w:rsidRPr="00A5250B">
              <w:rPr>
                <w:b/>
                <w:sz w:val="40"/>
                <w:szCs w:val="40"/>
                <w:lang w:val="fr-FR"/>
              </w:rPr>
              <w:t>5</w:t>
            </w:r>
            <w:r w:rsidR="00747299" w:rsidRPr="00A5250B">
              <w:rPr>
                <w:b/>
                <w:sz w:val="40"/>
                <w:szCs w:val="40"/>
                <w:lang w:val="fr-FR"/>
              </w:rPr>
              <w:t>4</w:t>
            </w:r>
            <w:r w:rsidRPr="00A5250B">
              <w:rPr>
                <w:b/>
                <w:sz w:val="40"/>
                <w:szCs w:val="40"/>
                <w:lang w:val="fr-FR"/>
              </w:rPr>
              <w:t>/INF.</w:t>
            </w:r>
            <w:r w:rsidR="000525E0">
              <w:rPr>
                <w:b/>
                <w:sz w:val="40"/>
                <w:szCs w:val="40"/>
                <w:lang w:val="fr-FR"/>
              </w:rPr>
              <w:t>43</w:t>
            </w:r>
          </w:p>
          <w:p w:rsidR="00911270" w:rsidRPr="00A5250B" w:rsidRDefault="00911270" w:rsidP="007D2DF4">
            <w:pPr>
              <w:jc w:val="right"/>
              <w:rPr>
                <w:b/>
                <w:sz w:val="40"/>
                <w:szCs w:val="40"/>
                <w:lang w:val="fr-FR"/>
              </w:rPr>
            </w:pPr>
            <w:r w:rsidRPr="00A5250B">
              <w:rPr>
                <w:b/>
                <w:sz w:val="40"/>
                <w:szCs w:val="40"/>
                <w:lang w:val="fr-FR"/>
              </w:rPr>
              <w:t>UN/SCEGHS/36/INF.</w:t>
            </w:r>
            <w:r w:rsidR="000525E0">
              <w:rPr>
                <w:b/>
                <w:sz w:val="40"/>
                <w:szCs w:val="40"/>
                <w:lang w:val="fr-FR"/>
              </w:rPr>
              <w:t>29</w:t>
            </w:r>
          </w:p>
        </w:tc>
      </w:tr>
      <w:tr w:rsidR="0099001C" w:rsidRPr="007E344F" w:rsidTr="00911270">
        <w:trPr>
          <w:cantSplit/>
          <w:trHeight w:hRule="exact" w:val="1421"/>
        </w:trPr>
        <w:tc>
          <w:tcPr>
            <w:tcW w:w="9719" w:type="dxa"/>
            <w:tcBorders>
              <w:top w:val="single" w:sz="4" w:space="0" w:color="auto"/>
            </w:tcBorders>
          </w:tcPr>
          <w:p w:rsidR="00A805EB" w:rsidRPr="007E344F" w:rsidRDefault="00A805EB" w:rsidP="00911270">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C14072" w:rsidP="00911270">
            <w:pPr>
              <w:tabs>
                <w:tab w:val="right" w:pos="9639"/>
              </w:tabs>
              <w:spacing w:before="120"/>
              <w:rPr>
                <w:b/>
              </w:rPr>
            </w:pPr>
            <w:r w:rsidRPr="007E344F">
              <w:rPr>
                <w:b/>
              </w:rPr>
              <w:tab/>
            </w:r>
            <w:r w:rsidR="00AA065E">
              <w:rPr>
                <w:b/>
              </w:rPr>
              <w:t>2</w:t>
            </w:r>
            <w:r w:rsidR="000525E0">
              <w:rPr>
                <w:b/>
              </w:rPr>
              <w:t>6</w:t>
            </w:r>
            <w:r w:rsidR="00AA065E">
              <w:rPr>
                <w:b/>
              </w:rPr>
              <w:t xml:space="preserve"> November 2018</w:t>
            </w:r>
          </w:p>
          <w:p w:rsidR="00A00F6B" w:rsidRPr="00D63626" w:rsidRDefault="00A00F6B" w:rsidP="00911270">
            <w:pPr>
              <w:spacing w:line="240" w:lineRule="exact"/>
            </w:pPr>
          </w:p>
        </w:tc>
      </w:tr>
    </w:tbl>
    <w:tbl>
      <w:tblPr>
        <w:tblW w:w="9639" w:type="dxa"/>
        <w:tblLayout w:type="fixed"/>
        <w:tblCellMar>
          <w:left w:w="0" w:type="dxa"/>
          <w:right w:w="0" w:type="dxa"/>
        </w:tblCellMar>
        <w:tblLook w:val="01E0" w:firstRow="1" w:lastRow="1" w:firstColumn="1" w:lastColumn="1" w:noHBand="0" w:noVBand="0"/>
      </w:tblPr>
      <w:tblGrid>
        <w:gridCol w:w="4593"/>
        <w:gridCol w:w="5046"/>
      </w:tblGrid>
      <w:tr w:rsidR="00A00F6B" w:rsidTr="0080295D">
        <w:tc>
          <w:tcPr>
            <w:tcW w:w="4593" w:type="dxa"/>
            <w:shd w:val="clear" w:color="auto" w:fill="auto"/>
          </w:tcPr>
          <w:p w:rsidR="00A00F6B" w:rsidRPr="006D12B1" w:rsidRDefault="00A00F6B" w:rsidP="0080295D">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A00F6B" w:rsidRPr="006D12B1" w:rsidRDefault="00A00F6B" w:rsidP="0080295D">
            <w:pPr>
              <w:spacing w:before="120" w:after="120"/>
              <w:rPr>
                <w:b/>
              </w:rPr>
            </w:pPr>
            <w:r w:rsidRPr="006D12B1">
              <w:rPr>
                <w:b/>
              </w:rPr>
              <w:t xml:space="preserve">Sub-Committee of Experts on the Globally Harmonized System of Classification and Labelling of Chemicals </w:t>
            </w:r>
          </w:p>
        </w:tc>
      </w:tr>
      <w:tr w:rsidR="00A00F6B" w:rsidRPr="00747299" w:rsidTr="0080295D">
        <w:tc>
          <w:tcPr>
            <w:tcW w:w="4593" w:type="dxa"/>
            <w:shd w:val="clear" w:color="auto" w:fill="auto"/>
          </w:tcPr>
          <w:p w:rsidR="00A00F6B" w:rsidRPr="00747299" w:rsidRDefault="00747299" w:rsidP="0080295D">
            <w:r w:rsidRPr="00747299">
              <w:rPr>
                <w:b/>
              </w:rPr>
              <w:t>Fifty-fourth</w:t>
            </w:r>
            <w:r w:rsidR="00A00F6B" w:rsidRPr="00747299">
              <w:rPr>
                <w:b/>
              </w:rPr>
              <w:t xml:space="preserve"> session</w:t>
            </w:r>
            <w:r w:rsidR="00A00F6B" w:rsidRPr="00747299">
              <w:t xml:space="preserve"> </w:t>
            </w:r>
          </w:p>
          <w:p w:rsidR="00A00F6B" w:rsidRPr="00747299" w:rsidRDefault="00A00F6B" w:rsidP="0080295D">
            <w:pPr>
              <w:ind w:right="57"/>
            </w:pPr>
            <w:r w:rsidRPr="00747299">
              <w:t>Geneva, 2</w:t>
            </w:r>
            <w:r w:rsidR="00747299" w:rsidRPr="00747299">
              <w:t>6 November</w:t>
            </w:r>
            <w:r w:rsidRPr="00747299">
              <w:t xml:space="preserve">-4 </w:t>
            </w:r>
            <w:r w:rsidR="00747299" w:rsidRPr="00747299">
              <w:t>December</w:t>
            </w:r>
            <w:r w:rsidRPr="00747299">
              <w:t xml:space="preserve"> 2018</w:t>
            </w:r>
          </w:p>
        </w:tc>
        <w:tc>
          <w:tcPr>
            <w:tcW w:w="5046" w:type="dxa"/>
            <w:shd w:val="clear" w:color="auto" w:fill="auto"/>
          </w:tcPr>
          <w:p w:rsidR="00A00F6B" w:rsidRPr="00747299" w:rsidRDefault="00911270" w:rsidP="0080295D">
            <w:pPr>
              <w:rPr>
                <w:b/>
              </w:rPr>
            </w:pPr>
            <w:r>
              <w:rPr>
                <w:b/>
              </w:rPr>
              <w:t>Thirty-six</w:t>
            </w:r>
            <w:r w:rsidR="00A00F6B" w:rsidRPr="00747299">
              <w:rPr>
                <w:b/>
              </w:rPr>
              <w:t>th session</w:t>
            </w:r>
          </w:p>
          <w:p w:rsidR="00A00F6B" w:rsidRPr="00747299" w:rsidRDefault="00A00F6B" w:rsidP="0080295D">
            <w:pPr>
              <w:rPr>
                <w:b/>
              </w:rPr>
            </w:pPr>
            <w:r w:rsidRPr="00747299">
              <w:t xml:space="preserve">Geneva, </w:t>
            </w:r>
            <w:r w:rsidR="00747299" w:rsidRPr="00747299">
              <w:t>5</w:t>
            </w:r>
            <w:r w:rsidRPr="00747299">
              <w:t>-</w:t>
            </w:r>
            <w:r w:rsidR="00747299" w:rsidRPr="00747299">
              <w:t>7</w:t>
            </w:r>
            <w:r w:rsidRPr="00747299">
              <w:t xml:space="preserve"> </w:t>
            </w:r>
            <w:r w:rsidR="00747299" w:rsidRPr="00747299">
              <w:t>December</w:t>
            </w:r>
            <w:r w:rsidRPr="00747299">
              <w:t xml:space="preserve"> 2018</w:t>
            </w:r>
          </w:p>
        </w:tc>
      </w:tr>
      <w:tr w:rsidR="00A00F6B" w:rsidRPr="00747299" w:rsidTr="0080295D">
        <w:tc>
          <w:tcPr>
            <w:tcW w:w="4593" w:type="dxa"/>
            <w:shd w:val="clear" w:color="auto" w:fill="auto"/>
          </w:tcPr>
          <w:p w:rsidR="00A00F6B" w:rsidRPr="00747299" w:rsidRDefault="00747299" w:rsidP="0080295D">
            <w:pPr>
              <w:ind w:right="57"/>
            </w:pPr>
            <w:r w:rsidRPr="00747299">
              <w:t>Item 7</w:t>
            </w:r>
            <w:r w:rsidR="00AA065E">
              <w:t xml:space="preserve"> </w:t>
            </w:r>
            <w:r w:rsidR="00A00F6B" w:rsidRPr="00747299">
              <w:t>(</w:t>
            </w:r>
            <w:r w:rsidR="007D2DF4">
              <w:t>e</w:t>
            </w:r>
            <w:r w:rsidR="00A00F6B" w:rsidRPr="00747299">
              <w:t>) of the provisional agenda</w:t>
            </w:r>
          </w:p>
          <w:p w:rsidR="00A00F6B" w:rsidRPr="00747299" w:rsidRDefault="00A00F6B" w:rsidP="007D2DF4">
            <w:pPr>
              <w:spacing w:after="120"/>
              <w:ind w:right="57"/>
              <w:rPr>
                <w:b/>
              </w:rPr>
            </w:pPr>
            <w:r w:rsidRPr="00747299">
              <w:rPr>
                <w:b/>
              </w:rPr>
              <w:t xml:space="preserve">Issues relating to the Globally Harmonized System of Classification and Labelling of Chemicals: </w:t>
            </w:r>
            <w:r w:rsidRPr="00747299">
              <w:rPr>
                <w:b/>
              </w:rPr>
              <w:br/>
            </w:r>
            <w:r w:rsidR="007D2DF4">
              <w:rPr>
                <w:b/>
              </w:rPr>
              <w:t>miscellaneous</w:t>
            </w:r>
          </w:p>
        </w:tc>
        <w:tc>
          <w:tcPr>
            <w:tcW w:w="5046" w:type="dxa"/>
            <w:shd w:val="clear" w:color="auto" w:fill="auto"/>
          </w:tcPr>
          <w:p w:rsidR="00A00F6B" w:rsidRPr="00747299" w:rsidRDefault="00A00F6B" w:rsidP="0080295D">
            <w:r w:rsidRPr="00747299">
              <w:t>Item 3</w:t>
            </w:r>
            <w:r w:rsidR="00AA065E">
              <w:t xml:space="preserve"> </w:t>
            </w:r>
            <w:r w:rsidRPr="00747299">
              <w:t>(a) of the provisional agenda</w:t>
            </w:r>
          </w:p>
          <w:p w:rsidR="00A00F6B" w:rsidRPr="00747299" w:rsidRDefault="00A00F6B" w:rsidP="0080295D">
            <w:pPr>
              <w:spacing w:after="120"/>
              <w:rPr>
                <w:b/>
                <w:strike/>
              </w:rPr>
            </w:pPr>
            <w:r w:rsidRPr="00747299">
              <w:rPr>
                <w:b/>
              </w:rPr>
              <w:t>Classification criteria and related hazard communication: Work of the Sub-Committee of Experts on the Transport of Dangerous Goods (TDG) on matters of interest to the GHS Sub-Committee</w:t>
            </w:r>
          </w:p>
        </w:tc>
      </w:tr>
    </w:tbl>
    <w:p w:rsidR="005C35FB" w:rsidRPr="00B41CEE" w:rsidRDefault="005C35FB" w:rsidP="00BC4A97">
      <w:pPr>
        <w:pStyle w:val="HChG"/>
      </w:pPr>
      <w:r w:rsidRPr="00050274">
        <w:rPr>
          <w:lang w:val="en-US"/>
        </w:rPr>
        <w:tab/>
      </w:r>
      <w:r w:rsidRPr="00050274">
        <w:rPr>
          <w:lang w:val="en-US"/>
        </w:rPr>
        <w:tab/>
      </w:r>
      <w:r w:rsidR="007D2DF4">
        <w:rPr>
          <w:lang w:val="en-US"/>
        </w:rPr>
        <w:t>Additional proposed amendment to the classification criteria for flammable liquids in Chapter 2.6 of the GHS</w:t>
      </w:r>
    </w:p>
    <w:p w:rsidR="005C35FB" w:rsidRPr="00B41CEE" w:rsidRDefault="005C35FB" w:rsidP="005C35FB">
      <w:pPr>
        <w:pStyle w:val="H1G"/>
      </w:pPr>
      <w:r w:rsidRPr="00B41CEE">
        <w:rPr>
          <w:lang w:val="en-US"/>
        </w:rPr>
        <w:tab/>
      </w:r>
      <w:r w:rsidRPr="00B41CEE">
        <w:rPr>
          <w:lang w:val="en-US"/>
        </w:rPr>
        <w:tab/>
        <w:t xml:space="preserve">Transmitted by the </w:t>
      </w:r>
      <w:r w:rsidR="007D2DF4">
        <w:rPr>
          <w:rFonts w:eastAsia="MS Mincho"/>
        </w:rPr>
        <w:t>International Paint and Printing Ink Council</w:t>
      </w:r>
      <w:r w:rsidR="007D2DF4" w:rsidRPr="00E34939">
        <w:rPr>
          <w:rFonts w:eastAsia="MS Mincho"/>
        </w:rPr>
        <w:t xml:space="preserve"> (</w:t>
      </w:r>
      <w:r w:rsidR="007D2DF4">
        <w:rPr>
          <w:rFonts w:eastAsia="MS Mincho"/>
        </w:rPr>
        <w:t>IPPIC</w:t>
      </w:r>
      <w:r w:rsidR="007D2DF4" w:rsidRPr="00E34939">
        <w:rPr>
          <w:rFonts w:eastAsia="MS Mincho"/>
        </w:rPr>
        <w:t>)</w:t>
      </w:r>
    </w:p>
    <w:p w:rsidR="00D30829" w:rsidRPr="005A1665" w:rsidRDefault="007D2DF4" w:rsidP="00CA3B24">
      <w:pPr>
        <w:pStyle w:val="SingleTxtG"/>
        <w:numPr>
          <w:ilvl w:val="0"/>
          <w:numId w:val="14"/>
        </w:numPr>
        <w:suppressAutoHyphens w:val="0"/>
        <w:autoSpaceDE w:val="0"/>
        <w:autoSpaceDN w:val="0"/>
        <w:adjustRightInd w:val="0"/>
        <w:spacing w:after="240" w:line="240" w:lineRule="auto"/>
        <w:ind w:left="1134" w:firstLine="0"/>
        <w:rPr>
          <w:color w:val="000000"/>
          <w:lang w:val="en-US" w:eastAsia="en-GB"/>
        </w:rPr>
      </w:pPr>
      <w:r>
        <w:t xml:space="preserve">This informal document supplements and modifies the proposal by IPPIC in working document </w:t>
      </w:r>
      <w:r w:rsidRPr="007D2DF4">
        <w:t>ST/SG/AC.10/C.3/2018/94</w:t>
      </w:r>
      <w:r>
        <w:t xml:space="preserve"> (TDG) / </w:t>
      </w:r>
      <w:r w:rsidRPr="007D2DF4">
        <w:t>ST/SG/AC.10/C.4/2018/22</w:t>
      </w:r>
      <w:r>
        <w:t xml:space="preserve"> (GHS).</w:t>
      </w:r>
    </w:p>
    <w:p w:rsidR="00F220C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As noted by the expert from Germany in their earlier document </w:t>
      </w:r>
      <w:r w:rsidRPr="00C1021B">
        <w:t>ST/SG/AC.10/C.3/2016/62−ST/SG/AC.10/C.4/2016/13</w:t>
      </w:r>
      <w:r>
        <w:t xml:space="preserve"> (for the fiftieth session of the TDG Sub-Committee and thirty-second session of the GHS Sub-Committee</w:t>
      </w:r>
      <w:r w:rsidRPr="007D2DF4">
        <w:t xml:space="preserve"> </w:t>
      </w:r>
      <w:r>
        <w:t xml:space="preserve">respectively), the proposed language in IPPIC’s document </w:t>
      </w:r>
      <w:r w:rsidR="000525E0">
        <w:t>ST/SG/AC.10/C.3/2018/</w:t>
      </w:r>
      <w:r>
        <w:t>94 /</w:t>
      </w:r>
      <w:r w:rsidR="000525E0">
        <w:t xml:space="preserve"> ST/SG/AC.10/C.4/2018/</w:t>
      </w:r>
      <w:r>
        <w:t>22 ma</w:t>
      </w:r>
      <w:r w:rsidR="000525E0">
        <w:t xml:space="preserve">y give rise to some confusion. </w:t>
      </w:r>
      <w:r>
        <w:t xml:space="preserve">Specifically, </w:t>
      </w:r>
      <w:r w:rsidRPr="00E6261E">
        <w:t>in paragraph 9</w:t>
      </w:r>
      <w:r>
        <w:t xml:space="preserve"> the words “need not be classified in Category 3” in the proposed </w:t>
      </w:r>
      <w:r w:rsidR="00F220C4">
        <w:t xml:space="preserve">revision </w:t>
      </w:r>
      <w:r>
        <w:t xml:space="preserve">2.6.2.2 could imply reclassifying a Category 3 liquid up to Category 4. </w:t>
      </w:r>
      <w:r w:rsidR="00F220C4">
        <w:t xml:space="preserve"> </w:t>
      </w:r>
      <w:r>
        <w:t xml:space="preserve">However, such a reclassification would not be </w:t>
      </w:r>
      <w:r w:rsidR="00F220C4">
        <w:t>considered appropriate</w:t>
      </w:r>
      <w:r>
        <w:t xml:space="preserve"> since the flash point does not change. </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To avoid this confusion, IPPIC submits the alternative proposal: “Liquids with a flash point of more than 35 </w:t>
      </w:r>
      <w:r>
        <w:sym w:font="Symbol" w:char="F0B0"/>
      </w:r>
      <w:r>
        <w:t>C need not be classified as flammable if negative results have been obtained in the sustained combustibility test L.2 of Part III, section 32 of the UN Recommendations on the Transport of Dangerous Goods, Manual of Tests and Criteria.”</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This alternative proposal would allow fo</w:t>
      </w:r>
      <w:r w:rsidR="00F220C4">
        <w:t>r declassification of Category 4</w:t>
      </w:r>
      <w:r>
        <w:t xml:space="preserve">, </w:t>
      </w:r>
      <w:r w:rsidRPr="0000229F">
        <w:t>as well as</w:t>
      </w:r>
      <w:r w:rsidR="00F220C4">
        <w:t xml:space="preserve"> Category 3</w:t>
      </w:r>
      <w:r>
        <w:t>, flammable liquids.</w:t>
      </w:r>
      <w:r w:rsidR="00F220C4">
        <w:t xml:space="preserve"> </w:t>
      </w:r>
      <w:r>
        <w:t xml:space="preserve"> </w:t>
      </w:r>
      <w:r w:rsidRPr="0000229F">
        <w:t>Declassification of Category 4 flammable liquids</w:t>
      </w:r>
      <w:r>
        <w:t xml:space="preserve"> is described in paragraph 7 </w:t>
      </w:r>
      <w:r w:rsidR="00F220C4">
        <w:t xml:space="preserve">of this document </w:t>
      </w:r>
      <w:r>
        <w:t xml:space="preserve">and requires a modification to test L.2 to introduce test temperatures appropriate to liquids with a flash point above 60 </w:t>
      </w:r>
      <w:r>
        <w:sym w:font="Symbol" w:char="F0B0"/>
      </w:r>
      <w:r>
        <w:t xml:space="preserve">C. </w:t>
      </w:r>
      <w:r w:rsidR="00F220C4">
        <w:t xml:space="preserve"> </w:t>
      </w:r>
      <w:r>
        <w:t xml:space="preserve">The relevant adaptation of the test already exists in the United States’ Hazardous Materials Regulations (HMR). </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In </w:t>
      </w:r>
      <w:r w:rsidR="000525E0">
        <w:t xml:space="preserve">the HMR, Appendix H to Part 173Method of, </w:t>
      </w:r>
      <w:r>
        <w:t xml:space="preserve">Testing for Sustained Combustibility, paragraph (h) of the procedure states: </w:t>
      </w:r>
      <w:r w:rsidR="00F220C4">
        <w:t>“</w:t>
      </w:r>
      <w:r>
        <w:t xml:space="preserve">In the case of a material which has a flash point above 60 </w:t>
      </w:r>
      <w:r>
        <w:sym w:font="Symbol" w:char="F0B0"/>
      </w:r>
      <w:r>
        <w:t xml:space="preserve">C and below 93 </w:t>
      </w:r>
      <w:r>
        <w:sym w:font="Symbol" w:char="F0B0"/>
      </w:r>
      <w:r>
        <w:t xml:space="preserve">C, if sustained combustion is not found at a test temperature of 5 </w:t>
      </w:r>
      <w:r>
        <w:sym w:font="Symbol" w:char="F0B0"/>
      </w:r>
      <w:r>
        <w:t xml:space="preserve">C above its flash point, repeat the complete procedure with new test portions, but at a test temperature of 20 </w:t>
      </w:r>
      <w:r>
        <w:sym w:font="Symbol" w:char="F0B0"/>
      </w:r>
      <w:r>
        <w:t>C above its flash point.</w:t>
      </w:r>
      <w:r w:rsidR="00F220C4">
        <w:t>”</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IPPIC proposes the relevant amendment to test L.2 </w:t>
      </w:r>
      <w:r w:rsidR="00F220C4">
        <w:t xml:space="preserve">in the UN Manual of Tests and Criteria </w:t>
      </w:r>
      <w:r>
        <w:t xml:space="preserve">to clarify the test with regard to </w:t>
      </w:r>
      <w:r w:rsidRPr="0000229F">
        <w:t>the alternative</w:t>
      </w:r>
      <w:r>
        <w:t xml:space="preserve"> propos</w:t>
      </w:r>
      <w:r w:rsidR="00F220C4">
        <w:t xml:space="preserve">al for amendment of </w:t>
      </w:r>
      <w:r>
        <w:t>2.6.2.2.</w:t>
      </w:r>
    </w:p>
    <w:p w:rsidR="00F220C4" w:rsidRPr="0083343A" w:rsidRDefault="00F220C4" w:rsidP="00C8204B">
      <w:pPr>
        <w:pStyle w:val="HChG"/>
        <w:spacing w:before="0"/>
        <w:ind w:left="851" w:firstLine="142"/>
      </w:pPr>
      <w:r>
        <w:lastRenderedPageBreak/>
        <w:tab/>
      </w:r>
      <w:r w:rsidRPr="0083343A">
        <w:t>Proposal</w:t>
      </w:r>
    </w:p>
    <w:p w:rsidR="00F220C4" w:rsidRDefault="00F220C4" w:rsidP="00F220C4">
      <w:pPr>
        <w:pStyle w:val="SingleTxtG"/>
        <w:numPr>
          <w:ilvl w:val="0"/>
          <w:numId w:val="14"/>
        </w:numPr>
        <w:suppressAutoHyphens w:val="0"/>
        <w:autoSpaceDE w:val="0"/>
        <w:autoSpaceDN w:val="0"/>
        <w:adjustRightInd w:val="0"/>
        <w:spacing w:after="240" w:line="240" w:lineRule="auto"/>
        <w:ind w:left="1134" w:firstLine="0"/>
      </w:pPr>
      <w:r>
        <w:t xml:space="preserve">Amend section 2.6.2 of the GHS as follows (additions are </w:t>
      </w:r>
      <w:r w:rsidRPr="00F220C4">
        <w:rPr>
          <w:u w:val="single"/>
        </w:rPr>
        <w:t>underlined</w:t>
      </w:r>
      <w:r>
        <w:t xml:space="preserve">, deletions in </w:t>
      </w:r>
      <w:r w:rsidRPr="00F220C4">
        <w:rPr>
          <w:strike/>
        </w:rPr>
        <w:t>strikethrough</w:t>
      </w:r>
      <w:r>
        <w:t>):</w:t>
      </w:r>
    </w:p>
    <w:p w:rsidR="00F220C4" w:rsidRPr="00E83C65" w:rsidRDefault="00F220C4" w:rsidP="00F220C4">
      <w:pPr>
        <w:pStyle w:val="SingleTxtG"/>
        <w:rPr>
          <w:b/>
        </w:rPr>
      </w:pPr>
      <w:r w:rsidRPr="00E83C65">
        <w:rPr>
          <w:b/>
        </w:rPr>
        <w:t>“2.6.2</w:t>
      </w:r>
      <w:r w:rsidRPr="00E83C65">
        <w:rPr>
          <w:b/>
        </w:rPr>
        <w:tab/>
      </w:r>
      <w:r w:rsidRPr="00E83C65">
        <w:rPr>
          <w:b/>
        </w:rPr>
        <w:tab/>
        <w:t>Classification criteria</w:t>
      </w:r>
    </w:p>
    <w:p w:rsidR="00F220C4" w:rsidRPr="002C4E58" w:rsidRDefault="00F220C4" w:rsidP="00F220C4">
      <w:pPr>
        <w:pStyle w:val="GHSHeading3"/>
        <w:tabs>
          <w:tab w:val="left" w:pos="1985"/>
        </w:tabs>
        <w:spacing w:after="240"/>
        <w:ind w:left="1134" w:right="1134"/>
        <w:jc w:val="both"/>
        <w:rPr>
          <w:b w:val="0"/>
          <w:sz w:val="20"/>
          <w:szCs w:val="20"/>
        </w:rPr>
      </w:pPr>
      <w:r w:rsidRPr="002C4E58">
        <w:rPr>
          <w:b w:val="0"/>
          <w:sz w:val="20"/>
          <w:szCs w:val="20"/>
          <w:u w:val="single"/>
        </w:rPr>
        <w:t>2.6.2.1</w:t>
      </w:r>
      <w:r>
        <w:rPr>
          <w:b w:val="0"/>
          <w:sz w:val="20"/>
          <w:szCs w:val="20"/>
        </w:rPr>
        <w:tab/>
      </w:r>
      <w:r>
        <w:rPr>
          <w:b w:val="0"/>
          <w:sz w:val="20"/>
          <w:szCs w:val="20"/>
        </w:rPr>
        <w:tab/>
      </w:r>
      <w:r w:rsidRPr="002C4E58">
        <w:rPr>
          <w:b w:val="0"/>
          <w:sz w:val="20"/>
          <w:szCs w:val="20"/>
        </w:rPr>
        <w:t>A flammable liquid is classified in one of the four categories for this class according to the following table:</w:t>
      </w:r>
    </w:p>
    <w:p w:rsidR="00F220C4" w:rsidRPr="002C4E58" w:rsidRDefault="00F220C4" w:rsidP="00F220C4">
      <w:pPr>
        <w:pStyle w:val="GHSHeading3"/>
        <w:tabs>
          <w:tab w:val="left" w:pos="1985"/>
        </w:tabs>
        <w:spacing w:after="240"/>
        <w:ind w:left="1134" w:right="1134"/>
        <w:jc w:val="center"/>
        <w:rPr>
          <w:sz w:val="20"/>
          <w:szCs w:val="20"/>
        </w:rPr>
      </w:pPr>
      <w:r w:rsidRPr="002C4E58">
        <w:rPr>
          <w:sz w:val="20"/>
          <w:szCs w:val="20"/>
        </w:rPr>
        <w:t>Table 2.6.1: Criteria for flammable liquids</w:t>
      </w:r>
    </w:p>
    <w:tbl>
      <w:tblPr>
        <w:tblStyle w:val="TableGrid"/>
        <w:tblW w:w="0" w:type="auto"/>
        <w:tblInd w:w="1134" w:type="dxa"/>
        <w:tblLayout w:type="fixed"/>
        <w:tblLook w:val="04A0" w:firstRow="1" w:lastRow="0" w:firstColumn="1" w:lastColumn="0" w:noHBand="0" w:noVBand="1"/>
      </w:tblPr>
      <w:tblGrid>
        <w:gridCol w:w="1296"/>
        <w:gridCol w:w="5929"/>
      </w:tblGrid>
      <w:tr w:rsidR="00F220C4" w:rsidRPr="00BE3932" w:rsidTr="000525E0">
        <w:trPr>
          <w:trHeight w:val="357"/>
        </w:trPr>
        <w:tc>
          <w:tcPr>
            <w:tcW w:w="1296" w:type="dxa"/>
            <w:noWrap/>
            <w:vAlign w:val="center"/>
          </w:tcPr>
          <w:p w:rsidR="00F220C4" w:rsidRPr="002C4E58" w:rsidRDefault="00F220C4" w:rsidP="00A9253A">
            <w:pPr>
              <w:spacing w:line="240" w:lineRule="auto"/>
              <w:jc w:val="center"/>
              <w:rPr>
                <w:b/>
              </w:rPr>
            </w:pPr>
            <w:r w:rsidRPr="002C4E58">
              <w:rPr>
                <w:b/>
              </w:rPr>
              <w:t>Category</w:t>
            </w:r>
          </w:p>
        </w:tc>
        <w:tc>
          <w:tcPr>
            <w:tcW w:w="5929" w:type="dxa"/>
            <w:noWrap/>
            <w:vAlign w:val="center"/>
          </w:tcPr>
          <w:p w:rsidR="00F220C4" w:rsidRPr="002C4E58" w:rsidRDefault="00F220C4" w:rsidP="00A9253A">
            <w:pPr>
              <w:ind w:right="1134"/>
              <w:jc w:val="center"/>
              <w:rPr>
                <w:b/>
              </w:rPr>
            </w:pPr>
            <w:r w:rsidRPr="002C4E58">
              <w:rPr>
                <w:b/>
              </w:rPr>
              <w:t>Criteria</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sidRPr="00C05F7D">
              <w:rPr>
                <w:b/>
              </w:rPr>
              <w:t>1</w:t>
            </w:r>
          </w:p>
        </w:tc>
        <w:tc>
          <w:tcPr>
            <w:tcW w:w="5929" w:type="dxa"/>
            <w:vAlign w:val="center"/>
          </w:tcPr>
          <w:p w:rsidR="00F220C4" w:rsidRPr="00C05F7D" w:rsidRDefault="00F220C4" w:rsidP="00A9253A">
            <w:pPr>
              <w:spacing w:line="240" w:lineRule="auto"/>
            </w:pPr>
            <w:r>
              <w:t xml:space="preserve">  </w:t>
            </w:r>
            <w:r w:rsidRPr="00C05F7D">
              <w:t>Flash point &lt; 23 °C and initial boiling point ≤ 35 °C</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2</w:t>
            </w:r>
          </w:p>
        </w:tc>
        <w:tc>
          <w:tcPr>
            <w:tcW w:w="5929" w:type="dxa"/>
            <w:vAlign w:val="center"/>
          </w:tcPr>
          <w:p w:rsidR="00F220C4" w:rsidRDefault="00F220C4" w:rsidP="00A9253A">
            <w:pPr>
              <w:spacing w:line="240" w:lineRule="auto"/>
            </w:pPr>
            <w:r>
              <w:t xml:space="preserve">  </w:t>
            </w:r>
            <w:r w:rsidRPr="00C05F7D">
              <w:t>Flash point &lt; 2</w:t>
            </w:r>
            <w:r>
              <w:t>3 °C and initial boiling point &gt;</w:t>
            </w:r>
            <w:r w:rsidRPr="00C05F7D">
              <w:t xml:space="preserve"> 35 °C</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3</w:t>
            </w:r>
          </w:p>
        </w:tc>
        <w:tc>
          <w:tcPr>
            <w:tcW w:w="5929" w:type="dxa"/>
            <w:vAlign w:val="center"/>
          </w:tcPr>
          <w:p w:rsidR="00F220C4" w:rsidRDefault="00F220C4" w:rsidP="00A9253A">
            <w:pPr>
              <w:spacing w:line="240" w:lineRule="auto"/>
            </w:pPr>
            <w:r>
              <w:t xml:space="preserve">  Flash point ≥</w:t>
            </w:r>
            <w:r w:rsidRPr="00C05F7D">
              <w:t xml:space="preserve"> 23 °C and ≤ </w:t>
            </w:r>
            <w:r>
              <w:t>60</w:t>
            </w:r>
            <w:r w:rsidRPr="00C05F7D">
              <w:t xml:space="preserve"> °C</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4</w:t>
            </w:r>
          </w:p>
        </w:tc>
        <w:tc>
          <w:tcPr>
            <w:tcW w:w="5929" w:type="dxa"/>
            <w:vAlign w:val="center"/>
          </w:tcPr>
          <w:p w:rsidR="00F220C4" w:rsidRDefault="00F220C4" w:rsidP="00A9253A">
            <w:pPr>
              <w:spacing w:line="240" w:lineRule="auto"/>
            </w:pPr>
            <w:r>
              <w:t xml:space="preserve">  Flash point &gt; 60</w:t>
            </w:r>
            <w:r w:rsidRPr="00C05F7D">
              <w:t xml:space="preserve"> °C and ≤ </w:t>
            </w:r>
            <w:r>
              <w:t>9</w:t>
            </w:r>
            <w:r w:rsidRPr="00C05F7D">
              <w:t>3 °C</w:t>
            </w:r>
          </w:p>
        </w:tc>
      </w:tr>
    </w:tbl>
    <w:p w:rsidR="00F220C4" w:rsidRDefault="00F220C4" w:rsidP="00F220C4">
      <w:pPr>
        <w:pStyle w:val="GHSHeading3"/>
        <w:tabs>
          <w:tab w:val="left" w:pos="1985"/>
        </w:tabs>
        <w:ind w:left="1134" w:right="1134"/>
        <w:jc w:val="both"/>
        <w:rPr>
          <w:b w:val="0"/>
          <w:sz w:val="20"/>
          <w:szCs w:val="20"/>
          <w:u w:val="single"/>
        </w:rPr>
      </w:pPr>
    </w:p>
    <w:p w:rsidR="00F220C4" w:rsidRPr="00C05F7D" w:rsidRDefault="00F220C4" w:rsidP="00F220C4">
      <w:pPr>
        <w:pStyle w:val="GHSHeading3"/>
        <w:tabs>
          <w:tab w:val="left" w:pos="1985"/>
        </w:tabs>
        <w:spacing w:after="240"/>
        <w:ind w:left="1134" w:right="1134"/>
        <w:jc w:val="both"/>
        <w:rPr>
          <w:b w:val="0"/>
          <w:iCs/>
          <w:sz w:val="20"/>
          <w:szCs w:val="20"/>
          <w:u w:val="single"/>
        </w:rPr>
      </w:pPr>
      <w:r>
        <w:rPr>
          <w:b w:val="0"/>
          <w:sz w:val="20"/>
          <w:szCs w:val="20"/>
          <w:u w:val="single"/>
        </w:rPr>
        <w:t>2.6.2.2</w:t>
      </w:r>
      <w:r>
        <w:rPr>
          <w:b w:val="0"/>
          <w:sz w:val="20"/>
          <w:szCs w:val="20"/>
        </w:rPr>
        <w:tab/>
      </w:r>
      <w:r>
        <w:rPr>
          <w:b w:val="0"/>
          <w:sz w:val="20"/>
          <w:szCs w:val="20"/>
        </w:rPr>
        <w:tab/>
      </w:r>
      <w:r>
        <w:rPr>
          <w:b w:val="0"/>
          <w:sz w:val="20"/>
          <w:szCs w:val="20"/>
          <w:u w:val="single"/>
        </w:rPr>
        <w:t xml:space="preserve">Liquids with a flash point of more than 35 </w:t>
      </w:r>
      <w:r w:rsidRPr="00C05F7D">
        <w:rPr>
          <w:b w:val="0"/>
          <w:sz w:val="20"/>
          <w:szCs w:val="20"/>
          <w:u w:val="single"/>
        </w:rPr>
        <w:t>°</w:t>
      </w:r>
      <w:r>
        <w:rPr>
          <w:b w:val="0"/>
          <w:sz w:val="20"/>
          <w:szCs w:val="20"/>
          <w:u w:val="single"/>
        </w:rPr>
        <w:t>C need not be classified as flammable</w:t>
      </w:r>
      <w:r w:rsidRPr="00C05F7D">
        <w:rPr>
          <w:b w:val="0"/>
          <w:sz w:val="20"/>
          <w:szCs w:val="20"/>
          <w:u w:val="single"/>
        </w:rPr>
        <w:t xml:space="preserve"> if negative results have been obtained in the sustained combustibility test L.2 of Part III, section 32 of the UN Recommendations on the Transport of Dangerous Goods, Manual of Tests and Criteria.</w:t>
      </w:r>
    </w:p>
    <w:p w:rsidR="00F220C4" w:rsidRPr="00DB2B8B" w:rsidRDefault="00F220C4" w:rsidP="00F220C4">
      <w:pPr>
        <w:pStyle w:val="GHSHeading3"/>
        <w:tabs>
          <w:tab w:val="left" w:pos="1985"/>
        </w:tabs>
        <w:spacing w:after="240"/>
        <w:ind w:left="1134" w:right="1134"/>
        <w:jc w:val="both"/>
        <w:rPr>
          <w:b w:val="0"/>
          <w:i/>
          <w:iCs/>
          <w:sz w:val="20"/>
          <w:szCs w:val="20"/>
        </w:rPr>
      </w:pPr>
      <w:r w:rsidRPr="00DB2B8B">
        <w:rPr>
          <w:i/>
          <w:iCs/>
          <w:sz w:val="20"/>
          <w:szCs w:val="20"/>
        </w:rPr>
        <w:t xml:space="preserve">NOTE 1: </w:t>
      </w:r>
      <w:r w:rsidRPr="00DB2B8B">
        <w:rPr>
          <w:b w:val="0"/>
          <w:i/>
          <w:iCs/>
          <w:sz w:val="20"/>
          <w:szCs w:val="20"/>
        </w:rPr>
        <w:t>Gas oils, diesel and light heating oils in the flash point range of 55 °C to 75 °C may be regarded as a special group for some regulatory purposes.</w:t>
      </w:r>
    </w:p>
    <w:p w:rsidR="00F220C4" w:rsidRPr="00DB2B8B" w:rsidRDefault="00F220C4" w:rsidP="00F220C4">
      <w:pPr>
        <w:pStyle w:val="GHSHeading3"/>
        <w:tabs>
          <w:tab w:val="left" w:pos="1985"/>
        </w:tabs>
        <w:spacing w:after="240"/>
        <w:ind w:left="1134" w:right="1134"/>
        <w:jc w:val="both"/>
        <w:rPr>
          <w:b w:val="0"/>
          <w:i/>
          <w:iCs/>
          <w:strike/>
          <w:sz w:val="20"/>
          <w:szCs w:val="20"/>
        </w:rPr>
      </w:pPr>
      <w:r w:rsidRPr="00DB2B8B">
        <w:rPr>
          <w:i/>
          <w:iCs/>
          <w:strike/>
          <w:sz w:val="20"/>
          <w:szCs w:val="20"/>
        </w:rPr>
        <w:t xml:space="preserve">NOTE 2: </w:t>
      </w:r>
      <w:r w:rsidRPr="00DB2B8B">
        <w:rPr>
          <w:b w:val="0"/>
          <w:i/>
          <w:iCs/>
          <w:strike/>
          <w:sz w:val="20"/>
          <w:szCs w:val="20"/>
        </w:rPr>
        <w:t>Liquids with a flash point of more than 35 °C and not more than 60 °C may be regarded as non-flammable liquids for some regulatory purposes (e.g. transport) if negative results have been obtained in the sustained combustibility test L.2 of Part III, section 32 of the UN Recommendations on the Transport of Dangerous Goods, Manual of Tests and Criteria.</w:t>
      </w:r>
    </w:p>
    <w:p w:rsidR="00F220C4" w:rsidRPr="00DB2B8B" w:rsidRDefault="00F220C4" w:rsidP="00F220C4">
      <w:pPr>
        <w:pStyle w:val="GHSHeading3"/>
        <w:tabs>
          <w:tab w:val="left" w:pos="1985"/>
        </w:tabs>
        <w:spacing w:after="240"/>
        <w:ind w:left="1134" w:right="1134"/>
        <w:jc w:val="both"/>
        <w:rPr>
          <w:b w:val="0"/>
          <w:i/>
          <w:iCs/>
          <w:sz w:val="20"/>
          <w:szCs w:val="20"/>
        </w:rPr>
      </w:pPr>
      <w:r w:rsidRPr="00DB2B8B">
        <w:rPr>
          <w:i/>
          <w:iCs/>
          <w:sz w:val="20"/>
          <w:szCs w:val="20"/>
        </w:rPr>
        <w:t xml:space="preserve">NOTE </w:t>
      </w:r>
      <w:r w:rsidRPr="00DB2B8B">
        <w:rPr>
          <w:i/>
          <w:iCs/>
          <w:strike/>
          <w:sz w:val="20"/>
          <w:szCs w:val="20"/>
        </w:rPr>
        <w:t>3</w:t>
      </w:r>
      <w:r w:rsidRPr="00DB2B8B">
        <w:rPr>
          <w:i/>
          <w:iCs/>
          <w:sz w:val="20"/>
          <w:szCs w:val="20"/>
          <w:u w:val="single"/>
        </w:rPr>
        <w:t>2</w:t>
      </w:r>
      <w:r w:rsidRPr="00DB2B8B">
        <w:rPr>
          <w:i/>
          <w:iCs/>
          <w:sz w:val="20"/>
          <w:szCs w:val="20"/>
        </w:rPr>
        <w:t xml:space="preserve">: </w:t>
      </w:r>
      <w:r w:rsidRPr="00DB2B8B">
        <w:rPr>
          <w:b w:val="0"/>
          <w:i/>
          <w:iCs/>
          <w:sz w:val="20"/>
          <w:szCs w:val="20"/>
        </w:rPr>
        <w:t>Viscous flammable liquids such as paints, enamels, lacquers, varnishes, adhesives and polishes may</w:t>
      </w:r>
      <w:r>
        <w:rPr>
          <w:b w:val="0"/>
          <w:i/>
          <w:iCs/>
          <w:sz w:val="20"/>
          <w:szCs w:val="20"/>
        </w:rPr>
        <w:t xml:space="preserve"> </w:t>
      </w:r>
      <w:r w:rsidRPr="00DB2B8B">
        <w:rPr>
          <w:b w:val="0"/>
          <w:i/>
          <w:iCs/>
          <w:sz w:val="20"/>
          <w:szCs w:val="20"/>
        </w:rPr>
        <w:t>be regarded as a special group for some regulatory purposes (e.g. transport). The classification or the decision to</w:t>
      </w:r>
      <w:r>
        <w:rPr>
          <w:b w:val="0"/>
          <w:i/>
          <w:iCs/>
          <w:sz w:val="20"/>
          <w:szCs w:val="20"/>
        </w:rPr>
        <w:t xml:space="preserve"> </w:t>
      </w:r>
      <w:r w:rsidRPr="00DB2B8B">
        <w:rPr>
          <w:b w:val="0"/>
          <w:i/>
          <w:iCs/>
          <w:sz w:val="20"/>
          <w:szCs w:val="20"/>
        </w:rPr>
        <w:t>consider these liquids as non-flammable may be determined by the pertinent regulation or competent authority.</w:t>
      </w:r>
    </w:p>
    <w:p w:rsidR="00F220C4" w:rsidRPr="00DB2B8B" w:rsidRDefault="00F220C4" w:rsidP="00F220C4">
      <w:pPr>
        <w:pStyle w:val="GHSHeading3"/>
        <w:tabs>
          <w:tab w:val="clear" w:pos="1418"/>
          <w:tab w:val="left" w:pos="1985"/>
        </w:tabs>
        <w:spacing w:after="240"/>
        <w:ind w:left="1134" w:right="1134"/>
        <w:jc w:val="both"/>
        <w:rPr>
          <w:b w:val="0"/>
          <w:sz w:val="20"/>
        </w:rPr>
      </w:pPr>
      <w:r w:rsidRPr="00DB2B8B">
        <w:rPr>
          <w:i/>
          <w:iCs/>
          <w:sz w:val="20"/>
          <w:szCs w:val="20"/>
        </w:rPr>
        <w:t xml:space="preserve">NOTE </w:t>
      </w:r>
      <w:r w:rsidRPr="00DB2B8B">
        <w:rPr>
          <w:i/>
          <w:iCs/>
          <w:strike/>
          <w:sz w:val="20"/>
          <w:szCs w:val="20"/>
        </w:rPr>
        <w:t>4</w:t>
      </w:r>
      <w:r>
        <w:rPr>
          <w:i/>
          <w:iCs/>
          <w:sz w:val="20"/>
          <w:szCs w:val="20"/>
          <w:u w:val="single"/>
        </w:rPr>
        <w:t>3</w:t>
      </w:r>
      <w:r w:rsidRPr="00DB2B8B">
        <w:rPr>
          <w:i/>
          <w:iCs/>
          <w:sz w:val="20"/>
          <w:szCs w:val="20"/>
        </w:rPr>
        <w:t xml:space="preserve">: </w:t>
      </w:r>
      <w:r w:rsidRPr="00DB2B8B">
        <w:rPr>
          <w:b w:val="0"/>
          <w:i/>
          <w:iCs/>
          <w:sz w:val="20"/>
          <w:szCs w:val="20"/>
        </w:rPr>
        <w:t>Aerosols should not be classified as flammable liquids. See Chapter 2.3.</w:t>
      </w:r>
      <w:r>
        <w:rPr>
          <w:b w:val="0"/>
          <w:i/>
          <w:iCs/>
          <w:sz w:val="20"/>
          <w:szCs w:val="20"/>
        </w:rPr>
        <w:t>”</w:t>
      </w:r>
      <w:r w:rsidRPr="00DB2B8B">
        <w:rPr>
          <w:b w:val="0"/>
          <w:sz w:val="20"/>
        </w:rPr>
        <w:t xml:space="preserve"> </w:t>
      </w:r>
    </w:p>
    <w:p w:rsidR="00F220C4" w:rsidRDefault="00F220C4" w:rsidP="00C8204B">
      <w:pPr>
        <w:pStyle w:val="SingleTxtG"/>
        <w:numPr>
          <w:ilvl w:val="0"/>
          <w:numId w:val="14"/>
        </w:numPr>
        <w:suppressAutoHyphens w:val="0"/>
        <w:autoSpaceDE w:val="0"/>
        <w:autoSpaceDN w:val="0"/>
        <w:adjustRightInd w:val="0"/>
        <w:spacing w:after="240" w:line="240" w:lineRule="auto"/>
        <w:ind w:left="1134" w:firstLine="0"/>
      </w:pPr>
      <w:r>
        <w:t xml:space="preserve">Amend test L.2, Part III, section 32 of the Manual of Tests and Criteria as follows (additions are </w:t>
      </w:r>
      <w:r w:rsidRPr="00C8204B">
        <w:rPr>
          <w:u w:val="single"/>
        </w:rPr>
        <w:t>underlined</w:t>
      </w:r>
      <w:r>
        <w:t xml:space="preserve">, deletions in </w:t>
      </w:r>
      <w:r w:rsidRPr="00C8204B">
        <w:rPr>
          <w:strike/>
        </w:rPr>
        <w:t>strikethrough</w:t>
      </w:r>
      <w:r>
        <w:t>):</w:t>
      </w:r>
    </w:p>
    <w:p w:rsidR="00F220C4" w:rsidRPr="00C8204B" w:rsidRDefault="00C8204B" w:rsidP="00F220C4">
      <w:pPr>
        <w:pStyle w:val="SingleTxtG"/>
      </w:pPr>
      <w:r>
        <w:t>“</w:t>
      </w:r>
      <w:r w:rsidR="00F220C4">
        <w:t>32.5.2.3.8</w:t>
      </w:r>
      <w:r w:rsidR="00F220C4">
        <w:tab/>
        <w:t xml:space="preserve">If sustained combustion, interpreted in accordance with 32.5.2.4, is not found at a test temperature of 60.5 </w:t>
      </w:r>
      <w:r w:rsidR="00F220C4" w:rsidRPr="00A46A72">
        <w:t>°</w:t>
      </w:r>
      <w:r w:rsidR="00F220C4">
        <w:t xml:space="preserve">C, repeat the complete procedure with new test portions, but at a test temperature of 75 </w:t>
      </w:r>
      <w:r w:rsidR="00F220C4" w:rsidRPr="00A46A72">
        <w:t>°</w:t>
      </w:r>
      <w:r w:rsidR="00F220C4">
        <w:t xml:space="preserve">C. </w:t>
      </w:r>
      <w:r w:rsidR="00F220C4">
        <w:rPr>
          <w:u w:val="single"/>
        </w:rPr>
        <w:t xml:space="preserve">In the case of a material which has a flash point above 60 </w:t>
      </w:r>
      <w:r w:rsidR="00F220C4" w:rsidRPr="00C05F7D">
        <w:rPr>
          <w:u w:val="single"/>
        </w:rPr>
        <w:t>°</w:t>
      </w:r>
      <w:r w:rsidR="00F220C4">
        <w:rPr>
          <w:u w:val="single"/>
        </w:rPr>
        <w:t xml:space="preserve">C and below 93 </w:t>
      </w:r>
      <w:r w:rsidR="00F220C4" w:rsidRPr="00C05F7D">
        <w:rPr>
          <w:u w:val="single"/>
        </w:rPr>
        <w:t>°</w:t>
      </w:r>
      <w:r w:rsidR="00F220C4">
        <w:rPr>
          <w:u w:val="single"/>
        </w:rPr>
        <w:t xml:space="preserve">C, if sustained combustion, interpreted in accordance with 32.5.2.4, is not found at a test temperature of 5 </w:t>
      </w:r>
      <w:r w:rsidR="00F220C4" w:rsidRPr="00C05F7D">
        <w:rPr>
          <w:u w:val="single"/>
        </w:rPr>
        <w:t>°</w:t>
      </w:r>
      <w:r w:rsidR="00F220C4">
        <w:rPr>
          <w:u w:val="single"/>
        </w:rPr>
        <w:t xml:space="preserve">C above its flash point, repeat the complete procedure with new test portions, but at a test temperature of 20 </w:t>
      </w:r>
      <w:r w:rsidR="00F220C4" w:rsidRPr="00C05F7D">
        <w:rPr>
          <w:u w:val="single"/>
        </w:rPr>
        <w:t>°</w:t>
      </w:r>
      <w:r w:rsidR="00F220C4">
        <w:rPr>
          <w:u w:val="single"/>
        </w:rPr>
        <w:t>C above its flash point.</w:t>
      </w:r>
      <w:r>
        <w:t>”</w:t>
      </w:r>
    </w:p>
    <w:p w:rsidR="00F220C4" w:rsidRDefault="000525E0" w:rsidP="00F220C4">
      <w:pPr>
        <w:pStyle w:val="SingleTxtG"/>
        <w:numPr>
          <w:ilvl w:val="0"/>
          <w:numId w:val="14"/>
        </w:numPr>
        <w:ind w:left="1134" w:firstLine="12"/>
      </w:pPr>
      <w:r>
        <w:br w:type="column"/>
      </w:r>
      <w:r w:rsidR="00F220C4">
        <w:lastRenderedPageBreak/>
        <w:t xml:space="preserve">In section 2.6.4.1, amend footnote 2 to decision logic 2.6 </w:t>
      </w:r>
      <w:r w:rsidR="00C8204B">
        <w:t xml:space="preserve">as follows </w:t>
      </w:r>
      <w:r w:rsidR="00F220C4">
        <w:t xml:space="preserve">to reflect the wording of new section 2.6.2.2 in paragraph </w:t>
      </w:r>
      <w:r w:rsidR="00C8204B">
        <w:t>7</w:t>
      </w:r>
      <w:r w:rsidR="00F220C4">
        <w:t xml:space="preserve"> above</w:t>
      </w:r>
      <w:r w:rsidR="00C8204B">
        <w:t xml:space="preserve"> (</w:t>
      </w:r>
      <w:r w:rsidR="00F220C4">
        <w:t>deletions</w:t>
      </w:r>
      <w:r w:rsidR="00C8204B">
        <w:t xml:space="preserve"> in </w:t>
      </w:r>
      <w:r w:rsidR="00C8204B" w:rsidRPr="00C8204B">
        <w:rPr>
          <w:strike/>
        </w:rPr>
        <w:t>strikethrough</w:t>
      </w:r>
      <w:r w:rsidR="00C8204B">
        <w:t>)</w:t>
      </w:r>
      <w:r w:rsidR="00F220C4">
        <w:t>:</w:t>
      </w:r>
    </w:p>
    <w:p w:rsidR="00F220C4" w:rsidRPr="0000229F" w:rsidRDefault="00C8204B" w:rsidP="00C8204B">
      <w:pPr>
        <w:pStyle w:val="SingleTxtG"/>
        <w:rPr>
          <w:i/>
        </w:rPr>
      </w:pPr>
      <w:r>
        <w:t>“</w:t>
      </w:r>
      <w:r w:rsidR="00F220C4">
        <w:rPr>
          <w:vertAlign w:val="superscript"/>
        </w:rPr>
        <w:t>2</w:t>
      </w:r>
      <w:r w:rsidR="00F220C4">
        <w:tab/>
      </w:r>
      <w:r w:rsidR="00F220C4" w:rsidRPr="0000229F">
        <w:rPr>
          <w:i/>
        </w:rPr>
        <w:t xml:space="preserve">Liquids with a flash point of more than 35 </w:t>
      </w:r>
      <w:r w:rsidR="00F220C4" w:rsidRPr="00DB2B8B">
        <w:rPr>
          <w:i/>
          <w:iCs/>
        </w:rPr>
        <w:t>°</w:t>
      </w:r>
      <w:r w:rsidR="00F220C4" w:rsidRPr="0000229F">
        <w:rPr>
          <w:i/>
        </w:rPr>
        <w:t xml:space="preserve">C </w:t>
      </w:r>
      <w:r w:rsidR="00F220C4" w:rsidRPr="0000229F">
        <w:rPr>
          <w:i/>
          <w:strike/>
        </w:rPr>
        <w:t xml:space="preserve">and not more than 60 </w:t>
      </w:r>
      <w:r w:rsidR="00F220C4" w:rsidRPr="0000229F">
        <w:rPr>
          <w:i/>
          <w:iCs/>
          <w:strike/>
        </w:rPr>
        <w:t>°</w:t>
      </w:r>
      <w:r w:rsidR="00F220C4" w:rsidRPr="0000229F">
        <w:rPr>
          <w:i/>
          <w:strike/>
        </w:rPr>
        <w:t>C</w:t>
      </w:r>
      <w:r w:rsidR="00F220C4" w:rsidRPr="0000229F">
        <w:rPr>
          <w:i/>
        </w:rPr>
        <w:t xml:space="preserve"> may be regarded as non-flammable liquids </w:t>
      </w:r>
      <w:r w:rsidR="00F220C4" w:rsidRPr="005D22F6">
        <w:rPr>
          <w:i/>
          <w:strike/>
        </w:rPr>
        <w:t>for some regulatory</w:t>
      </w:r>
      <w:r w:rsidR="00F220C4">
        <w:rPr>
          <w:i/>
          <w:strike/>
        </w:rPr>
        <w:t xml:space="preserve"> purposes</w:t>
      </w:r>
      <w:r w:rsidR="00F220C4" w:rsidRPr="005D22F6">
        <w:rPr>
          <w:i/>
          <w:strike/>
        </w:rPr>
        <w:t xml:space="preserve"> (e.g. transport)</w:t>
      </w:r>
      <w:r w:rsidR="00F220C4" w:rsidRPr="0000229F">
        <w:rPr>
          <w:i/>
        </w:rPr>
        <w:t xml:space="preserve"> if negative results have been obtained in the sustained combustibility test L.2 of Part III, section 32 of the UN Recommendations on the </w:t>
      </w:r>
      <w:r w:rsidR="00F220C4">
        <w:rPr>
          <w:i/>
        </w:rPr>
        <w:t>T</w:t>
      </w:r>
      <w:r w:rsidR="00F220C4" w:rsidRPr="0000229F">
        <w:rPr>
          <w:i/>
        </w:rPr>
        <w:t>ransport of Dangerous Goods, Manual of Tests and Criteria.</w:t>
      </w:r>
      <w:r>
        <w:rPr>
          <w:i/>
        </w:rPr>
        <w:t>”</w:t>
      </w:r>
    </w:p>
    <w:p w:rsidR="009050FE" w:rsidRPr="005C35FB" w:rsidRDefault="005C35FB" w:rsidP="005C35FB">
      <w:pPr>
        <w:pStyle w:val="HChG"/>
        <w:keepNext w:val="0"/>
        <w:keepLines w:val="0"/>
        <w:spacing w:before="240" w:after="0" w:line="240" w:lineRule="atLeast"/>
        <w:ind w:firstLine="0"/>
        <w:jc w:val="center"/>
        <w:rPr>
          <w:b w:val="0"/>
          <w:bCs/>
          <w:u w:val="single"/>
        </w:rPr>
      </w:pPr>
      <w:r w:rsidRPr="005C35FB">
        <w:rPr>
          <w:b w:val="0"/>
          <w:bCs/>
        </w:rPr>
        <w:tab/>
      </w:r>
      <w:r w:rsidRPr="005C35FB">
        <w:rPr>
          <w:b w:val="0"/>
          <w:bCs/>
          <w:u w:val="single"/>
        </w:rPr>
        <w:tab/>
      </w:r>
      <w:r w:rsidRPr="005C35FB">
        <w:rPr>
          <w:b w:val="0"/>
          <w:bCs/>
          <w:u w:val="single"/>
        </w:rPr>
        <w:tab/>
      </w:r>
      <w:r w:rsidRPr="005C35FB">
        <w:rPr>
          <w:b w:val="0"/>
          <w:bCs/>
          <w:u w:val="single"/>
        </w:rPr>
        <w:tab/>
      </w:r>
    </w:p>
    <w:sectPr w:rsidR="009050FE" w:rsidRPr="005C35FB" w:rsidSect="00561194">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81" w:rsidRDefault="003D6181"/>
  </w:endnote>
  <w:endnote w:type="continuationSeparator" w:id="0">
    <w:p w:rsidR="003D6181" w:rsidRDefault="003D6181"/>
  </w:endnote>
  <w:endnote w:type="continuationNotice" w:id="1">
    <w:p w:rsidR="003D6181" w:rsidRDefault="003D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8204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8204B">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81" w:rsidRPr="000B175B" w:rsidRDefault="003D6181" w:rsidP="000B175B">
      <w:pPr>
        <w:tabs>
          <w:tab w:val="right" w:pos="2155"/>
        </w:tabs>
        <w:spacing w:after="80"/>
        <w:ind w:left="680"/>
        <w:rPr>
          <w:u w:val="single"/>
        </w:rPr>
      </w:pPr>
      <w:r>
        <w:rPr>
          <w:u w:val="single"/>
        </w:rPr>
        <w:tab/>
      </w:r>
    </w:p>
  </w:footnote>
  <w:footnote w:type="continuationSeparator" w:id="0">
    <w:p w:rsidR="003D6181" w:rsidRPr="00FC68B7" w:rsidRDefault="003D6181" w:rsidP="00FC68B7">
      <w:pPr>
        <w:tabs>
          <w:tab w:val="left" w:pos="2155"/>
        </w:tabs>
        <w:spacing w:after="80"/>
        <w:ind w:left="680"/>
        <w:rPr>
          <w:u w:val="single"/>
        </w:rPr>
      </w:pPr>
      <w:r>
        <w:rPr>
          <w:u w:val="single"/>
        </w:rPr>
        <w:tab/>
      </w:r>
    </w:p>
  </w:footnote>
  <w:footnote w:type="continuationNotice" w:id="1">
    <w:p w:rsidR="003D6181" w:rsidRDefault="003D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5E" w:rsidRPr="00AA065E" w:rsidRDefault="000525E0">
    <w:pPr>
      <w:pStyle w:val="Header"/>
      <w:rPr>
        <w:lang w:val="fr-CH"/>
      </w:rPr>
    </w:pPr>
    <w:r>
      <w:rPr>
        <w:lang w:val="fr-CH"/>
      </w:rPr>
      <w:t>UN/SCETDG/54/INF.43</w:t>
    </w:r>
    <w:r w:rsidR="00AA065E">
      <w:rPr>
        <w:lang w:val="fr-CH"/>
      </w:rPr>
      <w:br/>
    </w:r>
    <w:r>
      <w:rPr>
        <w:lang w:val="fr-CH"/>
      </w:rPr>
      <w:t>UN/SCEGHS/36/INF.29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4B" w:rsidRPr="00C8204B" w:rsidRDefault="000525E0" w:rsidP="00C8204B">
    <w:pPr>
      <w:pStyle w:val="Header"/>
      <w:jc w:val="right"/>
      <w:rPr>
        <w:lang w:val="fr-FR"/>
      </w:rPr>
    </w:pPr>
    <w:r>
      <w:rPr>
        <w:lang w:val="fr-FR"/>
      </w:rPr>
      <w:t>UN/SCETDG/54/INF.43</w:t>
    </w:r>
  </w:p>
  <w:p w:rsidR="00DE47FC" w:rsidRPr="00C8204B" w:rsidRDefault="000525E0" w:rsidP="00C8204B">
    <w:pPr>
      <w:pStyle w:val="Header"/>
      <w:jc w:val="right"/>
      <w:rPr>
        <w:lang w:val="fr-FR"/>
      </w:rPr>
    </w:pPr>
    <w:r>
      <w:rPr>
        <w:lang w:val="fr-FR"/>
      </w:rPr>
      <w:t>UN/SCEGHS/36/INF.29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0886"/>
    <w:multiLevelType w:val="hybridMultilevel"/>
    <w:tmpl w:val="62A267B0"/>
    <w:lvl w:ilvl="0" w:tplc="78582788">
      <w:start w:val="1"/>
      <w:numFmt w:val="decimal"/>
      <w:lvlText w:val="%1."/>
      <w:lvlJc w:val="left"/>
      <w:pPr>
        <w:ind w:left="3958" w:hanging="555"/>
      </w:pPr>
      <w:rPr>
        <w:rFonts w:hint="default"/>
      </w:rPr>
    </w:lvl>
    <w:lvl w:ilvl="1" w:tplc="040C0001">
      <w:start w:val="1"/>
      <w:numFmt w:val="bullet"/>
      <w:lvlText w:val=""/>
      <w:lvlJc w:val="left"/>
      <w:pPr>
        <w:ind w:left="2214" w:hanging="360"/>
      </w:pPr>
      <w:rPr>
        <w:rFonts w:ascii="Symbol" w:hAnsi="Symbol"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08A0DDA"/>
    <w:multiLevelType w:val="hybridMultilevel"/>
    <w:tmpl w:val="38BE54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2FD40E1"/>
    <w:multiLevelType w:val="hybridMultilevel"/>
    <w:tmpl w:val="76F2AF40"/>
    <w:lvl w:ilvl="0" w:tplc="78582788">
      <w:start w:val="1"/>
      <w:numFmt w:val="decimal"/>
      <w:lvlText w:val="%1."/>
      <w:lvlJc w:val="left"/>
      <w:pPr>
        <w:ind w:left="3958"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21C7488"/>
    <w:multiLevelType w:val="hybridMultilevel"/>
    <w:tmpl w:val="A37AF4C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DBC6BBE"/>
    <w:multiLevelType w:val="hybridMultilevel"/>
    <w:tmpl w:val="76F2AF40"/>
    <w:lvl w:ilvl="0" w:tplc="78582788">
      <w:start w:val="1"/>
      <w:numFmt w:val="decimal"/>
      <w:lvlText w:val="%1."/>
      <w:lvlJc w:val="left"/>
      <w:pPr>
        <w:ind w:left="3958"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4ED20201"/>
    <w:multiLevelType w:val="multilevel"/>
    <w:tmpl w:val="373663F4"/>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5AF6401"/>
    <w:multiLevelType w:val="multilevel"/>
    <w:tmpl w:val="869232F8"/>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60555"/>
    <w:multiLevelType w:val="hybridMultilevel"/>
    <w:tmpl w:val="9F5C06F4"/>
    <w:lvl w:ilvl="0" w:tplc="906871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5"/>
  </w:num>
  <w:num w:numId="10">
    <w:abstractNumId w:val="15"/>
  </w:num>
  <w:num w:numId="11">
    <w:abstractNumId w:val="17"/>
  </w:num>
  <w:num w:numId="12">
    <w:abstractNumId w:val="13"/>
  </w:num>
  <w:num w:numId="13">
    <w:abstractNumId w:val="10"/>
  </w:num>
  <w:num w:numId="14">
    <w:abstractNumId w:val="4"/>
  </w:num>
  <w:num w:numId="15">
    <w:abstractNumId w:val="1"/>
  </w:num>
  <w:num w:numId="16">
    <w:abstractNumId w:val="7"/>
  </w:num>
  <w:num w:numId="17">
    <w:abstractNumId w:val="9"/>
  </w:num>
  <w:num w:numId="18">
    <w:abstractNumId w:val="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378"/>
    <w:rsid w:val="0003119F"/>
    <w:rsid w:val="00050274"/>
    <w:rsid w:val="00050F6B"/>
    <w:rsid w:val="000525E0"/>
    <w:rsid w:val="00062A68"/>
    <w:rsid w:val="000669EB"/>
    <w:rsid w:val="00072C8C"/>
    <w:rsid w:val="0008552C"/>
    <w:rsid w:val="00092696"/>
    <w:rsid w:val="000931C0"/>
    <w:rsid w:val="0009555B"/>
    <w:rsid w:val="00095EFE"/>
    <w:rsid w:val="000A07EB"/>
    <w:rsid w:val="000B175B"/>
    <w:rsid w:val="000B3A0F"/>
    <w:rsid w:val="000C6041"/>
    <w:rsid w:val="000D793B"/>
    <w:rsid w:val="000E0415"/>
    <w:rsid w:val="000E35DA"/>
    <w:rsid w:val="00100D07"/>
    <w:rsid w:val="00111DF0"/>
    <w:rsid w:val="0011508A"/>
    <w:rsid w:val="001220B8"/>
    <w:rsid w:val="00150F95"/>
    <w:rsid w:val="00161D70"/>
    <w:rsid w:val="00180C41"/>
    <w:rsid w:val="00197785"/>
    <w:rsid w:val="001A0FC9"/>
    <w:rsid w:val="001A27B4"/>
    <w:rsid w:val="001B2357"/>
    <w:rsid w:val="001B4B04"/>
    <w:rsid w:val="001B5ACD"/>
    <w:rsid w:val="001C359B"/>
    <w:rsid w:val="001C6663"/>
    <w:rsid w:val="001C7895"/>
    <w:rsid w:val="001D26DF"/>
    <w:rsid w:val="001D3183"/>
    <w:rsid w:val="001E0674"/>
    <w:rsid w:val="001F56D9"/>
    <w:rsid w:val="001F714F"/>
    <w:rsid w:val="00201ADA"/>
    <w:rsid w:val="002101F1"/>
    <w:rsid w:val="00211E0B"/>
    <w:rsid w:val="0022014D"/>
    <w:rsid w:val="002405A7"/>
    <w:rsid w:val="002562D6"/>
    <w:rsid w:val="00274D48"/>
    <w:rsid w:val="00284DC3"/>
    <w:rsid w:val="002A6B28"/>
    <w:rsid w:val="002A78B1"/>
    <w:rsid w:val="002C5CF3"/>
    <w:rsid w:val="002E21F0"/>
    <w:rsid w:val="002E42C4"/>
    <w:rsid w:val="00304632"/>
    <w:rsid w:val="00307FFE"/>
    <w:rsid w:val="003107FA"/>
    <w:rsid w:val="00314A63"/>
    <w:rsid w:val="0031695A"/>
    <w:rsid w:val="00317F1A"/>
    <w:rsid w:val="003229D8"/>
    <w:rsid w:val="00334311"/>
    <w:rsid w:val="0033745A"/>
    <w:rsid w:val="003452D6"/>
    <w:rsid w:val="003503B1"/>
    <w:rsid w:val="003559CC"/>
    <w:rsid w:val="003660FF"/>
    <w:rsid w:val="00391D76"/>
    <w:rsid w:val="0039277A"/>
    <w:rsid w:val="003972E0"/>
    <w:rsid w:val="0039784F"/>
    <w:rsid w:val="003B0606"/>
    <w:rsid w:val="003B7450"/>
    <w:rsid w:val="003C2CC4"/>
    <w:rsid w:val="003C3936"/>
    <w:rsid w:val="003C6B13"/>
    <w:rsid w:val="003D3365"/>
    <w:rsid w:val="003D338E"/>
    <w:rsid w:val="003D4B23"/>
    <w:rsid w:val="003D6181"/>
    <w:rsid w:val="003F1ED3"/>
    <w:rsid w:val="003F30D7"/>
    <w:rsid w:val="00403098"/>
    <w:rsid w:val="00404E53"/>
    <w:rsid w:val="00417B26"/>
    <w:rsid w:val="004270F6"/>
    <w:rsid w:val="004325CB"/>
    <w:rsid w:val="00436864"/>
    <w:rsid w:val="00437DB4"/>
    <w:rsid w:val="004420AE"/>
    <w:rsid w:val="00446DE4"/>
    <w:rsid w:val="0045190E"/>
    <w:rsid w:val="00451982"/>
    <w:rsid w:val="00453178"/>
    <w:rsid w:val="004A41CA"/>
    <w:rsid w:val="004B106F"/>
    <w:rsid w:val="004B2F3A"/>
    <w:rsid w:val="004E302A"/>
    <w:rsid w:val="004E598C"/>
    <w:rsid w:val="004F15A6"/>
    <w:rsid w:val="004F537F"/>
    <w:rsid w:val="00503228"/>
    <w:rsid w:val="00504608"/>
    <w:rsid w:val="00505384"/>
    <w:rsid w:val="00510C3B"/>
    <w:rsid w:val="005262ED"/>
    <w:rsid w:val="00535F9E"/>
    <w:rsid w:val="005420F2"/>
    <w:rsid w:val="0054603C"/>
    <w:rsid w:val="0055685C"/>
    <w:rsid w:val="005600E4"/>
    <w:rsid w:val="00561194"/>
    <w:rsid w:val="005627B5"/>
    <w:rsid w:val="00564203"/>
    <w:rsid w:val="00564A8C"/>
    <w:rsid w:val="005908B9"/>
    <w:rsid w:val="005A1665"/>
    <w:rsid w:val="005A3220"/>
    <w:rsid w:val="005B3DB3"/>
    <w:rsid w:val="005C35FB"/>
    <w:rsid w:val="005D1C32"/>
    <w:rsid w:val="005F0DD1"/>
    <w:rsid w:val="005F72E1"/>
    <w:rsid w:val="00600B19"/>
    <w:rsid w:val="00602B95"/>
    <w:rsid w:val="00611FC4"/>
    <w:rsid w:val="006176FB"/>
    <w:rsid w:val="00617C47"/>
    <w:rsid w:val="00627ED0"/>
    <w:rsid w:val="0063050A"/>
    <w:rsid w:val="00635E72"/>
    <w:rsid w:val="00640B26"/>
    <w:rsid w:val="00656A0B"/>
    <w:rsid w:val="0066387E"/>
    <w:rsid w:val="00665595"/>
    <w:rsid w:val="00685B23"/>
    <w:rsid w:val="00695342"/>
    <w:rsid w:val="006A07D7"/>
    <w:rsid w:val="006A7392"/>
    <w:rsid w:val="006B7086"/>
    <w:rsid w:val="006E32FA"/>
    <w:rsid w:val="006E3B52"/>
    <w:rsid w:val="006E535C"/>
    <w:rsid w:val="006E564B"/>
    <w:rsid w:val="006E5681"/>
    <w:rsid w:val="006E5FDA"/>
    <w:rsid w:val="006F73EE"/>
    <w:rsid w:val="00701292"/>
    <w:rsid w:val="007017DA"/>
    <w:rsid w:val="00724962"/>
    <w:rsid w:val="0072632A"/>
    <w:rsid w:val="007303B2"/>
    <w:rsid w:val="00730810"/>
    <w:rsid w:val="007324A3"/>
    <w:rsid w:val="00732639"/>
    <w:rsid w:val="00733AAE"/>
    <w:rsid w:val="00735EE2"/>
    <w:rsid w:val="00747299"/>
    <w:rsid w:val="007840FD"/>
    <w:rsid w:val="0079511F"/>
    <w:rsid w:val="00797762"/>
    <w:rsid w:val="007B4BEC"/>
    <w:rsid w:val="007B6BA5"/>
    <w:rsid w:val="007B7918"/>
    <w:rsid w:val="007C3390"/>
    <w:rsid w:val="007C4F4B"/>
    <w:rsid w:val="007C52DF"/>
    <w:rsid w:val="007D22FD"/>
    <w:rsid w:val="007D2DF4"/>
    <w:rsid w:val="007E344F"/>
    <w:rsid w:val="007F0B83"/>
    <w:rsid w:val="007F4FCD"/>
    <w:rsid w:val="007F6611"/>
    <w:rsid w:val="008010DD"/>
    <w:rsid w:val="00802579"/>
    <w:rsid w:val="008056BE"/>
    <w:rsid w:val="008175E9"/>
    <w:rsid w:val="00817F27"/>
    <w:rsid w:val="00822277"/>
    <w:rsid w:val="00822414"/>
    <w:rsid w:val="00822D9D"/>
    <w:rsid w:val="008242D7"/>
    <w:rsid w:val="00827E05"/>
    <w:rsid w:val="008311A3"/>
    <w:rsid w:val="00835EB6"/>
    <w:rsid w:val="00836238"/>
    <w:rsid w:val="0085574A"/>
    <w:rsid w:val="00862D4B"/>
    <w:rsid w:val="00871FD5"/>
    <w:rsid w:val="00886119"/>
    <w:rsid w:val="00895C06"/>
    <w:rsid w:val="008979B1"/>
    <w:rsid w:val="008A6B25"/>
    <w:rsid w:val="008A6C4F"/>
    <w:rsid w:val="008D0F3F"/>
    <w:rsid w:val="008E0675"/>
    <w:rsid w:val="008E0E46"/>
    <w:rsid w:val="008E35B1"/>
    <w:rsid w:val="008E3A43"/>
    <w:rsid w:val="008E7777"/>
    <w:rsid w:val="008F02A0"/>
    <w:rsid w:val="008F1F35"/>
    <w:rsid w:val="008F321A"/>
    <w:rsid w:val="008F7E5D"/>
    <w:rsid w:val="009050FE"/>
    <w:rsid w:val="00906526"/>
    <w:rsid w:val="00907AD2"/>
    <w:rsid w:val="009111C7"/>
    <w:rsid w:val="00911270"/>
    <w:rsid w:val="00915D65"/>
    <w:rsid w:val="0092654D"/>
    <w:rsid w:val="009334FE"/>
    <w:rsid w:val="00933973"/>
    <w:rsid w:val="00963CBA"/>
    <w:rsid w:val="00974A8D"/>
    <w:rsid w:val="0099001C"/>
    <w:rsid w:val="00991261"/>
    <w:rsid w:val="009A00F2"/>
    <w:rsid w:val="009A1A51"/>
    <w:rsid w:val="009B784B"/>
    <w:rsid w:val="009D04D9"/>
    <w:rsid w:val="009D2BF9"/>
    <w:rsid w:val="009D36B1"/>
    <w:rsid w:val="009E037D"/>
    <w:rsid w:val="009E21FA"/>
    <w:rsid w:val="009F277A"/>
    <w:rsid w:val="009F3A17"/>
    <w:rsid w:val="009F3AEC"/>
    <w:rsid w:val="00A00F6B"/>
    <w:rsid w:val="00A07B2F"/>
    <w:rsid w:val="00A11117"/>
    <w:rsid w:val="00A1427D"/>
    <w:rsid w:val="00A178D3"/>
    <w:rsid w:val="00A36006"/>
    <w:rsid w:val="00A42EB2"/>
    <w:rsid w:val="00A50936"/>
    <w:rsid w:val="00A5250B"/>
    <w:rsid w:val="00A72F22"/>
    <w:rsid w:val="00A748A6"/>
    <w:rsid w:val="00A74999"/>
    <w:rsid w:val="00A805EB"/>
    <w:rsid w:val="00A80961"/>
    <w:rsid w:val="00A879A4"/>
    <w:rsid w:val="00AA065E"/>
    <w:rsid w:val="00AA426C"/>
    <w:rsid w:val="00AA617C"/>
    <w:rsid w:val="00AC7706"/>
    <w:rsid w:val="00AD3FD0"/>
    <w:rsid w:val="00AD741B"/>
    <w:rsid w:val="00AE1A34"/>
    <w:rsid w:val="00AE31D0"/>
    <w:rsid w:val="00B02F4A"/>
    <w:rsid w:val="00B16223"/>
    <w:rsid w:val="00B30179"/>
    <w:rsid w:val="00B33EC0"/>
    <w:rsid w:val="00B41CEE"/>
    <w:rsid w:val="00B51CA7"/>
    <w:rsid w:val="00B71BDC"/>
    <w:rsid w:val="00B81E12"/>
    <w:rsid w:val="00B82575"/>
    <w:rsid w:val="00B84573"/>
    <w:rsid w:val="00B902A6"/>
    <w:rsid w:val="00B965E3"/>
    <w:rsid w:val="00BA02A0"/>
    <w:rsid w:val="00BA177E"/>
    <w:rsid w:val="00BA1781"/>
    <w:rsid w:val="00BB02A8"/>
    <w:rsid w:val="00BB2C95"/>
    <w:rsid w:val="00BC413E"/>
    <w:rsid w:val="00BC4A97"/>
    <w:rsid w:val="00BC74E9"/>
    <w:rsid w:val="00BD2146"/>
    <w:rsid w:val="00BE4F74"/>
    <w:rsid w:val="00BE52DC"/>
    <w:rsid w:val="00BE618E"/>
    <w:rsid w:val="00BF4485"/>
    <w:rsid w:val="00BF4F5D"/>
    <w:rsid w:val="00C00341"/>
    <w:rsid w:val="00C14072"/>
    <w:rsid w:val="00C17699"/>
    <w:rsid w:val="00C25B9E"/>
    <w:rsid w:val="00C30CCA"/>
    <w:rsid w:val="00C33A89"/>
    <w:rsid w:val="00C36701"/>
    <w:rsid w:val="00C41A28"/>
    <w:rsid w:val="00C463DD"/>
    <w:rsid w:val="00C67B87"/>
    <w:rsid w:val="00C745C3"/>
    <w:rsid w:val="00C8204B"/>
    <w:rsid w:val="00CE4A8F"/>
    <w:rsid w:val="00CF7843"/>
    <w:rsid w:val="00D11884"/>
    <w:rsid w:val="00D2031B"/>
    <w:rsid w:val="00D25FE2"/>
    <w:rsid w:val="00D30829"/>
    <w:rsid w:val="00D317BB"/>
    <w:rsid w:val="00D33331"/>
    <w:rsid w:val="00D36BEB"/>
    <w:rsid w:val="00D43252"/>
    <w:rsid w:val="00D44A41"/>
    <w:rsid w:val="00D56172"/>
    <w:rsid w:val="00D63626"/>
    <w:rsid w:val="00D7433B"/>
    <w:rsid w:val="00D81BB9"/>
    <w:rsid w:val="00D8341E"/>
    <w:rsid w:val="00D83CD1"/>
    <w:rsid w:val="00D87B56"/>
    <w:rsid w:val="00D978C6"/>
    <w:rsid w:val="00DA34DD"/>
    <w:rsid w:val="00DA67AD"/>
    <w:rsid w:val="00DB5D0F"/>
    <w:rsid w:val="00DB5E48"/>
    <w:rsid w:val="00DC3242"/>
    <w:rsid w:val="00DD6A25"/>
    <w:rsid w:val="00DE36FE"/>
    <w:rsid w:val="00DE3A0C"/>
    <w:rsid w:val="00DE47FC"/>
    <w:rsid w:val="00DF12F7"/>
    <w:rsid w:val="00E02C81"/>
    <w:rsid w:val="00E0364A"/>
    <w:rsid w:val="00E130AB"/>
    <w:rsid w:val="00E30B7D"/>
    <w:rsid w:val="00E31970"/>
    <w:rsid w:val="00E55759"/>
    <w:rsid w:val="00E56114"/>
    <w:rsid w:val="00E61967"/>
    <w:rsid w:val="00E66A1A"/>
    <w:rsid w:val="00E7260F"/>
    <w:rsid w:val="00E87921"/>
    <w:rsid w:val="00E903CF"/>
    <w:rsid w:val="00E96630"/>
    <w:rsid w:val="00EA264E"/>
    <w:rsid w:val="00EA4C90"/>
    <w:rsid w:val="00EC4A6A"/>
    <w:rsid w:val="00ED1024"/>
    <w:rsid w:val="00ED7A2A"/>
    <w:rsid w:val="00EE20B2"/>
    <w:rsid w:val="00EF1D7F"/>
    <w:rsid w:val="00F033C8"/>
    <w:rsid w:val="00F0399B"/>
    <w:rsid w:val="00F10CCD"/>
    <w:rsid w:val="00F16F22"/>
    <w:rsid w:val="00F220C4"/>
    <w:rsid w:val="00F4068E"/>
    <w:rsid w:val="00F409CA"/>
    <w:rsid w:val="00F41476"/>
    <w:rsid w:val="00F43682"/>
    <w:rsid w:val="00F53544"/>
    <w:rsid w:val="00F53EDA"/>
    <w:rsid w:val="00F663AF"/>
    <w:rsid w:val="00F7753D"/>
    <w:rsid w:val="00F830AD"/>
    <w:rsid w:val="00F842C1"/>
    <w:rsid w:val="00F85F34"/>
    <w:rsid w:val="00F938F6"/>
    <w:rsid w:val="00FA06F7"/>
    <w:rsid w:val="00FA4D13"/>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BFD294-78AC-4D52-ABDA-16F57DF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qFormat/>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character" w:styleId="CommentReference">
    <w:name w:val="annotation reference"/>
    <w:basedOn w:val="DefaultParagraphFont"/>
    <w:semiHidden/>
    <w:unhideWhenUsed/>
    <w:rsid w:val="007C52DF"/>
    <w:rPr>
      <w:sz w:val="16"/>
      <w:szCs w:val="16"/>
    </w:rPr>
  </w:style>
  <w:style w:type="paragraph" w:styleId="CommentText">
    <w:name w:val="annotation text"/>
    <w:basedOn w:val="Normal"/>
    <w:link w:val="CommentTextChar"/>
    <w:semiHidden/>
    <w:unhideWhenUsed/>
    <w:rsid w:val="007C52DF"/>
    <w:pPr>
      <w:spacing w:line="240" w:lineRule="auto"/>
    </w:pPr>
  </w:style>
  <w:style w:type="character" w:customStyle="1" w:styleId="CommentTextChar">
    <w:name w:val="Comment Text Char"/>
    <w:basedOn w:val="DefaultParagraphFont"/>
    <w:link w:val="CommentText"/>
    <w:semiHidden/>
    <w:rsid w:val="007C52DF"/>
    <w:rPr>
      <w:lang w:eastAsia="en-US"/>
    </w:rPr>
  </w:style>
  <w:style w:type="paragraph" w:styleId="CommentSubject">
    <w:name w:val="annotation subject"/>
    <w:basedOn w:val="CommentText"/>
    <w:next w:val="CommentText"/>
    <w:link w:val="CommentSubjectChar"/>
    <w:semiHidden/>
    <w:unhideWhenUsed/>
    <w:rsid w:val="007C52DF"/>
    <w:rPr>
      <w:b/>
      <w:bCs/>
    </w:rPr>
  </w:style>
  <w:style w:type="character" w:customStyle="1" w:styleId="CommentSubjectChar">
    <w:name w:val="Comment Subject Char"/>
    <w:basedOn w:val="CommentTextChar"/>
    <w:link w:val="CommentSubject"/>
    <w:semiHidden/>
    <w:rsid w:val="007C52DF"/>
    <w:rPr>
      <w:b/>
      <w:bCs/>
      <w:lang w:eastAsia="en-US"/>
    </w:rPr>
  </w:style>
  <w:style w:type="paragraph" w:styleId="BalloonText">
    <w:name w:val="Balloon Text"/>
    <w:basedOn w:val="Normal"/>
    <w:link w:val="BalloonTextChar"/>
    <w:semiHidden/>
    <w:unhideWhenUsed/>
    <w:rsid w:val="007C5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52DF"/>
    <w:rPr>
      <w:rFonts w:ascii="Segoe UI" w:hAnsi="Segoe UI" w:cs="Segoe UI"/>
      <w:sz w:val="18"/>
      <w:szCs w:val="18"/>
      <w:lang w:eastAsia="en-US"/>
    </w:rPr>
  </w:style>
  <w:style w:type="character" w:customStyle="1" w:styleId="SingleTxtGChar">
    <w:name w:val="_ Single Txt_G Char"/>
    <w:qFormat/>
    <w:locked/>
    <w:rsid w:val="009050FE"/>
    <w:rPr>
      <w:lang w:eastAsia="en-US"/>
    </w:rPr>
  </w:style>
  <w:style w:type="paragraph" w:styleId="Caption">
    <w:name w:val="caption"/>
    <w:basedOn w:val="Normal"/>
    <w:next w:val="Normal"/>
    <w:unhideWhenUsed/>
    <w:qFormat/>
    <w:rsid w:val="00B41CEE"/>
    <w:pPr>
      <w:suppressAutoHyphens w:val="0"/>
      <w:spacing w:after="200" w:line="240" w:lineRule="auto"/>
      <w:jc w:val="center"/>
    </w:pPr>
    <w:rPr>
      <w:rFonts w:ascii="Trebuchet MS" w:hAnsi="Trebuchet MS"/>
      <w:b/>
      <w:bCs/>
      <w:sz w:val="18"/>
      <w:szCs w:val="18"/>
      <w:lang w:val="en-US" w:eastAsia="fr-FR"/>
    </w:rPr>
  </w:style>
  <w:style w:type="paragraph" w:customStyle="1" w:styleId="GHSHeading3">
    <w:name w:val="GHSHeading3"/>
    <w:basedOn w:val="Heading3"/>
    <w:rsid w:val="00F220C4"/>
    <w:pPr>
      <w:keepNext/>
      <w:tabs>
        <w:tab w:val="left" w:pos="1418"/>
      </w:tabs>
      <w:suppressAutoHyphens w:val="0"/>
      <w:autoSpaceDE w:val="0"/>
      <w:autoSpaceDN w:val="0"/>
      <w:adjustRightInd w:val="0"/>
    </w:pPr>
    <w:rPr>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923995937">
      <w:bodyDiv w:val="1"/>
      <w:marLeft w:val="0"/>
      <w:marRight w:val="0"/>
      <w:marTop w:val="0"/>
      <w:marBottom w:val="0"/>
      <w:divBdr>
        <w:top w:val="none" w:sz="0" w:space="0" w:color="auto"/>
        <w:left w:val="none" w:sz="0" w:space="0" w:color="auto"/>
        <w:bottom w:val="none" w:sz="0" w:space="0" w:color="auto"/>
        <w:right w:val="none" w:sz="0" w:space="0" w:color="auto"/>
      </w:divBdr>
    </w:div>
    <w:div w:id="1283001063">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21213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53C6-4854-4FBA-80D5-C77CE365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3</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2018-11-26T07:31:00Z</cp:lastPrinted>
  <dcterms:created xsi:type="dcterms:W3CDTF">2018-11-26T07:32:00Z</dcterms:created>
  <dcterms:modified xsi:type="dcterms:W3CDTF">2018-11-26T07:32:00Z</dcterms:modified>
</cp:coreProperties>
</file>