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4D641558" w14:textId="77777777" w:rsidTr="00691F20">
        <w:trPr>
          <w:cantSplit/>
          <w:trHeight w:hRule="exact" w:val="851"/>
        </w:trPr>
        <w:tc>
          <w:tcPr>
            <w:tcW w:w="9639" w:type="dxa"/>
            <w:tcBorders>
              <w:bottom w:val="single" w:sz="4" w:space="0" w:color="auto"/>
            </w:tcBorders>
            <w:vAlign w:val="bottom"/>
          </w:tcPr>
          <w:p w14:paraId="0090C862" w14:textId="3E9967CA" w:rsidR="0099001C" w:rsidRPr="0099001C" w:rsidRDefault="0099001C" w:rsidP="00845662">
            <w:pPr>
              <w:jc w:val="right"/>
              <w:rPr>
                <w:b/>
                <w:sz w:val="40"/>
                <w:szCs w:val="40"/>
              </w:rPr>
            </w:pPr>
            <w:bookmarkStart w:id="0" w:name="_Hlk529529062"/>
            <w:bookmarkEnd w:id="0"/>
            <w:r w:rsidRPr="0099001C">
              <w:rPr>
                <w:b/>
                <w:sz w:val="40"/>
                <w:szCs w:val="40"/>
              </w:rPr>
              <w:t>UN/SCEGHS/</w:t>
            </w:r>
            <w:r w:rsidR="00A8760B" w:rsidRPr="006A5DC2">
              <w:rPr>
                <w:b/>
                <w:sz w:val="40"/>
                <w:szCs w:val="40"/>
              </w:rPr>
              <w:t>3</w:t>
            </w:r>
            <w:r w:rsidR="000E6633" w:rsidRPr="006A5DC2">
              <w:rPr>
                <w:b/>
                <w:sz w:val="40"/>
                <w:szCs w:val="40"/>
              </w:rPr>
              <w:t>6</w:t>
            </w:r>
            <w:r w:rsidRPr="006A5DC2">
              <w:rPr>
                <w:b/>
                <w:sz w:val="40"/>
                <w:szCs w:val="40"/>
              </w:rPr>
              <w:t>/</w:t>
            </w:r>
            <w:r w:rsidRPr="0099001C">
              <w:rPr>
                <w:b/>
                <w:sz w:val="40"/>
                <w:szCs w:val="40"/>
              </w:rPr>
              <w:t>INF.</w:t>
            </w:r>
            <w:r w:rsidR="008A64D9">
              <w:rPr>
                <w:b/>
                <w:sz w:val="40"/>
                <w:szCs w:val="40"/>
              </w:rPr>
              <w:t>16</w:t>
            </w:r>
          </w:p>
        </w:tc>
      </w:tr>
      <w:tr w:rsidR="00D1725B" w:rsidRPr="00D1725B" w14:paraId="62606DEF" w14:textId="77777777" w:rsidTr="008B6E26">
        <w:trPr>
          <w:cantSplit/>
          <w:trHeight w:hRule="exact" w:val="3114"/>
        </w:trPr>
        <w:tc>
          <w:tcPr>
            <w:tcW w:w="9639" w:type="dxa"/>
            <w:tcBorders>
              <w:top w:val="single" w:sz="4" w:space="0" w:color="auto"/>
            </w:tcBorders>
          </w:tcPr>
          <w:p w14:paraId="13939E39" w14:textId="77777777" w:rsidR="00965932" w:rsidRPr="00D1725B" w:rsidRDefault="00965932" w:rsidP="00965932">
            <w:pPr>
              <w:spacing w:before="120"/>
              <w:rPr>
                <w:b/>
                <w:sz w:val="24"/>
                <w:szCs w:val="24"/>
                <w:lang w:val="en-US"/>
              </w:rPr>
            </w:pPr>
            <w:r w:rsidRPr="00D1725B">
              <w:rPr>
                <w:b/>
                <w:sz w:val="24"/>
                <w:szCs w:val="24"/>
                <w:lang w:val="en-US"/>
              </w:rPr>
              <w:t>Committee of Experts on the Transport of Dangerous Goods</w:t>
            </w:r>
            <w:r w:rsidRPr="00D1725B">
              <w:rPr>
                <w:b/>
                <w:sz w:val="24"/>
                <w:szCs w:val="24"/>
                <w:lang w:val="en-US"/>
              </w:rPr>
              <w:br/>
              <w:t>and on the Globally Harmonized System of Classification</w:t>
            </w:r>
            <w:r w:rsidRPr="00D1725B">
              <w:rPr>
                <w:b/>
                <w:sz w:val="24"/>
                <w:szCs w:val="24"/>
                <w:lang w:val="en-US"/>
              </w:rPr>
              <w:br/>
              <w:t>and Labelling of Chemicals</w:t>
            </w:r>
          </w:p>
          <w:p w14:paraId="2129BA10" w14:textId="6E25D8C8" w:rsidR="00965932" w:rsidRPr="00D1725B" w:rsidRDefault="00965932" w:rsidP="00965932">
            <w:pPr>
              <w:tabs>
                <w:tab w:val="left" w:pos="7230"/>
                <w:tab w:val="right" w:pos="9300"/>
              </w:tabs>
              <w:spacing w:before="120"/>
              <w:rPr>
                <w:rFonts w:ascii="Helv" w:hAnsi="Helv" w:cs="Helv"/>
                <w:b/>
                <w:lang w:val="en-US"/>
              </w:rPr>
            </w:pPr>
            <w:r w:rsidRPr="00D1725B">
              <w:rPr>
                <w:b/>
                <w:lang w:val="en-US"/>
              </w:rPr>
              <w:t>Sub-Committee of Experts on the Globally Harmonized</w:t>
            </w:r>
            <w:r w:rsidRPr="00D1725B">
              <w:rPr>
                <w:b/>
                <w:lang w:val="en-US"/>
              </w:rPr>
              <w:br/>
              <w:t>System of Classification and Labelling of Chemicals</w:t>
            </w:r>
            <w:r w:rsidRPr="00D1725B">
              <w:rPr>
                <w:b/>
                <w:lang w:val="en-US"/>
              </w:rPr>
              <w:tab/>
            </w:r>
            <w:r w:rsidR="00810F4E">
              <w:rPr>
                <w:b/>
                <w:lang w:val="en-US"/>
              </w:rPr>
              <w:t>12</w:t>
            </w:r>
            <w:r w:rsidR="00097C4F" w:rsidRPr="00AF5D34">
              <w:rPr>
                <w:b/>
                <w:lang w:val="en-US"/>
              </w:rPr>
              <w:t xml:space="preserve"> </w:t>
            </w:r>
            <w:r w:rsidRPr="00AF5D34">
              <w:rPr>
                <w:b/>
                <w:lang w:val="en-US"/>
              </w:rPr>
              <w:t>November 201</w:t>
            </w:r>
            <w:r w:rsidR="00673AB0" w:rsidRPr="00AF5D34">
              <w:rPr>
                <w:b/>
                <w:lang w:val="en-US"/>
              </w:rPr>
              <w:t>8</w:t>
            </w:r>
          </w:p>
          <w:p w14:paraId="58D3CAFB" w14:textId="77777777" w:rsidR="00965932" w:rsidRPr="00D1725B" w:rsidRDefault="00965932" w:rsidP="00965932">
            <w:pPr>
              <w:jc w:val="both"/>
              <w:rPr>
                <w:b/>
              </w:rPr>
            </w:pPr>
          </w:p>
          <w:p w14:paraId="501EF0D9" w14:textId="7F0C5709" w:rsidR="00815BB8" w:rsidRPr="00D1725B" w:rsidRDefault="00815BB8" w:rsidP="00815BB8">
            <w:pPr>
              <w:jc w:val="both"/>
            </w:pPr>
            <w:r w:rsidRPr="00D1725B">
              <w:rPr>
                <w:b/>
              </w:rPr>
              <w:t>Thirty-</w:t>
            </w:r>
            <w:r w:rsidR="00673AB0" w:rsidRPr="00D1725B">
              <w:rPr>
                <w:b/>
              </w:rPr>
              <w:t>sixth</w:t>
            </w:r>
            <w:r w:rsidRPr="00D1725B">
              <w:rPr>
                <w:b/>
              </w:rPr>
              <w:t xml:space="preserve"> session</w:t>
            </w:r>
            <w:r w:rsidRPr="00D1725B">
              <w:t xml:space="preserve"> </w:t>
            </w:r>
          </w:p>
          <w:p w14:paraId="4E0AA3BA" w14:textId="7720F805" w:rsidR="00815BB8" w:rsidRPr="00D1725B" w:rsidRDefault="00815BB8" w:rsidP="00815BB8">
            <w:pPr>
              <w:jc w:val="both"/>
            </w:pPr>
            <w:r w:rsidRPr="00D1725B">
              <w:t xml:space="preserve">Geneva, </w:t>
            </w:r>
            <w:r w:rsidR="000E6633" w:rsidRPr="00D1725B">
              <w:t>5</w:t>
            </w:r>
            <w:r w:rsidR="00673AB0" w:rsidRPr="00D1725B">
              <w:t>-</w:t>
            </w:r>
            <w:r w:rsidR="000E6633" w:rsidRPr="00D1725B">
              <w:t>7</w:t>
            </w:r>
            <w:r w:rsidR="00673AB0" w:rsidRPr="00D1725B">
              <w:t xml:space="preserve"> </w:t>
            </w:r>
            <w:r w:rsidRPr="00D1725B">
              <w:t>December 201</w:t>
            </w:r>
            <w:r w:rsidR="000E6633" w:rsidRPr="00D1725B">
              <w:t>8</w:t>
            </w:r>
          </w:p>
          <w:p w14:paraId="0937E9D2" w14:textId="6DC70ED8" w:rsidR="00815BB8" w:rsidRPr="00D1725B" w:rsidRDefault="00845662" w:rsidP="00815BB8">
            <w:pPr>
              <w:rPr>
                <w:b/>
              </w:rPr>
            </w:pPr>
            <w:r w:rsidRPr="00D1725B">
              <w:t xml:space="preserve">Item </w:t>
            </w:r>
            <w:r w:rsidR="00673AB0" w:rsidRPr="00D1725B">
              <w:t>4</w:t>
            </w:r>
            <w:r w:rsidRPr="00D1725B">
              <w:t xml:space="preserve"> (b)</w:t>
            </w:r>
            <w:r w:rsidR="00815BB8" w:rsidRPr="00D1725B">
              <w:t xml:space="preserve"> of the provisional agenda</w:t>
            </w:r>
          </w:p>
          <w:p w14:paraId="4111C933" w14:textId="4FD86BC4" w:rsidR="0099001C" w:rsidRPr="00D1725B" w:rsidRDefault="00AE0611" w:rsidP="00815BB8">
            <w:pPr>
              <w:spacing w:line="240" w:lineRule="exact"/>
            </w:pPr>
            <w:r w:rsidRPr="00AE0611">
              <w:rPr>
                <w:b/>
                <w:bCs/>
              </w:rPr>
              <w:t>Hazard communication:</w:t>
            </w:r>
            <w:r>
              <w:br/>
            </w:r>
            <w:r>
              <w:rPr>
                <w:b/>
              </w:rPr>
              <w:t>i</w:t>
            </w:r>
            <w:r w:rsidR="00097C4F" w:rsidRPr="00D1725B">
              <w:rPr>
                <w:b/>
              </w:rPr>
              <w:t>mprovement of annexes 1 to 3 and further rationalization of precautionary statements</w:t>
            </w:r>
          </w:p>
        </w:tc>
      </w:tr>
    </w:tbl>
    <w:p w14:paraId="286663CF" w14:textId="642ECFA0" w:rsidR="00815BB8" w:rsidRPr="00D1725B" w:rsidRDefault="00965932" w:rsidP="002A49D5">
      <w:pPr>
        <w:pStyle w:val="HChG"/>
        <w:jc w:val="both"/>
        <w:rPr>
          <w:rFonts w:eastAsia="MS Mincho"/>
          <w:i/>
          <w:lang w:val="en-US" w:eastAsia="ja-JP"/>
        </w:rPr>
      </w:pPr>
      <w:r w:rsidRPr="00D1725B">
        <w:rPr>
          <w:rFonts w:eastAsia="MS Mincho"/>
          <w:lang w:val="en-US" w:eastAsia="ja-JP"/>
        </w:rPr>
        <w:tab/>
      </w:r>
      <w:r w:rsidRPr="00D1725B">
        <w:rPr>
          <w:rFonts w:eastAsia="MS Mincho"/>
          <w:lang w:val="en-US" w:eastAsia="ja-JP"/>
        </w:rPr>
        <w:tab/>
      </w:r>
      <w:r w:rsidR="00815BB8" w:rsidRPr="00D1725B">
        <w:rPr>
          <w:rFonts w:eastAsia="MS Mincho"/>
          <w:lang w:val="en-US" w:eastAsia="ja-JP"/>
        </w:rPr>
        <w:t xml:space="preserve">Proposal </w:t>
      </w:r>
      <w:r w:rsidR="00CF5706">
        <w:rPr>
          <w:rFonts w:eastAsia="MS Mincho"/>
          <w:lang w:val="en-US" w:eastAsia="ja-JP"/>
        </w:rPr>
        <w:t xml:space="preserve">for </w:t>
      </w:r>
      <w:r w:rsidR="006A5DC2" w:rsidRPr="00D1725B">
        <w:rPr>
          <w:rFonts w:eastAsia="MS Mincho"/>
          <w:lang w:val="en-US" w:eastAsia="ja-JP"/>
        </w:rPr>
        <w:t xml:space="preserve">the programme of work for the next biennium: </w:t>
      </w:r>
      <w:r w:rsidR="009D7F95" w:rsidRPr="00D1725B">
        <w:rPr>
          <w:rFonts w:eastAsia="MS Mincho"/>
          <w:lang w:val="en-US" w:eastAsia="ja-JP"/>
        </w:rPr>
        <w:t xml:space="preserve">review </w:t>
      </w:r>
      <w:r w:rsidR="00546555" w:rsidRPr="00D1725B">
        <w:rPr>
          <w:rFonts w:eastAsia="MS Mincho"/>
          <w:lang w:val="en-US" w:eastAsia="ja-JP"/>
        </w:rPr>
        <w:t xml:space="preserve">of </w:t>
      </w:r>
      <w:r w:rsidR="002A49D5" w:rsidRPr="00D1725B">
        <w:rPr>
          <w:rFonts w:eastAsia="MS Mincho"/>
          <w:lang w:val="en-US" w:eastAsia="ja-JP"/>
        </w:rPr>
        <w:t>precautionary pictogram</w:t>
      </w:r>
      <w:r w:rsidR="00546555" w:rsidRPr="00D1725B">
        <w:rPr>
          <w:rFonts w:eastAsia="MS Mincho"/>
          <w:lang w:val="en-US" w:eastAsia="ja-JP"/>
        </w:rPr>
        <w:t>s</w:t>
      </w:r>
      <w:r w:rsidR="002A49D5" w:rsidRPr="00D1725B">
        <w:rPr>
          <w:rFonts w:eastAsia="MS Mincho"/>
          <w:lang w:val="en-US" w:eastAsia="ja-JP"/>
        </w:rPr>
        <w:t xml:space="preserve"> </w:t>
      </w:r>
      <w:r w:rsidR="009D7F95" w:rsidRPr="00D1725B">
        <w:rPr>
          <w:rFonts w:eastAsia="MS Mincho"/>
          <w:lang w:val="en-US" w:eastAsia="ja-JP"/>
        </w:rPr>
        <w:t>related</w:t>
      </w:r>
      <w:r w:rsidR="002A49D5" w:rsidRPr="00D1725B">
        <w:rPr>
          <w:rFonts w:eastAsia="MS Mincho"/>
          <w:lang w:val="en-US" w:eastAsia="ja-JP"/>
        </w:rPr>
        <w:t xml:space="preserve"> to </w:t>
      </w:r>
      <w:r w:rsidR="009D7F95" w:rsidRPr="00D1725B">
        <w:rPr>
          <w:rFonts w:eastAsia="MS Mincho"/>
          <w:lang w:val="en-US" w:eastAsia="ja-JP"/>
        </w:rPr>
        <w:t xml:space="preserve">existing </w:t>
      </w:r>
      <w:r w:rsidR="002A49D5" w:rsidRPr="00D1725B">
        <w:rPr>
          <w:rFonts w:eastAsia="MS Mincho"/>
          <w:lang w:val="en-US" w:eastAsia="ja-JP"/>
        </w:rPr>
        <w:t>precautionary statement</w:t>
      </w:r>
      <w:r w:rsidR="00546555" w:rsidRPr="00D1725B">
        <w:rPr>
          <w:rFonts w:eastAsia="MS Mincho"/>
          <w:lang w:val="en-US" w:eastAsia="ja-JP"/>
        </w:rPr>
        <w:t>s</w:t>
      </w:r>
      <w:r w:rsidR="009D7F95" w:rsidRPr="00D1725B">
        <w:rPr>
          <w:rFonts w:eastAsia="MS Mincho"/>
          <w:lang w:val="en-US" w:eastAsia="ja-JP"/>
        </w:rPr>
        <w:t xml:space="preserve"> </w:t>
      </w:r>
      <w:r w:rsidR="005B4FAB" w:rsidRPr="00D1725B">
        <w:rPr>
          <w:rFonts w:eastAsia="MS Mincho"/>
          <w:lang w:val="en-US" w:eastAsia="ja-JP"/>
        </w:rPr>
        <w:t>and</w:t>
      </w:r>
      <w:r w:rsidR="009D7F95" w:rsidRPr="00D1725B">
        <w:rPr>
          <w:rFonts w:eastAsia="MS Mincho"/>
          <w:lang w:val="en-US" w:eastAsia="ja-JP"/>
        </w:rPr>
        <w:t xml:space="preserve"> review </w:t>
      </w:r>
      <w:r w:rsidR="006A5DC2" w:rsidRPr="00D1725B">
        <w:rPr>
          <w:rFonts w:eastAsia="MS Mincho"/>
          <w:lang w:val="en-US" w:eastAsia="ja-JP"/>
        </w:rPr>
        <w:t>of</w:t>
      </w:r>
      <w:r w:rsidR="009D7F95" w:rsidRPr="00D1725B">
        <w:rPr>
          <w:rFonts w:eastAsia="MS Mincho"/>
          <w:lang w:val="en-US" w:eastAsia="ja-JP"/>
        </w:rPr>
        <w:t xml:space="preserve"> existing health hazard pictograms for comprehensibility on consumer products</w:t>
      </w:r>
    </w:p>
    <w:p w14:paraId="7B0FCAF2" w14:textId="1BA7A190" w:rsidR="00815BB8" w:rsidRPr="00D1725B" w:rsidRDefault="00815BB8" w:rsidP="00815BB8">
      <w:pPr>
        <w:pStyle w:val="H1G"/>
      </w:pPr>
      <w:r w:rsidRPr="00D1725B">
        <w:tab/>
      </w:r>
      <w:r w:rsidRPr="00D1725B">
        <w:tab/>
        <w:t xml:space="preserve">Transmitted by </w:t>
      </w:r>
      <w:r w:rsidRPr="00D1725B">
        <w:rPr>
          <w:rFonts w:eastAsia="MS Mincho"/>
        </w:rPr>
        <w:t xml:space="preserve">the </w:t>
      </w:r>
      <w:r w:rsidR="00097C4F" w:rsidRPr="00D1725B">
        <w:rPr>
          <w:rFonts w:eastAsia="MS Mincho"/>
        </w:rPr>
        <w:t>International Association for Soaps, Detergents and Maintenance Products (AISE)</w:t>
      </w:r>
      <w:r w:rsidR="009D7F95" w:rsidRPr="00D1725B">
        <w:rPr>
          <w:rFonts w:eastAsia="MS Mincho"/>
        </w:rPr>
        <w:t>, Responsible Packaging Management of Southern Africa (RPMASA)</w:t>
      </w:r>
      <w:r w:rsidR="00097C4F" w:rsidRPr="00D1725B">
        <w:rPr>
          <w:rFonts w:eastAsia="MS Mincho"/>
        </w:rPr>
        <w:t xml:space="preserve"> </w:t>
      </w:r>
    </w:p>
    <w:p w14:paraId="27E9A272" w14:textId="77777777" w:rsidR="00815BB8" w:rsidRPr="00D1725B" w:rsidRDefault="00815BB8" w:rsidP="00815BB8">
      <w:pPr>
        <w:pStyle w:val="HChG"/>
        <w:rPr>
          <w:rFonts w:eastAsia="MS Mincho"/>
        </w:rPr>
      </w:pPr>
      <w:r w:rsidRPr="00D1725B">
        <w:rPr>
          <w:rFonts w:eastAsia="MS Mincho"/>
        </w:rPr>
        <w:tab/>
      </w:r>
      <w:r w:rsidRPr="00D1725B">
        <w:rPr>
          <w:rFonts w:eastAsia="MS Mincho"/>
        </w:rPr>
        <w:tab/>
        <w:t>Background</w:t>
      </w:r>
    </w:p>
    <w:p w14:paraId="4909C50F" w14:textId="031EEC31" w:rsidR="001F3363" w:rsidRPr="008A64D9" w:rsidRDefault="009D7F95" w:rsidP="008A64D9">
      <w:pPr>
        <w:pStyle w:val="SingleTxtG"/>
        <w:numPr>
          <w:ilvl w:val="0"/>
          <w:numId w:val="18"/>
        </w:numPr>
        <w:ind w:left="1134" w:firstLine="0"/>
      </w:pPr>
      <w:r w:rsidRPr="008A64D9">
        <w:t>A</w:t>
      </w:r>
      <w:r w:rsidR="001F3363" w:rsidRPr="008A64D9">
        <w:t>t its thirty-fifth session (4-6 July 2018)</w:t>
      </w:r>
      <w:r w:rsidRPr="008A64D9">
        <w:t xml:space="preserve"> the Sub-Committee agreed </w:t>
      </w:r>
      <w:r w:rsidR="001F3363" w:rsidRPr="008A64D9">
        <w:t xml:space="preserve">that the </w:t>
      </w:r>
      <w:r w:rsidRPr="008A64D9">
        <w:t xml:space="preserve">precautionary pictograms </w:t>
      </w:r>
      <w:r w:rsidR="001F3363" w:rsidRPr="008A64D9">
        <w:t xml:space="preserve">proposed </w:t>
      </w:r>
      <w:r w:rsidRPr="008A64D9">
        <w:t xml:space="preserve">by </w:t>
      </w:r>
      <w:r w:rsidR="001F3363" w:rsidRPr="008A64D9">
        <w:t xml:space="preserve">AISE and </w:t>
      </w:r>
      <w:r w:rsidRPr="008A64D9">
        <w:t xml:space="preserve">the </w:t>
      </w:r>
      <w:r w:rsidR="001F3363" w:rsidRPr="008A64D9">
        <w:t xml:space="preserve">Japan Soap and Detergent Association (JSDA) </w:t>
      </w:r>
      <w:r w:rsidRPr="008A64D9">
        <w:t>could</w:t>
      </w:r>
      <w:r w:rsidR="00673AB0" w:rsidRPr="008A64D9">
        <w:t xml:space="preserve"> be</w:t>
      </w:r>
      <w:r w:rsidRPr="008A64D9">
        <w:t xml:space="preserve"> </w:t>
      </w:r>
      <w:r w:rsidR="00205C36" w:rsidRPr="008A64D9">
        <w:t xml:space="preserve">included </w:t>
      </w:r>
      <w:r w:rsidR="001F3363" w:rsidRPr="008A64D9">
        <w:t>in Annex 3, Section 5 of the GHS</w:t>
      </w:r>
      <w:r w:rsidR="00205C36" w:rsidRPr="008A64D9">
        <w:t xml:space="preserve"> as they were already in use in </w:t>
      </w:r>
      <w:proofErr w:type="gramStart"/>
      <w:r w:rsidR="00205C36" w:rsidRPr="008A64D9">
        <w:t>a number of</w:t>
      </w:r>
      <w:proofErr w:type="gramEnd"/>
      <w:r w:rsidR="00205C36" w:rsidRPr="008A64D9">
        <w:t xml:space="preserve"> countries with a high rate of understanding</w:t>
      </w:r>
      <w:r w:rsidR="001F3363" w:rsidRPr="008A64D9">
        <w:t>. See document ST/SG/AC.10/C.4/2018/5.</w:t>
      </w:r>
      <w:r w:rsidR="00205C36" w:rsidRPr="008A64D9">
        <w:t xml:space="preserve"> </w:t>
      </w:r>
    </w:p>
    <w:p w14:paraId="16D99B88" w14:textId="051C0357" w:rsidR="00EF4992" w:rsidRPr="008A64D9" w:rsidRDefault="00EF4992" w:rsidP="008A64D9">
      <w:pPr>
        <w:pStyle w:val="SingleTxtG"/>
        <w:numPr>
          <w:ilvl w:val="0"/>
          <w:numId w:val="18"/>
        </w:numPr>
        <w:ind w:left="1134" w:firstLine="0"/>
      </w:pPr>
      <w:r w:rsidRPr="008A64D9">
        <w:t xml:space="preserve">During the </w:t>
      </w:r>
      <w:r w:rsidR="00FD4E39" w:rsidRPr="008A64D9">
        <w:t xml:space="preserve">deliberations </w:t>
      </w:r>
      <w:r w:rsidRPr="008A64D9">
        <w:t>of the informal correspondence group</w:t>
      </w:r>
      <w:r w:rsidR="009D7F95" w:rsidRPr="008A64D9">
        <w:t>,</w:t>
      </w:r>
      <w:r w:rsidRPr="008A64D9">
        <w:t xml:space="preserve"> criteria ha</w:t>
      </w:r>
      <w:r w:rsidR="00320AE0" w:rsidRPr="008A64D9">
        <w:t>d</w:t>
      </w:r>
      <w:r w:rsidRPr="008A64D9">
        <w:t xml:space="preserve"> been discussed and agreed</w:t>
      </w:r>
      <w:r w:rsidR="00FD4E39" w:rsidRPr="008A64D9">
        <w:t>,</w:t>
      </w:r>
      <w:r w:rsidRPr="008A64D9">
        <w:t xml:space="preserve"> on how to consider and select precautionary pictograms.</w:t>
      </w:r>
    </w:p>
    <w:p w14:paraId="35306408" w14:textId="3BAC2944" w:rsidR="001F3363" w:rsidRPr="008A64D9" w:rsidRDefault="00EF4992" w:rsidP="008A64D9">
      <w:pPr>
        <w:pStyle w:val="SingleTxtG"/>
        <w:numPr>
          <w:ilvl w:val="0"/>
          <w:numId w:val="18"/>
        </w:numPr>
        <w:ind w:left="1134" w:firstLine="0"/>
      </w:pPr>
      <w:r w:rsidRPr="008A64D9">
        <w:t>S</w:t>
      </w:r>
      <w:r w:rsidR="001F3363" w:rsidRPr="008A64D9">
        <w:t>ome experts indicated that additional comprehensibility surveys were still ongoing</w:t>
      </w:r>
      <w:r w:rsidR="00320AE0" w:rsidRPr="008A64D9">
        <w:t>, especially in developing countries</w:t>
      </w:r>
      <w:r w:rsidR="001F3363" w:rsidRPr="008A64D9">
        <w:t xml:space="preserve"> to reflect the precautionary statement “Keep out reach of children” </w:t>
      </w:r>
      <w:r w:rsidR="00320AE0" w:rsidRPr="008A64D9">
        <w:t xml:space="preserve">which </w:t>
      </w:r>
      <w:r w:rsidR="001F3363" w:rsidRPr="008A64D9">
        <w:t>could possibly be included in Annex 3 at a future date.</w:t>
      </w:r>
    </w:p>
    <w:p w14:paraId="1C7A6684" w14:textId="33D8E0CD" w:rsidR="00EF4992" w:rsidRPr="008A64D9" w:rsidRDefault="00EF4992" w:rsidP="008A64D9">
      <w:pPr>
        <w:pStyle w:val="SingleTxtG"/>
        <w:numPr>
          <w:ilvl w:val="0"/>
          <w:numId w:val="18"/>
        </w:numPr>
        <w:ind w:left="1134" w:firstLine="0"/>
      </w:pPr>
      <w:r w:rsidRPr="008A64D9">
        <w:t xml:space="preserve">Additional precautionary pictograms are also already currently used by </w:t>
      </w:r>
      <w:r w:rsidR="00320AE0" w:rsidRPr="008A64D9">
        <w:t xml:space="preserve">various </w:t>
      </w:r>
      <w:r w:rsidRPr="008A64D9">
        <w:t>sectors</w:t>
      </w:r>
      <w:r w:rsidR="00320AE0" w:rsidRPr="008A64D9">
        <w:t>,</w:t>
      </w:r>
      <w:r w:rsidRPr="008A64D9">
        <w:t xml:space="preserve"> and regions</w:t>
      </w:r>
      <w:r w:rsidR="00FD4E39" w:rsidRPr="008A64D9">
        <w:t>.</w:t>
      </w:r>
      <w:r w:rsidR="00320AE0" w:rsidRPr="008A64D9">
        <w:t xml:space="preserve"> H</w:t>
      </w:r>
      <w:r w:rsidRPr="008A64D9">
        <w:t xml:space="preserve">armonisation </w:t>
      </w:r>
      <w:r w:rsidR="00FD4E39" w:rsidRPr="008A64D9">
        <w:t xml:space="preserve">of such pictograms </w:t>
      </w:r>
      <w:r w:rsidRPr="008A64D9">
        <w:t xml:space="preserve">at global level can </w:t>
      </w:r>
      <w:r w:rsidR="00320AE0" w:rsidRPr="008A64D9">
        <w:t xml:space="preserve">help to </w:t>
      </w:r>
      <w:r w:rsidRPr="008A64D9">
        <w:t xml:space="preserve">foster a </w:t>
      </w:r>
      <w:r w:rsidR="00FD4E39" w:rsidRPr="008A64D9">
        <w:t xml:space="preserve">better understanding of the hazards for </w:t>
      </w:r>
      <w:r w:rsidRPr="008A64D9">
        <w:t xml:space="preserve">safe use of chemicals. </w:t>
      </w:r>
    </w:p>
    <w:p w14:paraId="1EBBA71A" w14:textId="6D38D16A" w:rsidR="001F3363" w:rsidRPr="008A64D9" w:rsidRDefault="00EF4992" w:rsidP="008A64D9">
      <w:pPr>
        <w:pStyle w:val="SingleTxtG"/>
        <w:numPr>
          <w:ilvl w:val="0"/>
          <w:numId w:val="18"/>
        </w:numPr>
        <w:ind w:left="1134" w:firstLine="0"/>
      </w:pPr>
      <w:r w:rsidRPr="008A64D9">
        <w:t>T</w:t>
      </w:r>
      <w:r w:rsidR="001F3363" w:rsidRPr="008A64D9">
        <w:t>he informal correspondence group i</w:t>
      </w:r>
      <w:r w:rsidRPr="008A64D9">
        <w:t>ndicated its intention</w:t>
      </w:r>
      <w:r w:rsidR="001F3363" w:rsidRPr="008A64D9">
        <w:t xml:space="preserve"> to continue </w:t>
      </w:r>
      <w:r w:rsidRPr="008A64D9">
        <w:t>discussing</w:t>
      </w:r>
      <w:r w:rsidR="001F3363" w:rsidRPr="008A64D9">
        <w:t xml:space="preserve"> the use of precautionary pictograms as an alternative to written precautionary statements.</w:t>
      </w:r>
      <w:r w:rsidR="00320AE0" w:rsidRPr="008A64D9">
        <w:t xml:space="preserve"> This could be particularly helpful in communicating </w:t>
      </w:r>
      <w:r w:rsidR="00023C7A" w:rsidRPr="008A64D9">
        <w:t xml:space="preserve">hazards and </w:t>
      </w:r>
      <w:r w:rsidR="00320AE0" w:rsidRPr="008A64D9">
        <w:t xml:space="preserve">precautions </w:t>
      </w:r>
      <w:r w:rsidR="00AF2405" w:rsidRPr="008A64D9">
        <w:t xml:space="preserve">for consumer products </w:t>
      </w:r>
      <w:r w:rsidR="00320AE0" w:rsidRPr="008A64D9">
        <w:t>in developing countries</w:t>
      </w:r>
      <w:r w:rsidR="00AF2405" w:rsidRPr="008A64D9">
        <w:t>,</w:t>
      </w:r>
      <w:r w:rsidR="00320AE0" w:rsidRPr="008A64D9">
        <w:t xml:space="preserve"> </w:t>
      </w:r>
      <w:r w:rsidR="00023C7A" w:rsidRPr="008A64D9">
        <w:t xml:space="preserve">and regions </w:t>
      </w:r>
      <w:r w:rsidR="00320AE0" w:rsidRPr="008A64D9">
        <w:t>where literacy rates are much lower than developed regions.</w:t>
      </w:r>
    </w:p>
    <w:p w14:paraId="2F8776F2" w14:textId="77777777" w:rsidR="00815BB8" w:rsidRDefault="00815BB8" w:rsidP="00546555">
      <w:pPr>
        <w:pStyle w:val="HChG"/>
        <w:ind w:firstLine="0"/>
        <w:rPr>
          <w:rFonts w:eastAsia="MS Mincho"/>
        </w:rPr>
      </w:pPr>
      <w:r w:rsidRPr="008B0A08">
        <w:rPr>
          <w:rFonts w:eastAsia="MS Mincho"/>
        </w:rPr>
        <w:t>Discussion</w:t>
      </w:r>
    </w:p>
    <w:p w14:paraId="7AEAEB0A" w14:textId="1CFB0F73" w:rsidR="00EF4992" w:rsidRPr="00D1725B" w:rsidRDefault="00EF4992" w:rsidP="008A64D9">
      <w:pPr>
        <w:pStyle w:val="SingleTxtG"/>
        <w:numPr>
          <w:ilvl w:val="0"/>
          <w:numId w:val="18"/>
        </w:numPr>
        <w:ind w:left="1134" w:firstLine="0"/>
      </w:pPr>
      <w:r w:rsidRPr="008A64D9">
        <w:t>Implementation</w:t>
      </w:r>
      <w:r w:rsidRPr="001F3363">
        <w:t xml:space="preserve"> of GHS labelling requirements for consumer products has resulted in a very large amount of information to be placed on the label (see</w:t>
      </w:r>
      <w:r>
        <w:t xml:space="preserve"> </w:t>
      </w:r>
      <w:r w:rsidR="008A64D9">
        <w:t xml:space="preserve">informal document INF.5 </w:t>
      </w:r>
      <w:r w:rsidR="008A64D9">
        <w:lastRenderedPageBreak/>
        <w:t>(34</w:t>
      </w:r>
      <w:r w:rsidR="008A64D9" w:rsidRPr="008A64D9">
        <w:rPr>
          <w:vertAlign w:val="superscript"/>
        </w:rPr>
        <w:t>th</w:t>
      </w:r>
      <w:r w:rsidR="008A64D9">
        <w:t xml:space="preserve"> session)</w:t>
      </w:r>
      <w:r w:rsidRPr="001F3363">
        <w:t xml:space="preserve"> “10 years of GHS: More effective labelling for hazardous consumer products?”). This is particularly </w:t>
      </w:r>
      <w:r w:rsidRPr="00D1725B">
        <w:t xml:space="preserve">true </w:t>
      </w:r>
      <w:r w:rsidR="00FD4E39" w:rsidRPr="00D1725B">
        <w:t xml:space="preserve">where </w:t>
      </w:r>
      <w:r w:rsidRPr="00D1725B">
        <w:t>multilanguage labels</w:t>
      </w:r>
      <w:r w:rsidR="00FD4E39" w:rsidRPr="00D1725B">
        <w:t xml:space="preserve"> GHS are required</w:t>
      </w:r>
      <w:r w:rsidRPr="00D1725B">
        <w:t xml:space="preserve">. </w:t>
      </w:r>
    </w:p>
    <w:p w14:paraId="2147E9A1" w14:textId="7B6FA09C" w:rsidR="00EF4992" w:rsidRPr="00D1725B" w:rsidRDefault="00EF4992" w:rsidP="008A64D9">
      <w:pPr>
        <w:pStyle w:val="SingleTxtG"/>
        <w:numPr>
          <w:ilvl w:val="0"/>
          <w:numId w:val="18"/>
        </w:numPr>
        <w:ind w:left="1134" w:firstLine="0"/>
      </w:pPr>
      <w:r w:rsidRPr="00D1725B">
        <w:t>Major consumer research has shown that th</w:t>
      </w:r>
      <w:r w:rsidR="00FD4E39" w:rsidRPr="00D1725B">
        <w:t xml:space="preserve">is leads to information overload for the </w:t>
      </w:r>
      <w:r w:rsidRPr="00D1725B">
        <w:t xml:space="preserve">target audience </w:t>
      </w:r>
      <w:r w:rsidR="00FD4E39" w:rsidRPr="00D1725B">
        <w:t xml:space="preserve">who </w:t>
      </w:r>
      <w:r w:rsidRPr="00D1725B">
        <w:t xml:space="preserve">as a result, often ignore the information (see reference above). A 2011 European Commission survey (Eurobarometer 360) found that only a quarter to half of users always read safety instructions before using </w:t>
      </w:r>
      <w:r w:rsidR="00FD4E39" w:rsidRPr="00D1725B">
        <w:t xml:space="preserve">a hazardous product </w:t>
      </w:r>
      <w:r w:rsidRPr="00D1725B">
        <w:t xml:space="preserve">for the first time (e.g. from 26% for daily used detergents up to 50% for insecticides and pesticides). </w:t>
      </w:r>
    </w:p>
    <w:p w14:paraId="5EDA76DD" w14:textId="01F06DED" w:rsidR="00EF4992" w:rsidRPr="008A64D9" w:rsidRDefault="000F56DD" w:rsidP="008A64D9">
      <w:pPr>
        <w:pStyle w:val="SingleTxtG"/>
        <w:numPr>
          <w:ilvl w:val="0"/>
          <w:numId w:val="18"/>
        </w:numPr>
        <w:ind w:left="1134" w:firstLine="0"/>
      </w:pPr>
      <w:r w:rsidRPr="008A64D9">
        <w:t>C</w:t>
      </w:r>
      <w:r w:rsidR="00EF4992" w:rsidRPr="008A64D9">
        <w:t xml:space="preserve">onsumers prefer simpler labels that contain less </w:t>
      </w:r>
      <w:proofErr w:type="gramStart"/>
      <w:r w:rsidR="00EF4992" w:rsidRPr="008A64D9">
        <w:t>text, and</w:t>
      </w:r>
      <w:proofErr w:type="gramEnd"/>
      <w:r w:rsidR="00EF4992" w:rsidRPr="008A64D9">
        <w:t xml:space="preserve"> provide the essential safe use information in a more focused way. For this purpose, safe use icons/precautionary pictograms are considered</w:t>
      </w:r>
      <w:r w:rsidRPr="008A64D9">
        <w:t xml:space="preserve"> help</w:t>
      </w:r>
      <w:r w:rsidR="00EF4992" w:rsidRPr="008A64D9">
        <w:t xml:space="preserve">ful and found to be generally well understood. </w:t>
      </w:r>
    </w:p>
    <w:p w14:paraId="7E0EF105" w14:textId="69C59AC4" w:rsidR="00EF4992" w:rsidRPr="008A64D9" w:rsidRDefault="00EF4992" w:rsidP="008A64D9">
      <w:pPr>
        <w:pStyle w:val="SingleTxtG"/>
        <w:numPr>
          <w:ilvl w:val="0"/>
          <w:numId w:val="18"/>
        </w:numPr>
        <w:ind w:left="1134" w:firstLine="0"/>
      </w:pPr>
      <w:r w:rsidRPr="008A64D9">
        <w:t xml:space="preserve">Several scientific studies have confirmed that graphical representations or pictograms can be recognized more quickly and have more </w:t>
      </w:r>
      <w:r w:rsidR="000F56DD" w:rsidRPr="008A64D9">
        <w:t xml:space="preserve">positive impact </w:t>
      </w:r>
      <w:r w:rsidRPr="008A64D9">
        <w:t>than written warnings (</w:t>
      </w:r>
      <w:proofErr w:type="spellStart"/>
      <w:r w:rsidRPr="008A64D9">
        <w:t>Dorris</w:t>
      </w:r>
      <w:proofErr w:type="spellEnd"/>
      <w:r w:rsidRPr="008A64D9">
        <w:t xml:space="preserve"> &amp; </w:t>
      </w:r>
      <w:proofErr w:type="spellStart"/>
      <w:r w:rsidRPr="008A64D9">
        <w:t>Purswell</w:t>
      </w:r>
      <w:proofErr w:type="spellEnd"/>
      <w:r w:rsidRPr="008A64D9">
        <w:t xml:space="preserve">, 1978). </w:t>
      </w:r>
      <w:proofErr w:type="spellStart"/>
      <w:r w:rsidRPr="008A64D9">
        <w:t>Boelhouwer</w:t>
      </w:r>
      <w:proofErr w:type="spellEnd"/>
      <w:r w:rsidRPr="008A64D9">
        <w:t xml:space="preserve"> (2013) concluded that “inclusion of GHS hazard pictograms and precautionary pictograms to SDS and labels may benefit the user”. </w:t>
      </w:r>
    </w:p>
    <w:p w14:paraId="23133FD8" w14:textId="23306157" w:rsidR="000F56DD" w:rsidRPr="00D1725B" w:rsidRDefault="000F56DD" w:rsidP="008A64D9">
      <w:pPr>
        <w:pStyle w:val="SingleTxtG"/>
        <w:numPr>
          <w:ilvl w:val="0"/>
          <w:numId w:val="18"/>
        </w:numPr>
        <w:ind w:left="1701" w:hanging="567"/>
      </w:pPr>
      <w:r w:rsidRPr="008A64D9">
        <w:t>Other</w:t>
      </w:r>
      <w:r w:rsidRPr="00D1725B">
        <w:t xml:space="preserve"> </w:t>
      </w:r>
      <w:r w:rsidR="00EF4992" w:rsidRPr="00D1725B">
        <w:t>consideration</w:t>
      </w:r>
      <w:r w:rsidRPr="00D1725B">
        <w:t>s are</w:t>
      </w:r>
      <w:r w:rsidR="00673AB0" w:rsidRPr="00D1725B">
        <w:t>:</w:t>
      </w:r>
      <w:r w:rsidR="008A64D9">
        <w:t xml:space="preserve"> </w:t>
      </w:r>
    </w:p>
    <w:p w14:paraId="1E414CDF" w14:textId="6F98E3FB" w:rsidR="00EF4992" w:rsidRPr="008A64D9" w:rsidRDefault="00EF4992" w:rsidP="008A64D9">
      <w:pPr>
        <w:pStyle w:val="SingleTxtG"/>
        <w:numPr>
          <w:ilvl w:val="0"/>
          <w:numId w:val="19"/>
        </w:numPr>
        <w:ind w:left="1701" w:firstLine="0"/>
      </w:pPr>
      <w:r w:rsidRPr="008A64D9">
        <w:t>literacy level</w:t>
      </w:r>
      <w:r w:rsidR="000F56DD" w:rsidRPr="008A64D9">
        <w:t xml:space="preserve"> where</w:t>
      </w:r>
      <w:r w:rsidRPr="008A64D9">
        <w:t xml:space="preserve"> </w:t>
      </w:r>
      <w:r w:rsidR="000F56DD" w:rsidRPr="008A64D9">
        <w:t>g</w:t>
      </w:r>
      <w:r w:rsidRPr="008A64D9">
        <w:t>lobally about 14% of the world population cannot read (</w:t>
      </w:r>
      <w:proofErr w:type="spellStart"/>
      <w:r w:rsidRPr="008A64D9">
        <w:t>Unesco</w:t>
      </w:r>
      <w:proofErr w:type="spellEnd"/>
      <w:r w:rsidRPr="008A64D9">
        <w:t xml:space="preserve"> 2016)</w:t>
      </w:r>
      <w:r w:rsidR="000F56DD" w:rsidRPr="008A64D9">
        <w:t xml:space="preserve">, and many </w:t>
      </w:r>
      <w:r w:rsidRPr="008A64D9">
        <w:t xml:space="preserve">emerging economies in Africa have literacy rates below 50%. </w:t>
      </w:r>
      <w:r w:rsidR="000F56DD" w:rsidRPr="008A64D9">
        <w:t>I</w:t>
      </w:r>
      <w:r w:rsidRPr="008A64D9">
        <w:t>n Europe, 16.4% of people have literacy difficulties (about 55 million adults)</w:t>
      </w:r>
      <w:r w:rsidR="000F56DD" w:rsidRPr="008A64D9">
        <w:t>, and</w:t>
      </w:r>
      <w:r w:rsidRPr="008A64D9">
        <w:t xml:space="preserve"> </w:t>
      </w:r>
      <w:r w:rsidR="000F56DD" w:rsidRPr="008A64D9">
        <w:t>s</w:t>
      </w:r>
      <w:r w:rsidRPr="008A64D9">
        <w:t xml:space="preserve">imilarly, in US around 14% of adults demonstrated a “below basic” literacy level in 2013 (US Department of Education 2013). </w:t>
      </w:r>
    </w:p>
    <w:p w14:paraId="4A2ECAD2" w14:textId="52C280C2" w:rsidR="00EF4992" w:rsidRPr="008A64D9" w:rsidRDefault="00EF4992" w:rsidP="008A64D9">
      <w:pPr>
        <w:pStyle w:val="SingleTxtG"/>
        <w:numPr>
          <w:ilvl w:val="0"/>
          <w:numId w:val="19"/>
        </w:numPr>
        <w:ind w:left="1701" w:firstLine="0"/>
      </w:pPr>
      <w:r w:rsidRPr="008A64D9">
        <w:t xml:space="preserve">there is an increased number of </w:t>
      </w:r>
      <w:r w:rsidR="000F56DD" w:rsidRPr="008A64D9">
        <w:t xml:space="preserve">migrant workers </w:t>
      </w:r>
      <w:r w:rsidRPr="008A64D9">
        <w:t>us</w:t>
      </w:r>
      <w:r w:rsidR="000F56DD" w:rsidRPr="008A64D9">
        <w:t xml:space="preserve">ing </w:t>
      </w:r>
      <w:r w:rsidRPr="008A64D9">
        <w:t xml:space="preserve">chemical products </w:t>
      </w:r>
      <w:r w:rsidR="000F56DD" w:rsidRPr="008A64D9">
        <w:t xml:space="preserve">where they are </w:t>
      </w:r>
      <w:r w:rsidRPr="008A64D9">
        <w:t xml:space="preserve">not </w:t>
      </w:r>
      <w:r w:rsidR="000F56DD" w:rsidRPr="008A64D9">
        <w:t xml:space="preserve">fluent in </w:t>
      </w:r>
      <w:r w:rsidRPr="008A64D9">
        <w:t>the official language/s of their residence country</w:t>
      </w:r>
      <w:r w:rsidR="00673AB0" w:rsidRPr="008A64D9">
        <w:t xml:space="preserve">. </w:t>
      </w:r>
      <w:r w:rsidRPr="008A64D9">
        <w:t xml:space="preserve"> </w:t>
      </w:r>
      <w:r w:rsidR="000F56DD" w:rsidRPr="008A64D9">
        <w:t xml:space="preserve">Many of these are unskilled workers with low literacy levels </w:t>
      </w:r>
      <w:r w:rsidR="00CB6907" w:rsidRPr="008A64D9">
        <w:t xml:space="preserve">thus a </w:t>
      </w:r>
      <w:r w:rsidRPr="008A64D9">
        <w:t xml:space="preserve">vulnerable part of the population. </w:t>
      </w:r>
    </w:p>
    <w:p w14:paraId="0027C2E5" w14:textId="237A16C2" w:rsidR="00EF4992" w:rsidRPr="008A64D9" w:rsidRDefault="00EF4992" w:rsidP="008A64D9">
      <w:pPr>
        <w:pStyle w:val="SingleTxtG"/>
        <w:numPr>
          <w:ilvl w:val="0"/>
          <w:numId w:val="18"/>
        </w:numPr>
        <w:ind w:left="1134" w:firstLine="0"/>
      </w:pPr>
      <w:r w:rsidRPr="008A64D9">
        <w:t xml:space="preserve">As a conclusion, the use of simple, precautionary pictograms with </w:t>
      </w:r>
      <w:r w:rsidR="006A5DC2" w:rsidRPr="008A64D9">
        <w:t>demonstrated comprehensibility</w:t>
      </w:r>
      <w:r w:rsidRPr="008A64D9">
        <w:t xml:space="preserve">, can </w:t>
      </w:r>
      <w:r w:rsidR="00E42987" w:rsidRPr="008A64D9">
        <w:t xml:space="preserve">provide </w:t>
      </w:r>
      <w:r w:rsidRPr="008A64D9">
        <w:t>an equally if not more effective means to convey basic safe use information on hazardous chemicals than precautionary phrases.</w:t>
      </w:r>
    </w:p>
    <w:p w14:paraId="106C6E30" w14:textId="20A659F8" w:rsidR="00A90163" w:rsidRPr="008A64D9" w:rsidRDefault="00546555" w:rsidP="008A64D9">
      <w:pPr>
        <w:pStyle w:val="SingleTxtG"/>
        <w:numPr>
          <w:ilvl w:val="0"/>
          <w:numId w:val="18"/>
        </w:numPr>
        <w:ind w:left="1134" w:firstLine="0"/>
      </w:pPr>
      <w:r w:rsidRPr="008A64D9">
        <w:t>The a</w:t>
      </w:r>
      <w:r w:rsidR="00A90163" w:rsidRPr="008A64D9">
        <w:t xml:space="preserve">ctivities of the Correspondence Group on Improvement of </w:t>
      </w:r>
      <w:r w:rsidR="00E42987" w:rsidRPr="008A64D9">
        <w:t>A</w:t>
      </w:r>
      <w:r w:rsidR="00A90163" w:rsidRPr="008A64D9">
        <w:t xml:space="preserve">nnexes 1 to 3 aim to further rationalize the precautionary statements that </w:t>
      </w:r>
      <w:proofErr w:type="gramStart"/>
      <w:r w:rsidR="00A90163" w:rsidRPr="008A64D9">
        <w:t>have to</w:t>
      </w:r>
      <w:proofErr w:type="gramEnd"/>
      <w:r w:rsidR="00A90163" w:rsidRPr="008A64D9">
        <w:t xml:space="preserve"> appear on labels.</w:t>
      </w:r>
    </w:p>
    <w:p w14:paraId="2ACBD43F" w14:textId="77777777" w:rsidR="00F132AF" w:rsidRPr="00D1725B" w:rsidRDefault="00F132AF" w:rsidP="00F132AF">
      <w:pPr>
        <w:pStyle w:val="HChG"/>
        <w:rPr>
          <w:rFonts w:eastAsia="MS Mincho"/>
        </w:rPr>
      </w:pPr>
      <w:r w:rsidRPr="00D1725B">
        <w:rPr>
          <w:rFonts w:eastAsia="MS Mincho"/>
        </w:rPr>
        <w:tab/>
      </w:r>
      <w:r w:rsidRPr="00D1725B">
        <w:rPr>
          <w:rFonts w:eastAsia="MS Mincho"/>
        </w:rPr>
        <w:tab/>
        <w:t>Proposal</w:t>
      </w:r>
    </w:p>
    <w:p w14:paraId="103D40CF" w14:textId="6BEEAC21" w:rsidR="00E61FBC" w:rsidRPr="00D1725B" w:rsidRDefault="00F132AF" w:rsidP="008A64D9">
      <w:pPr>
        <w:pStyle w:val="SingleTxtG"/>
        <w:numPr>
          <w:ilvl w:val="0"/>
          <w:numId w:val="18"/>
        </w:numPr>
        <w:ind w:left="1134" w:firstLine="0"/>
      </w:pPr>
      <w:r w:rsidRPr="00D1725B">
        <w:t>It is proposed to</w:t>
      </w:r>
      <w:r w:rsidR="00E42987" w:rsidRPr="00D1725B">
        <w:t xml:space="preserve"> include</w:t>
      </w:r>
      <w:r w:rsidR="001240EE" w:rsidRPr="00D1725B">
        <w:t xml:space="preserve"> the following activities in the work programme of the </w:t>
      </w:r>
      <w:r w:rsidR="00095FC5" w:rsidRPr="008A64D9">
        <w:t>Informal</w:t>
      </w:r>
      <w:r w:rsidR="00095FC5">
        <w:t xml:space="preserve"> </w:t>
      </w:r>
      <w:r w:rsidR="00737967">
        <w:t>Working</w:t>
      </w:r>
      <w:r w:rsidR="001240EE" w:rsidRPr="00D1725B">
        <w:t xml:space="preserve"> Group on Improvement of annexes 1 to 3 for the next biennium (see UN/SCEGHS/32/INF.12).</w:t>
      </w:r>
      <w:r w:rsidR="00E61FBC" w:rsidRPr="00D1725B">
        <w:t xml:space="preserve"> </w:t>
      </w:r>
    </w:p>
    <w:p w14:paraId="22C60C65" w14:textId="1A03510B" w:rsidR="00673AB0" w:rsidRPr="00D1725B" w:rsidRDefault="00673AB0" w:rsidP="008A64D9">
      <w:pPr>
        <w:pStyle w:val="SingleTxtG"/>
        <w:ind w:firstLine="567"/>
      </w:pPr>
      <w:r w:rsidRPr="008A64D9">
        <w:t>Precautionary</w:t>
      </w:r>
      <w:r w:rsidRPr="00D1725B">
        <w:t xml:space="preserve"> picto</w:t>
      </w:r>
      <w:r w:rsidR="006A5DC2" w:rsidRPr="00D1725B">
        <w:t>g</w:t>
      </w:r>
      <w:r w:rsidRPr="00D1725B">
        <w:t>rams:</w:t>
      </w:r>
    </w:p>
    <w:p w14:paraId="1A372C0B" w14:textId="6A01CF48" w:rsidR="00673AB0" w:rsidRPr="008A64D9" w:rsidRDefault="00527567" w:rsidP="008A64D9">
      <w:pPr>
        <w:pStyle w:val="SingleTxtG"/>
        <w:numPr>
          <w:ilvl w:val="0"/>
          <w:numId w:val="20"/>
        </w:numPr>
        <w:ind w:left="1701" w:firstLine="0"/>
      </w:pPr>
      <w:r w:rsidRPr="008A64D9">
        <w:t xml:space="preserve">Invite SC members to submit </w:t>
      </w:r>
      <w:r w:rsidR="00673AB0" w:rsidRPr="008A64D9">
        <w:t>broad</w:t>
      </w:r>
      <w:r w:rsidRPr="008A64D9">
        <w:t xml:space="preserve">ly used precautionary pictograms in their Sector or region to the Informal corresponding group for possible future inclusion in Annex 3 </w:t>
      </w:r>
      <w:r w:rsidR="00673AB0" w:rsidRPr="008A64D9">
        <w:t xml:space="preserve">Section 5 </w:t>
      </w:r>
      <w:r w:rsidRPr="008A64D9">
        <w:t>of the GHS</w:t>
      </w:r>
      <w:r w:rsidR="006A5DC2" w:rsidRPr="008A64D9">
        <w:t xml:space="preserve"> (Annex contains potential candidates)</w:t>
      </w:r>
      <w:r w:rsidR="00673AB0" w:rsidRPr="008A64D9">
        <w:t>. Results of comprehensibility studies with consumers and the public should support the SC evaluation.</w:t>
      </w:r>
    </w:p>
    <w:p w14:paraId="3FAB0FCE" w14:textId="0658E5E7" w:rsidR="00673AB0" w:rsidRPr="008A64D9" w:rsidRDefault="00673AB0" w:rsidP="008A64D9">
      <w:pPr>
        <w:pStyle w:val="SingleTxtG"/>
        <w:numPr>
          <w:ilvl w:val="0"/>
          <w:numId w:val="20"/>
        </w:numPr>
        <w:ind w:left="1701" w:firstLine="0"/>
      </w:pPr>
      <w:r w:rsidRPr="008A64D9">
        <w:t>Continue discussing on the use of precautionary pictograms included in A</w:t>
      </w:r>
      <w:r w:rsidR="003C612C">
        <w:t>nnex </w:t>
      </w:r>
      <w:r w:rsidRPr="008A64D9">
        <w:t>3 Section 5 as an alternative to written precautionary statements (e.g. the precautionary pictogram “Keep out reach of children” together with or in place of P102).</w:t>
      </w:r>
    </w:p>
    <w:p w14:paraId="55BAF7E7" w14:textId="77777777" w:rsidR="003C612C" w:rsidRDefault="003C612C">
      <w:pPr>
        <w:suppressAutoHyphens w:val="0"/>
        <w:spacing w:line="240" w:lineRule="auto"/>
      </w:pPr>
      <w:r>
        <w:br w:type="page"/>
      </w:r>
    </w:p>
    <w:p w14:paraId="42AC2C65" w14:textId="26D1B289" w:rsidR="00527567" w:rsidRPr="00D1725B" w:rsidRDefault="006A5DC2" w:rsidP="008A64D9">
      <w:pPr>
        <w:pStyle w:val="SingleTxtG"/>
        <w:ind w:firstLine="567"/>
      </w:pPr>
      <w:r w:rsidRPr="00D1725B">
        <w:lastRenderedPageBreak/>
        <w:t xml:space="preserve">Health </w:t>
      </w:r>
      <w:r w:rsidRPr="008A64D9">
        <w:t>hazard</w:t>
      </w:r>
      <w:r w:rsidRPr="00D1725B">
        <w:t xml:space="preserve"> pictograms:</w:t>
      </w:r>
    </w:p>
    <w:p w14:paraId="0FED1F55" w14:textId="6056BD51" w:rsidR="002B35DA" w:rsidRPr="008A64D9" w:rsidRDefault="002B35DA" w:rsidP="008A64D9">
      <w:pPr>
        <w:pStyle w:val="SingleTxtG"/>
        <w:numPr>
          <w:ilvl w:val="0"/>
          <w:numId w:val="20"/>
        </w:numPr>
        <w:ind w:left="1701" w:firstLine="0"/>
      </w:pPr>
      <w:r w:rsidRPr="008A64D9">
        <w:t xml:space="preserve">Review of health hazard pictograms for comprehensibility and continuing suitability, </w:t>
      </w:r>
      <w:proofErr w:type="gramStart"/>
      <w:r w:rsidRPr="008A64D9">
        <w:t>in light of</w:t>
      </w:r>
      <w:proofErr w:type="gramEnd"/>
      <w:r w:rsidRPr="008A64D9">
        <w:t xml:space="preserve"> the uptake of GHS into legislation spreading to many developing regions where growing millions of consumers with low literacy are exposed to hazardous chemicals, so need to be better informed of the hazards to health and the environment in order to use safely. </w:t>
      </w:r>
    </w:p>
    <w:p w14:paraId="02C48F8E" w14:textId="01D25E35" w:rsidR="001240EE" w:rsidRPr="008A64D9" w:rsidRDefault="002B35DA" w:rsidP="008A64D9">
      <w:pPr>
        <w:pStyle w:val="SingleTxtG"/>
        <w:numPr>
          <w:ilvl w:val="0"/>
          <w:numId w:val="20"/>
        </w:numPr>
        <w:ind w:left="1701" w:firstLine="0"/>
      </w:pPr>
      <w:r w:rsidRPr="008A64D9">
        <w:t>Explore possibilities to add more comprehensible hazard pictograms to communicate health hazards to the public</w:t>
      </w:r>
      <w:r w:rsidR="00F702F7" w:rsidRPr="008A64D9">
        <w:t>, which are harmonised for global use. This would improve safety of consumer use of the increasing exports to developing regions, where contents of many labels are currently not clearly understood, as well as reduce health risks to the poor and disadvantaged as well as potential liability to Industry.</w:t>
      </w:r>
    </w:p>
    <w:p w14:paraId="72DB0929" w14:textId="00C5335C" w:rsidR="008A64D9" w:rsidRDefault="008B0A08" w:rsidP="003C612C">
      <w:pPr>
        <w:pStyle w:val="HChG"/>
        <w:rPr>
          <w:b w:val="0"/>
        </w:rPr>
      </w:pPr>
      <w:r w:rsidRPr="00D1725B">
        <w:tab/>
      </w:r>
      <w:r w:rsidRPr="00D1725B">
        <w:tab/>
      </w:r>
      <w:r w:rsidR="008A64D9">
        <w:br w:type="page"/>
      </w:r>
    </w:p>
    <w:p w14:paraId="2C908BC4" w14:textId="5525FBD3" w:rsidR="008B0A08" w:rsidRPr="006A5DC2" w:rsidRDefault="00815BB8" w:rsidP="008A64D9">
      <w:pPr>
        <w:pStyle w:val="HChG"/>
      </w:pPr>
      <w:r w:rsidRPr="008A64D9">
        <w:lastRenderedPageBreak/>
        <w:t>Annex</w:t>
      </w:r>
    </w:p>
    <w:p w14:paraId="2424404F" w14:textId="60B16FD2" w:rsidR="00F158C4" w:rsidRDefault="00815BB8" w:rsidP="00F702F7">
      <w:pPr>
        <w:pStyle w:val="HChG"/>
      </w:pPr>
      <w:r w:rsidRPr="008B0A08">
        <w:tab/>
      </w:r>
      <w:r w:rsidR="008B0A08">
        <w:tab/>
      </w:r>
      <w:r w:rsidR="00F158C4">
        <w:t>Examples of existing pictogram</w:t>
      </w:r>
      <w:r w:rsidR="00F132AF" w:rsidRPr="00F132AF">
        <w:t xml:space="preserve">s that could be considered in the evaluation of precautionary pictogram equivalent to the </w:t>
      </w:r>
      <w:r w:rsidR="006A5DC2">
        <w:t xml:space="preserve">GHS </w:t>
      </w:r>
      <w:r w:rsidR="00F132AF" w:rsidRPr="00F132AF">
        <w:t>precautionary statement</w:t>
      </w:r>
      <w:r w:rsidR="006A5DC2">
        <w:t>s</w:t>
      </w:r>
      <w:r w:rsidR="00E76B4D">
        <w:rPr>
          <w:noProof/>
          <w:lang w:eastAsia="en-GB"/>
        </w:rPr>
        <mc:AlternateContent>
          <mc:Choice Requires="wps">
            <w:drawing>
              <wp:anchor distT="0" distB="0" distL="114300" distR="114300" simplePos="0" relativeHeight="251660288" behindDoc="0" locked="0" layoutInCell="1" allowOverlap="1" wp14:anchorId="1C16A26A" wp14:editId="2B617E5F">
                <wp:simplePos x="0" y="0"/>
                <wp:positionH relativeFrom="column">
                  <wp:posOffset>-316865</wp:posOffset>
                </wp:positionH>
                <wp:positionV relativeFrom="paragraph">
                  <wp:posOffset>-2211705</wp:posOffset>
                </wp:positionV>
                <wp:extent cx="504190" cy="360045"/>
                <wp:effectExtent l="0" t="0" r="10160" b="20955"/>
                <wp:wrapNone/>
                <wp:docPr id="6"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360045"/>
                        </a:xfrm>
                        <a:prstGeom prst="ellipse">
                          <a:avLst/>
                        </a:prstGeom>
                        <a:solidFill>
                          <a:schemeClr val="bg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0D0806" id="Ellipse 5" o:spid="_x0000_s1026" style="position:absolute;margin-left:-24.95pt;margin-top:-174.15pt;width:39.7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" fillcolor="white [3212]" strokecolor="white [3212]" strokeweight="0">
                <v:path arrowok="t"/>
              </v:oval>
            </w:pict>
          </mc:Fallback>
        </mc:AlternateContent>
      </w:r>
    </w:p>
    <w:p w14:paraId="1DC3D112" w14:textId="52034F36" w:rsidR="00F158C4" w:rsidRDefault="00F158C4" w:rsidP="008A64D9">
      <w:pPr>
        <w:pStyle w:val="H1G"/>
        <w:spacing w:before="0" w:after="120"/>
      </w:pPr>
      <w:r>
        <w:tab/>
      </w:r>
      <w:r>
        <w:tab/>
        <w:t xml:space="preserve">Example </w:t>
      </w:r>
      <w:r w:rsidR="00B55F80">
        <w:t>1</w:t>
      </w:r>
    </w:p>
    <w:p w14:paraId="7C38661E" w14:textId="2BC95B31" w:rsidR="00F158C4" w:rsidRPr="00F158C4" w:rsidRDefault="00F158C4" w:rsidP="008A64D9">
      <w:pPr>
        <w:pStyle w:val="SingleTxtG"/>
        <w:rPr>
          <w:b/>
        </w:rPr>
      </w:pPr>
      <w:r>
        <w:tab/>
      </w:r>
      <w:r w:rsidR="008A64D9">
        <w:t xml:space="preserve">A.I.S.E. </w:t>
      </w:r>
      <w:r w:rsidRPr="00F158C4">
        <w:t>Safe Use Icons for consumer products</w:t>
      </w:r>
      <w:r w:rsidR="008C2934">
        <w:t xml:space="preserve"> in use since 2004</w:t>
      </w:r>
      <w:r w:rsidRPr="00F158C4">
        <w:t xml:space="preserve"> (2014 </w:t>
      </w:r>
      <w:hyperlink r:id="rId8" w:history="1">
        <w:r w:rsidR="008A64D9" w:rsidRPr="00B40F20">
          <w:rPr>
            <w:rStyle w:val="Hyperlink"/>
          </w:rPr>
          <w:t>https://www.aise.eu/library/artwork/safe-use-icons---update-2014.aspx</w:t>
        </w:r>
      </w:hyperlink>
      <w:r w:rsidRPr="00F158C4">
        <w:t xml:space="preserve"> )</w:t>
      </w:r>
    </w:p>
    <w:p w14:paraId="2974BE42" w14:textId="66BC3DDE" w:rsidR="00546555" w:rsidRDefault="00F158C4" w:rsidP="008A64D9">
      <w:pPr>
        <w:pStyle w:val="H1G"/>
        <w:spacing w:before="0" w:after="0"/>
      </w:pPr>
      <w:r>
        <w:tab/>
      </w:r>
      <w:r>
        <w:tab/>
      </w:r>
      <w:r>
        <w:tab/>
      </w:r>
      <w:r w:rsidR="00653226">
        <w:rPr>
          <w:noProof/>
        </w:rPr>
        <w:drawing>
          <wp:anchor distT="0" distB="0" distL="114300" distR="114300" simplePos="0" relativeHeight="251661312" behindDoc="0" locked="1" layoutInCell="0" allowOverlap="1" wp14:anchorId="5639CF63" wp14:editId="02D5F0BF">
            <wp:simplePos x="0" y="0"/>
            <wp:positionH relativeFrom="margin">
              <wp:posOffset>2522855</wp:posOffset>
            </wp:positionH>
            <wp:positionV relativeFrom="paragraph">
              <wp:posOffset>104775</wp:posOffset>
            </wp:positionV>
            <wp:extent cx="1030605" cy="1090930"/>
            <wp:effectExtent l="0" t="0" r="0" b="0"/>
            <wp:wrapNone/>
            <wp:docPr id="3" name="Picture 3" descr="icon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2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0605" cy="1090930"/>
                    </a:xfrm>
                    <a:prstGeom prst="rect">
                      <a:avLst/>
                    </a:prstGeom>
                    <a:noFill/>
                  </pic:spPr>
                </pic:pic>
              </a:graphicData>
            </a:graphic>
            <wp14:sizeRelH relativeFrom="page">
              <wp14:pctWidth>0</wp14:pctWidth>
            </wp14:sizeRelH>
            <wp14:sizeRelV relativeFrom="page">
              <wp14:pctHeight>0</wp14:pctHeight>
            </wp14:sizeRelV>
          </wp:anchor>
        </w:drawing>
      </w:r>
    </w:p>
    <w:p w14:paraId="7EB3A1F2" w14:textId="77777777" w:rsidR="00546555" w:rsidRDefault="00546555" w:rsidP="00F158C4"/>
    <w:p w14:paraId="4C58B50D" w14:textId="77777777" w:rsidR="00653226" w:rsidRDefault="00653226" w:rsidP="00653226">
      <w:pPr>
        <w:jc w:val="right"/>
      </w:pPr>
    </w:p>
    <w:p w14:paraId="0226A28C" w14:textId="77777777" w:rsidR="00653226" w:rsidRDefault="00653226" w:rsidP="00653226">
      <w:pPr>
        <w:jc w:val="right"/>
      </w:pPr>
    </w:p>
    <w:p w14:paraId="1F367AC7" w14:textId="77777777" w:rsidR="00653226" w:rsidRDefault="00653226" w:rsidP="00653226">
      <w:pPr>
        <w:jc w:val="right"/>
      </w:pPr>
    </w:p>
    <w:p w14:paraId="0810D454" w14:textId="77777777" w:rsidR="00653226" w:rsidRDefault="00653226" w:rsidP="00653226">
      <w:pPr>
        <w:jc w:val="right"/>
      </w:pPr>
    </w:p>
    <w:p w14:paraId="08AE4F32" w14:textId="77777777" w:rsidR="00653226" w:rsidRDefault="00653226" w:rsidP="00653226">
      <w:pPr>
        <w:jc w:val="right"/>
      </w:pPr>
    </w:p>
    <w:p w14:paraId="2220D8E1" w14:textId="77777777" w:rsidR="00653226" w:rsidRDefault="00653226" w:rsidP="00653226">
      <w:pPr>
        <w:ind w:left="2835" w:firstLine="567"/>
        <w:rPr>
          <w:sz w:val="24"/>
        </w:rPr>
      </w:pPr>
    </w:p>
    <w:p w14:paraId="612CED8D" w14:textId="77777777" w:rsidR="00653226" w:rsidRDefault="00653226" w:rsidP="00653226">
      <w:pPr>
        <w:ind w:left="2835" w:firstLine="567"/>
        <w:rPr>
          <w:sz w:val="24"/>
        </w:rPr>
      </w:pPr>
    </w:p>
    <w:p w14:paraId="13A234CF" w14:textId="771EB744" w:rsidR="00653226" w:rsidRPr="008A64D9" w:rsidRDefault="00653226" w:rsidP="008A64D9">
      <w:pPr>
        <w:pStyle w:val="SingleTxtG"/>
        <w:rPr>
          <w:b/>
          <w:bCs/>
          <w:i/>
          <w:iCs/>
        </w:rPr>
      </w:pPr>
      <w:r w:rsidRPr="008A64D9">
        <w:rPr>
          <w:b/>
          <w:bCs/>
          <w:i/>
          <w:iCs/>
        </w:rPr>
        <w:t>Pictogram corresponding to P305 + P351 “IF IN EYES: Rinse cautiously with water for several minutes. Continue rinsing.</w:t>
      </w:r>
    </w:p>
    <w:p w14:paraId="1AAF373D" w14:textId="77777777" w:rsidR="008700CD" w:rsidRDefault="008700CD" w:rsidP="00B55F80">
      <w:pPr>
        <w:ind w:left="567"/>
        <w:rPr>
          <w:b/>
          <w:i/>
          <w:sz w:val="24"/>
        </w:rPr>
      </w:pPr>
    </w:p>
    <w:p w14:paraId="114F3E93" w14:textId="77777777" w:rsidR="006A5DC2" w:rsidRDefault="006A5DC2" w:rsidP="00B55F80">
      <w:pPr>
        <w:ind w:left="567"/>
        <w:rPr>
          <w:b/>
          <w:i/>
          <w:sz w:val="24"/>
        </w:rPr>
      </w:pPr>
    </w:p>
    <w:p w14:paraId="751AD346" w14:textId="1E8C719C" w:rsidR="007379E1" w:rsidRPr="007379E1" w:rsidRDefault="003C612C" w:rsidP="008700CD">
      <w:pPr>
        <w:ind w:left="567" w:firstLine="567"/>
        <w:rPr>
          <w:b/>
          <w:sz w:val="24"/>
        </w:rPr>
      </w:pPr>
      <w:r>
        <w:rPr>
          <w:b/>
          <w:sz w:val="24"/>
        </w:rPr>
        <w:t>Example 2</w:t>
      </w:r>
    </w:p>
    <w:p w14:paraId="50D0A2F8" w14:textId="77777777" w:rsidR="00653226" w:rsidRDefault="00653226" w:rsidP="00653226">
      <w:pPr>
        <w:jc w:val="right"/>
      </w:pPr>
    </w:p>
    <w:p w14:paraId="6F08DFA7" w14:textId="77777777" w:rsidR="00653226" w:rsidRDefault="00653226" w:rsidP="00653226">
      <w:pPr>
        <w:jc w:val="right"/>
      </w:pPr>
    </w:p>
    <w:p w14:paraId="42790886" w14:textId="77777777" w:rsidR="00653226" w:rsidRDefault="00653226" w:rsidP="00B55F80">
      <w:pPr>
        <w:spacing w:before="40"/>
        <w:jc w:val="center"/>
      </w:pPr>
      <w:r>
        <w:object w:dxaOrig="1710" w:dyaOrig="1785" w14:anchorId="64817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76.5pt" o:ole="">
            <v:imagedata r:id="rId10" o:title=""/>
          </v:shape>
          <o:OLEObject Type="Embed" ProgID="PBrush" ShapeID="_x0000_i1025" DrawAspect="Content" ObjectID="_1603525752" r:id="rId11"/>
        </w:object>
      </w:r>
    </w:p>
    <w:p w14:paraId="3848C416" w14:textId="77777777" w:rsidR="00B55F80" w:rsidRDefault="00B55F80" w:rsidP="00B55F80">
      <w:pPr>
        <w:ind w:left="567"/>
        <w:rPr>
          <w:b/>
          <w:i/>
          <w:sz w:val="24"/>
        </w:rPr>
      </w:pPr>
    </w:p>
    <w:p w14:paraId="5A975DCD" w14:textId="04365D1C" w:rsidR="00653226" w:rsidRPr="008A64D9" w:rsidRDefault="00653226" w:rsidP="008A64D9">
      <w:pPr>
        <w:pStyle w:val="SingleTxtG"/>
        <w:rPr>
          <w:b/>
          <w:bCs/>
          <w:i/>
          <w:iCs/>
        </w:rPr>
      </w:pPr>
      <w:r w:rsidRPr="008A64D9">
        <w:rPr>
          <w:b/>
          <w:bCs/>
          <w:i/>
          <w:iCs/>
        </w:rPr>
        <w:t>Pictogram corresponding to either P301+P310 “IF SWALLOWED: Immediately call a POISON CENTR</w:t>
      </w:r>
      <w:r w:rsidR="00527567" w:rsidRPr="008A64D9">
        <w:rPr>
          <w:b/>
          <w:bCs/>
          <w:i/>
          <w:iCs/>
        </w:rPr>
        <w:t>E</w:t>
      </w:r>
      <w:r w:rsidRPr="008A64D9">
        <w:rPr>
          <w:b/>
          <w:bCs/>
          <w:i/>
          <w:iCs/>
        </w:rPr>
        <w:t xml:space="preserve"> or doctor/physician” or P301+P312 “IF SWALLOWED: Call a POISON Centr</w:t>
      </w:r>
      <w:r w:rsidR="00527567" w:rsidRPr="008A64D9">
        <w:rPr>
          <w:b/>
          <w:bCs/>
          <w:i/>
          <w:iCs/>
        </w:rPr>
        <w:t>e</w:t>
      </w:r>
      <w:r w:rsidRPr="008A64D9">
        <w:rPr>
          <w:b/>
          <w:bCs/>
          <w:i/>
          <w:iCs/>
        </w:rPr>
        <w:t xml:space="preserve"> or doctor/physician if you feel unwell”</w:t>
      </w:r>
    </w:p>
    <w:p w14:paraId="7BF66B31" w14:textId="77777777" w:rsidR="00F158C4" w:rsidRPr="00653226" w:rsidRDefault="00F158C4" w:rsidP="00653226">
      <w:pPr>
        <w:ind w:left="2835" w:firstLine="567"/>
        <w:jc w:val="both"/>
        <w:rPr>
          <w:sz w:val="24"/>
        </w:rPr>
      </w:pPr>
    </w:p>
    <w:p w14:paraId="377B4251" w14:textId="1C97F321" w:rsidR="00F132AF" w:rsidRPr="008700CD" w:rsidRDefault="00F132AF" w:rsidP="008700CD">
      <w:pPr>
        <w:ind w:left="567"/>
        <w:rPr>
          <w:b/>
          <w:sz w:val="24"/>
        </w:rPr>
      </w:pPr>
      <w:r>
        <w:t xml:space="preserve"> </w:t>
      </w:r>
      <w:r w:rsidR="00F158C4" w:rsidRPr="008700CD">
        <w:rPr>
          <w:b/>
          <w:sz w:val="24"/>
        </w:rPr>
        <w:tab/>
      </w:r>
      <w:r w:rsidR="00F158C4" w:rsidRPr="008700CD">
        <w:rPr>
          <w:b/>
          <w:sz w:val="24"/>
        </w:rPr>
        <w:tab/>
      </w:r>
    </w:p>
    <w:p w14:paraId="531DE29B" w14:textId="77777777" w:rsidR="008A64D9" w:rsidRDefault="008A64D9">
      <w:pPr>
        <w:suppressAutoHyphens w:val="0"/>
        <w:spacing w:line="240" w:lineRule="auto"/>
        <w:rPr>
          <w:b/>
          <w:sz w:val="24"/>
        </w:rPr>
      </w:pPr>
      <w:r>
        <w:rPr>
          <w:b/>
          <w:sz w:val="24"/>
        </w:rPr>
        <w:br w:type="page"/>
      </w:r>
    </w:p>
    <w:p w14:paraId="0C56E75F" w14:textId="4D9DD78D" w:rsidR="00417DFD" w:rsidRPr="008700CD" w:rsidRDefault="003C612C" w:rsidP="003C612C">
      <w:pPr>
        <w:spacing w:after="240"/>
        <w:ind w:left="567" w:firstLine="567"/>
        <w:rPr>
          <w:b/>
          <w:sz w:val="24"/>
        </w:rPr>
      </w:pPr>
      <w:r>
        <w:rPr>
          <w:b/>
          <w:sz w:val="24"/>
        </w:rPr>
        <w:lastRenderedPageBreak/>
        <w:t>Example 3</w:t>
      </w:r>
    </w:p>
    <w:p w14:paraId="5CA87034" w14:textId="03E35C44" w:rsidR="003F05DA" w:rsidRPr="003F05DA" w:rsidRDefault="003F05DA" w:rsidP="008700CD">
      <w:pPr>
        <w:ind w:left="567" w:firstLine="567"/>
        <w:rPr>
          <w:b/>
          <w:i/>
          <w:sz w:val="24"/>
        </w:rPr>
      </w:pPr>
      <w:r>
        <w:rPr>
          <w:b/>
          <w:i/>
          <w:sz w:val="24"/>
        </w:rPr>
        <w:t>Pictograms in use in South Africa</w:t>
      </w:r>
      <w:r w:rsidR="00035BE0">
        <w:rPr>
          <w:b/>
          <w:i/>
          <w:sz w:val="24"/>
        </w:rPr>
        <w:t xml:space="preserve"> since end of 90’s </w:t>
      </w:r>
    </w:p>
    <w:p w14:paraId="27BCF0BF" w14:textId="3E499E7D" w:rsidR="00417DFD" w:rsidRDefault="00417DFD" w:rsidP="00417DFD"/>
    <w:p w14:paraId="5C18E7A1" w14:textId="3E1EFE40" w:rsidR="00417DFD" w:rsidRDefault="00417DFD" w:rsidP="00417DFD"/>
    <w:p w14:paraId="5FCD1B77" w14:textId="460CA495" w:rsidR="003F05DA" w:rsidRDefault="003C612C" w:rsidP="00035BE0">
      <w:pPr>
        <w:jc w:val="center"/>
      </w:pPr>
      <w:r>
        <w:rPr>
          <w:noProof/>
        </w:rPr>
        <w:drawing>
          <wp:anchor distT="0" distB="0" distL="114300" distR="114300" simplePos="0" relativeHeight="251664896" behindDoc="0" locked="0" layoutInCell="1" allowOverlap="1" wp14:anchorId="1F9BC57B" wp14:editId="3DA175ED">
            <wp:simplePos x="0" y="0"/>
            <wp:positionH relativeFrom="margin">
              <wp:posOffset>3738245</wp:posOffset>
            </wp:positionH>
            <wp:positionV relativeFrom="page">
              <wp:posOffset>1894840</wp:posOffset>
            </wp:positionV>
            <wp:extent cx="1060450" cy="112712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0450" cy="1127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BE0">
        <w:rPr>
          <w:b/>
          <w:noProof/>
          <w:color w:val="FF0000"/>
          <w:sz w:val="28"/>
          <w:szCs w:val="28"/>
          <w:highlight w:val="yellow"/>
        </w:rPr>
        <w:drawing>
          <wp:inline distT="0" distB="0" distL="0" distR="0" wp14:anchorId="1D25C9E5" wp14:editId="673C813C">
            <wp:extent cx="1101969" cy="1138339"/>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437" cy="1198736"/>
                    </a:xfrm>
                    <a:prstGeom prst="rect">
                      <a:avLst/>
                    </a:prstGeom>
                    <a:noFill/>
                  </pic:spPr>
                </pic:pic>
              </a:graphicData>
            </a:graphic>
          </wp:inline>
        </w:drawing>
      </w:r>
      <w:r w:rsidR="004301DE">
        <w:t xml:space="preserve">  </w:t>
      </w:r>
    </w:p>
    <w:p w14:paraId="4BCA7721" w14:textId="06D06DF6" w:rsidR="003F05DA" w:rsidRPr="00417DFD" w:rsidRDefault="003F05DA" w:rsidP="00417DFD"/>
    <w:p w14:paraId="0EABFFA9" w14:textId="49500EFD" w:rsidR="00965932" w:rsidRDefault="00965932" w:rsidP="006D70C6">
      <w:pPr>
        <w:rPr>
          <w:sz w:val="18"/>
        </w:rPr>
      </w:pPr>
    </w:p>
    <w:p w14:paraId="738B743A" w14:textId="4FB527D5" w:rsidR="008700CD" w:rsidRPr="003C612C" w:rsidRDefault="004301DE" w:rsidP="003C612C">
      <w:pPr>
        <w:pStyle w:val="SingleTxtG"/>
        <w:rPr>
          <w:b/>
          <w:bCs/>
          <w:i/>
          <w:iCs/>
        </w:rPr>
      </w:pPr>
      <w:r w:rsidRPr="003C612C">
        <w:rPr>
          <w:b/>
          <w:bCs/>
          <w:i/>
          <w:iCs/>
        </w:rPr>
        <w:t>Pictogram</w:t>
      </w:r>
      <w:r w:rsidR="008700CD" w:rsidRPr="003C612C">
        <w:rPr>
          <w:b/>
          <w:bCs/>
          <w:i/>
          <w:iCs/>
        </w:rPr>
        <w:t>s</w:t>
      </w:r>
      <w:r w:rsidRPr="003C612C">
        <w:rPr>
          <w:b/>
          <w:bCs/>
          <w:i/>
          <w:iCs/>
        </w:rPr>
        <w:t xml:space="preserve"> corresponding to</w:t>
      </w:r>
      <w:r w:rsidR="008700CD" w:rsidRPr="003C612C">
        <w:rPr>
          <w:b/>
          <w:bCs/>
          <w:i/>
          <w:iCs/>
        </w:rPr>
        <w:t>:</w:t>
      </w:r>
    </w:p>
    <w:p w14:paraId="1B24483C" w14:textId="397DA70B" w:rsidR="003F05DA" w:rsidRPr="003C612C" w:rsidRDefault="008700CD" w:rsidP="003C612C">
      <w:pPr>
        <w:pStyle w:val="SingleTxtG"/>
        <w:rPr>
          <w:b/>
          <w:bCs/>
          <w:i/>
          <w:iCs/>
        </w:rPr>
      </w:pPr>
      <w:r w:rsidRPr="003C612C">
        <w:rPr>
          <w:b/>
          <w:bCs/>
          <w:i/>
          <w:iCs/>
        </w:rPr>
        <w:t xml:space="preserve">P302 + P352 If on skin wash with plenty of water or P264 wash thoroughly after </w:t>
      </w:r>
      <w:r w:rsidRPr="003C612C">
        <w:rPr>
          <w:b/>
          <w:bCs/>
          <w:i/>
          <w:iCs/>
        </w:rPr>
        <w:tab/>
        <w:t>handling</w:t>
      </w:r>
    </w:p>
    <w:p w14:paraId="7D53C477" w14:textId="07388F85" w:rsidR="008700CD" w:rsidRPr="003C612C" w:rsidRDefault="008700CD" w:rsidP="003C612C">
      <w:pPr>
        <w:pStyle w:val="SingleTxtG"/>
        <w:rPr>
          <w:b/>
          <w:bCs/>
          <w:i/>
          <w:iCs/>
        </w:rPr>
      </w:pPr>
      <w:r w:rsidRPr="003C612C">
        <w:rPr>
          <w:b/>
          <w:bCs/>
          <w:i/>
          <w:iCs/>
        </w:rPr>
        <w:t>P102 keep out of reach of children</w:t>
      </w:r>
    </w:p>
    <w:p w14:paraId="1FE69F49" w14:textId="0EF99808" w:rsidR="003C612C" w:rsidRPr="003C612C" w:rsidRDefault="003C612C" w:rsidP="003C612C">
      <w:pPr>
        <w:pStyle w:val="SingleTxtG"/>
        <w:spacing w:before="240" w:after="0"/>
        <w:jc w:val="center"/>
        <w:rPr>
          <w:u w:val="single"/>
        </w:rPr>
      </w:pPr>
      <w:r>
        <w:rPr>
          <w:u w:val="single"/>
        </w:rPr>
        <w:tab/>
      </w:r>
      <w:r>
        <w:rPr>
          <w:u w:val="single"/>
        </w:rPr>
        <w:tab/>
      </w:r>
      <w:r>
        <w:rPr>
          <w:u w:val="single"/>
        </w:rPr>
        <w:tab/>
      </w:r>
    </w:p>
    <w:p w14:paraId="66B027F4" w14:textId="77777777" w:rsidR="003C612C" w:rsidRPr="008700CD" w:rsidRDefault="003C612C" w:rsidP="003C612C">
      <w:pPr>
        <w:pStyle w:val="SingleTxtG"/>
      </w:pPr>
    </w:p>
    <w:sectPr w:rsidR="003C612C" w:rsidRPr="008700CD" w:rsidSect="00810F4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56178" w14:textId="77777777" w:rsidR="001C4886" w:rsidRDefault="001C4886"/>
  </w:endnote>
  <w:endnote w:type="continuationSeparator" w:id="0">
    <w:p w14:paraId="0A8D9D9D" w14:textId="77777777" w:rsidR="001C4886" w:rsidRDefault="001C4886"/>
  </w:endnote>
  <w:endnote w:type="continuationNotice" w:id="1">
    <w:p w14:paraId="4F134060" w14:textId="77777777" w:rsidR="001C4886" w:rsidRDefault="001C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54D4" w14:textId="77777777" w:rsidR="00845662" w:rsidRPr="0099001C" w:rsidRDefault="000C7010" w:rsidP="0099001C">
    <w:pPr>
      <w:pStyle w:val="Footer"/>
      <w:tabs>
        <w:tab w:val="right" w:pos="9638"/>
      </w:tabs>
      <w:rPr>
        <w:sz w:val="18"/>
      </w:rPr>
    </w:pPr>
    <w:r w:rsidRPr="0099001C">
      <w:rPr>
        <w:b/>
        <w:sz w:val="18"/>
      </w:rPr>
      <w:fldChar w:fldCharType="begin"/>
    </w:r>
    <w:r w:rsidR="00845662" w:rsidRPr="0099001C">
      <w:rPr>
        <w:b/>
        <w:sz w:val="18"/>
      </w:rPr>
      <w:instrText xml:space="preserve"> PAGE  \* MERGEFORMAT </w:instrText>
    </w:r>
    <w:r w:rsidRPr="0099001C">
      <w:rPr>
        <w:b/>
        <w:sz w:val="18"/>
      </w:rPr>
      <w:fldChar w:fldCharType="separate"/>
    </w:r>
    <w:r w:rsidR="00436A4B">
      <w:rPr>
        <w:b/>
        <w:noProof/>
        <w:sz w:val="18"/>
      </w:rPr>
      <w:t>2</w:t>
    </w:r>
    <w:r w:rsidRPr="0099001C">
      <w:rPr>
        <w:b/>
        <w:sz w:val="18"/>
      </w:rPr>
      <w:fldChar w:fldCharType="end"/>
    </w:r>
    <w:r w:rsidR="00845662">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2BF4" w14:textId="77777777" w:rsidR="00845662" w:rsidRPr="0099001C" w:rsidRDefault="00845662" w:rsidP="0099001C">
    <w:pPr>
      <w:pStyle w:val="Footer"/>
      <w:tabs>
        <w:tab w:val="right" w:pos="9638"/>
      </w:tabs>
      <w:rPr>
        <w:b/>
        <w:sz w:val="18"/>
      </w:rPr>
    </w:pPr>
    <w:r>
      <w:tab/>
    </w:r>
    <w:r w:rsidR="000C7010" w:rsidRPr="0099001C">
      <w:rPr>
        <w:b/>
        <w:sz w:val="18"/>
      </w:rPr>
      <w:fldChar w:fldCharType="begin"/>
    </w:r>
    <w:r w:rsidRPr="0099001C">
      <w:rPr>
        <w:b/>
        <w:sz w:val="18"/>
      </w:rPr>
      <w:instrText xml:space="preserve"> PAGE  \* MERGEFORMAT </w:instrText>
    </w:r>
    <w:r w:rsidR="000C7010" w:rsidRPr="0099001C">
      <w:rPr>
        <w:b/>
        <w:sz w:val="18"/>
      </w:rPr>
      <w:fldChar w:fldCharType="separate"/>
    </w:r>
    <w:r w:rsidR="00436A4B">
      <w:rPr>
        <w:b/>
        <w:noProof/>
        <w:sz w:val="18"/>
      </w:rPr>
      <w:t>3</w:t>
    </w:r>
    <w:r w:rsidR="000C7010"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5F49" w14:textId="77777777" w:rsidR="00845662" w:rsidRPr="0099001C" w:rsidRDefault="006D70C6">
    <w:r>
      <w:rPr>
        <w:noProof/>
        <w:lang w:eastAsia="en-GB"/>
      </w:rPr>
      <w:drawing>
        <wp:anchor distT="0" distB="0" distL="114300" distR="114300" simplePos="0" relativeHeight="251657728" behindDoc="0" locked="1" layoutInCell="1" allowOverlap="1" wp14:anchorId="46B0FAE3" wp14:editId="0E95A8D0">
          <wp:simplePos x="0" y="0"/>
          <wp:positionH relativeFrom="column">
            <wp:posOffset>5148580</wp:posOffset>
          </wp:positionH>
          <wp:positionV relativeFrom="paragraph">
            <wp:posOffset>-79375</wp:posOffset>
          </wp:positionV>
          <wp:extent cx="930275" cy="230505"/>
          <wp:effectExtent l="0" t="0" r="3175"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51C84" w14:textId="77777777" w:rsidR="001C4886" w:rsidRPr="000B175B" w:rsidRDefault="001C4886" w:rsidP="000B175B">
      <w:pPr>
        <w:tabs>
          <w:tab w:val="right" w:pos="2155"/>
        </w:tabs>
        <w:spacing w:after="80"/>
        <w:ind w:left="680"/>
        <w:rPr>
          <w:u w:val="single"/>
        </w:rPr>
      </w:pPr>
      <w:r>
        <w:rPr>
          <w:u w:val="single"/>
        </w:rPr>
        <w:tab/>
      </w:r>
    </w:p>
  </w:footnote>
  <w:footnote w:type="continuationSeparator" w:id="0">
    <w:p w14:paraId="0F432486" w14:textId="77777777" w:rsidR="001C4886" w:rsidRPr="00FC68B7" w:rsidRDefault="001C4886" w:rsidP="00FC68B7">
      <w:pPr>
        <w:tabs>
          <w:tab w:val="left" w:pos="2155"/>
        </w:tabs>
        <w:spacing w:after="80"/>
        <w:ind w:left="680"/>
        <w:rPr>
          <w:u w:val="single"/>
        </w:rPr>
      </w:pPr>
      <w:r>
        <w:rPr>
          <w:u w:val="single"/>
        </w:rPr>
        <w:tab/>
      </w:r>
    </w:p>
  </w:footnote>
  <w:footnote w:type="continuationNotice" w:id="1">
    <w:p w14:paraId="3BB1EAD1" w14:textId="77777777" w:rsidR="001C4886" w:rsidRDefault="001C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4811" w14:textId="6155B6AD" w:rsidR="00845662" w:rsidRPr="0099001C" w:rsidRDefault="00810F4E" w:rsidP="00366CA7">
    <w:pPr>
      <w:pStyle w:val="Header"/>
    </w:pPr>
    <w:r>
      <w:t>UN/SCEGHS/36</w:t>
    </w:r>
    <w:r w:rsidR="00845662" w:rsidRPr="00CC65B7">
      <w:t>/INF.</w:t>
    </w:r>
    <w: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A1E3" w14:textId="575541A7" w:rsidR="00845662" w:rsidRPr="0099001C" w:rsidRDefault="00810F4E" w:rsidP="0099001C">
    <w:pPr>
      <w:pStyle w:val="Header"/>
      <w:jc w:val="right"/>
    </w:pPr>
    <w:r>
      <w:t>UN/SCEGHS/36</w:t>
    </w:r>
    <w:bookmarkStart w:id="1" w:name="_GoBack"/>
    <w:bookmarkEnd w:id="1"/>
    <w:r w:rsidR="00845662">
      <w:t>/INF.</w:t>
    </w:r>
    <w:r w:rsidR="003C612C">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3F93" w14:textId="77777777" w:rsidR="00810F4E" w:rsidRDefault="00810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A54F0"/>
    <w:multiLevelType w:val="hybridMultilevel"/>
    <w:tmpl w:val="9E189D1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0941FC4"/>
    <w:multiLevelType w:val="hybridMultilevel"/>
    <w:tmpl w:val="B91A9FE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8384A9C"/>
    <w:multiLevelType w:val="hybridMultilevel"/>
    <w:tmpl w:val="2E0C0DE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D934694"/>
    <w:multiLevelType w:val="hybridMultilevel"/>
    <w:tmpl w:val="207ED3D6"/>
    <w:lvl w:ilvl="0" w:tplc="810ABAD6">
      <w:start w:val="1"/>
      <w:numFmt w:val="lowerRoman"/>
      <w:lvlText w:val="%1)"/>
      <w:lvlJc w:val="left"/>
      <w:pPr>
        <w:ind w:left="2430" w:hanging="72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6EE2519"/>
    <w:multiLevelType w:val="hybridMultilevel"/>
    <w:tmpl w:val="AFEA3EC4"/>
    <w:lvl w:ilvl="0" w:tplc="409E60DA">
      <w:start w:val="1"/>
      <w:numFmt w:val="lowerRoman"/>
      <w:lvlText w:val="%1)"/>
      <w:lvlJc w:val="left"/>
      <w:pPr>
        <w:ind w:left="2988" w:hanging="720"/>
      </w:pPr>
      <w:rPr>
        <w:rFonts w:ascii="Times New Roman" w:eastAsia="Times New Roman" w:hAnsi="Times New Roman" w:cs="Calibri"/>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7"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3EDF3DD0"/>
    <w:multiLevelType w:val="hybridMultilevel"/>
    <w:tmpl w:val="8CF03F62"/>
    <w:lvl w:ilvl="0" w:tplc="8FC89402">
      <w:start w:val="1"/>
      <w:numFmt w:val="decimal"/>
      <w:lvlText w:val="%1."/>
      <w:lvlJc w:val="left"/>
      <w:pPr>
        <w:ind w:left="1710" w:hanging="576"/>
      </w:pPr>
      <w:rPr>
        <w:rFonts w:eastAsia="MS Mincho"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47F6641A"/>
    <w:multiLevelType w:val="hybridMultilevel"/>
    <w:tmpl w:val="21D8A416"/>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1"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4574767"/>
    <w:multiLevelType w:val="hybridMultilevel"/>
    <w:tmpl w:val="96B04CF4"/>
    <w:lvl w:ilvl="0" w:tplc="804200B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76E588A"/>
    <w:multiLevelType w:val="hybridMultilevel"/>
    <w:tmpl w:val="C1D0F11E"/>
    <w:lvl w:ilvl="0" w:tplc="30707E1E">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62797807"/>
    <w:multiLevelType w:val="hybridMultilevel"/>
    <w:tmpl w:val="A6EE62F2"/>
    <w:lvl w:ilvl="0" w:tplc="5FD85ACC">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64E2796E"/>
    <w:multiLevelType w:val="hybridMultilevel"/>
    <w:tmpl w:val="8CF03F62"/>
    <w:lvl w:ilvl="0" w:tplc="8FC89402">
      <w:start w:val="1"/>
      <w:numFmt w:val="decimal"/>
      <w:lvlText w:val="%1."/>
      <w:lvlJc w:val="left"/>
      <w:pPr>
        <w:ind w:left="1710" w:hanging="576"/>
      </w:pPr>
      <w:rPr>
        <w:rFonts w:eastAsia="MS Mincho"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7C075A93"/>
    <w:multiLevelType w:val="hybridMultilevel"/>
    <w:tmpl w:val="33942828"/>
    <w:lvl w:ilvl="0" w:tplc="8FC89402">
      <w:start w:val="1"/>
      <w:numFmt w:val="decimal"/>
      <w:lvlText w:val="%1."/>
      <w:lvlJc w:val="left"/>
      <w:pPr>
        <w:ind w:left="1710" w:hanging="576"/>
      </w:pPr>
      <w:rPr>
        <w:rFonts w:eastAsia="MS Mincho"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6"/>
  </w:num>
  <w:num w:numId="3">
    <w:abstractNumId w:val="11"/>
  </w:num>
  <w:num w:numId="4">
    <w:abstractNumId w:val="5"/>
  </w:num>
  <w:num w:numId="5">
    <w:abstractNumId w:val="7"/>
  </w:num>
  <w:num w:numId="6">
    <w:abstractNumId w:val="8"/>
  </w:num>
  <w:num w:numId="7">
    <w:abstractNumId w:val="17"/>
  </w:num>
  <w:num w:numId="8">
    <w:abstractNumId w:val="0"/>
  </w:num>
  <w:num w:numId="9">
    <w:abstractNumId w:val="18"/>
  </w:num>
  <w:num w:numId="10">
    <w:abstractNumId w:val="9"/>
  </w:num>
  <w:num w:numId="11">
    <w:abstractNumId w:val="15"/>
  </w:num>
  <w:num w:numId="12">
    <w:abstractNumId w:val="1"/>
  </w:num>
  <w:num w:numId="13">
    <w:abstractNumId w:val="3"/>
  </w:num>
  <w:num w:numId="14">
    <w:abstractNumId w:val="2"/>
  </w:num>
  <w:num w:numId="15">
    <w:abstractNumId w:val="4"/>
  </w:num>
  <w:num w:numId="16">
    <w:abstractNumId w:val="6"/>
  </w:num>
  <w:num w:numId="17">
    <w:abstractNumId w:val="10"/>
  </w:num>
  <w:num w:numId="18">
    <w:abstractNumId w:val="12"/>
  </w:num>
  <w:num w:numId="19">
    <w:abstractNumId w:val="13"/>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4D7"/>
    <w:rsid w:val="00002EFA"/>
    <w:rsid w:val="00023C7A"/>
    <w:rsid w:val="00033B3D"/>
    <w:rsid w:val="00035BE0"/>
    <w:rsid w:val="00050F6B"/>
    <w:rsid w:val="00072C8C"/>
    <w:rsid w:val="00081647"/>
    <w:rsid w:val="000931C0"/>
    <w:rsid w:val="00095FC5"/>
    <w:rsid w:val="00097C4F"/>
    <w:rsid w:val="000B175B"/>
    <w:rsid w:val="000B3A0F"/>
    <w:rsid w:val="000C6544"/>
    <w:rsid w:val="000C7010"/>
    <w:rsid w:val="000D10AA"/>
    <w:rsid w:val="000E0415"/>
    <w:rsid w:val="000E6633"/>
    <w:rsid w:val="000F56DD"/>
    <w:rsid w:val="001220B8"/>
    <w:rsid w:val="001240EE"/>
    <w:rsid w:val="00156F3C"/>
    <w:rsid w:val="00162BF7"/>
    <w:rsid w:val="00190AEA"/>
    <w:rsid w:val="00196797"/>
    <w:rsid w:val="001B4B04"/>
    <w:rsid w:val="001C4886"/>
    <w:rsid w:val="001C6663"/>
    <w:rsid w:val="001C7895"/>
    <w:rsid w:val="001D26DF"/>
    <w:rsid w:val="001E47FD"/>
    <w:rsid w:val="001F3363"/>
    <w:rsid w:val="00205C36"/>
    <w:rsid w:val="00207F0E"/>
    <w:rsid w:val="00211E0B"/>
    <w:rsid w:val="002405A7"/>
    <w:rsid w:val="002438ED"/>
    <w:rsid w:val="0025322D"/>
    <w:rsid w:val="00257E45"/>
    <w:rsid w:val="00262488"/>
    <w:rsid w:val="0029250F"/>
    <w:rsid w:val="002A49D5"/>
    <w:rsid w:val="002B35DA"/>
    <w:rsid w:val="002D3447"/>
    <w:rsid w:val="002D59D3"/>
    <w:rsid w:val="003107FA"/>
    <w:rsid w:val="003127A2"/>
    <w:rsid w:val="00320AE0"/>
    <w:rsid w:val="003229D8"/>
    <w:rsid w:val="00324590"/>
    <w:rsid w:val="0032550E"/>
    <w:rsid w:val="0033745A"/>
    <w:rsid w:val="003642AF"/>
    <w:rsid w:val="00366CA7"/>
    <w:rsid w:val="0039277A"/>
    <w:rsid w:val="003972E0"/>
    <w:rsid w:val="00397F1A"/>
    <w:rsid w:val="003B3A99"/>
    <w:rsid w:val="003C2CC4"/>
    <w:rsid w:val="003C3936"/>
    <w:rsid w:val="003C612C"/>
    <w:rsid w:val="003D4B23"/>
    <w:rsid w:val="003F05DA"/>
    <w:rsid w:val="003F1ED3"/>
    <w:rsid w:val="00417DFD"/>
    <w:rsid w:val="00421612"/>
    <w:rsid w:val="004301DE"/>
    <w:rsid w:val="004325CB"/>
    <w:rsid w:val="00436A4B"/>
    <w:rsid w:val="00446DE4"/>
    <w:rsid w:val="00460236"/>
    <w:rsid w:val="00460DD9"/>
    <w:rsid w:val="00467F71"/>
    <w:rsid w:val="004A41CA"/>
    <w:rsid w:val="004A5617"/>
    <w:rsid w:val="004C7953"/>
    <w:rsid w:val="004E7ED6"/>
    <w:rsid w:val="00503228"/>
    <w:rsid w:val="00504716"/>
    <w:rsid w:val="00505384"/>
    <w:rsid w:val="00527567"/>
    <w:rsid w:val="00530EFD"/>
    <w:rsid w:val="00532EF8"/>
    <w:rsid w:val="005420F2"/>
    <w:rsid w:val="00546555"/>
    <w:rsid w:val="00592E35"/>
    <w:rsid w:val="005B2C89"/>
    <w:rsid w:val="005B3DB3"/>
    <w:rsid w:val="005B4FAB"/>
    <w:rsid w:val="005E22FE"/>
    <w:rsid w:val="00611FC4"/>
    <w:rsid w:val="00614AED"/>
    <w:rsid w:val="006176FB"/>
    <w:rsid w:val="00627ED0"/>
    <w:rsid w:val="00640B26"/>
    <w:rsid w:val="00653226"/>
    <w:rsid w:val="00665595"/>
    <w:rsid w:val="00673AB0"/>
    <w:rsid w:val="00691F20"/>
    <w:rsid w:val="00693543"/>
    <w:rsid w:val="006A5DC2"/>
    <w:rsid w:val="006A7392"/>
    <w:rsid w:val="006A7757"/>
    <w:rsid w:val="006D70C6"/>
    <w:rsid w:val="006E564B"/>
    <w:rsid w:val="0071349F"/>
    <w:rsid w:val="00720DEB"/>
    <w:rsid w:val="0072632A"/>
    <w:rsid w:val="00733AAE"/>
    <w:rsid w:val="00737967"/>
    <w:rsid w:val="007379E1"/>
    <w:rsid w:val="00761AFD"/>
    <w:rsid w:val="00781A60"/>
    <w:rsid w:val="007A0B22"/>
    <w:rsid w:val="007B6BA5"/>
    <w:rsid w:val="007C3390"/>
    <w:rsid w:val="007C4F4B"/>
    <w:rsid w:val="007F0B83"/>
    <w:rsid w:val="007F48EF"/>
    <w:rsid w:val="007F4FCD"/>
    <w:rsid w:val="007F6611"/>
    <w:rsid w:val="00810F4E"/>
    <w:rsid w:val="00815BB8"/>
    <w:rsid w:val="0081732C"/>
    <w:rsid w:val="008175E9"/>
    <w:rsid w:val="008242D7"/>
    <w:rsid w:val="00827E05"/>
    <w:rsid w:val="008311A3"/>
    <w:rsid w:val="008360B9"/>
    <w:rsid w:val="00836AF7"/>
    <w:rsid w:val="00845662"/>
    <w:rsid w:val="008700CD"/>
    <w:rsid w:val="00871FD5"/>
    <w:rsid w:val="00874D62"/>
    <w:rsid w:val="008979B1"/>
    <w:rsid w:val="008A64D9"/>
    <w:rsid w:val="008A6B25"/>
    <w:rsid w:val="008A6C4F"/>
    <w:rsid w:val="008B0A08"/>
    <w:rsid w:val="008B6E26"/>
    <w:rsid w:val="008C2934"/>
    <w:rsid w:val="008E0E46"/>
    <w:rsid w:val="008E4C4C"/>
    <w:rsid w:val="00907AD2"/>
    <w:rsid w:val="00911047"/>
    <w:rsid w:val="009360BB"/>
    <w:rsid w:val="00963CBA"/>
    <w:rsid w:val="009650E6"/>
    <w:rsid w:val="00965932"/>
    <w:rsid w:val="009664F0"/>
    <w:rsid w:val="00974A8D"/>
    <w:rsid w:val="00982754"/>
    <w:rsid w:val="009869AD"/>
    <w:rsid w:val="0099001C"/>
    <w:rsid w:val="00991261"/>
    <w:rsid w:val="009D7F95"/>
    <w:rsid w:val="009F3A17"/>
    <w:rsid w:val="009F3D53"/>
    <w:rsid w:val="00A1427D"/>
    <w:rsid w:val="00A426FB"/>
    <w:rsid w:val="00A55FB2"/>
    <w:rsid w:val="00A65049"/>
    <w:rsid w:val="00A72F22"/>
    <w:rsid w:val="00A748A6"/>
    <w:rsid w:val="00A80459"/>
    <w:rsid w:val="00A805EB"/>
    <w:rsid w:val="00A8760B"/>
    <w:rsid w:val="00A879A4"/>
    <w:rsid w:val="00A90163"/>
    <w:rsid w:val="00AA496B"/>
    <w:rsid w:val="00AE0611"/>
    <w:rsid w:val="00AE71F3"/>
    <w:rsid w:val="00AF2405"/>
    <w:rsid w:val="00AF5D34"/>
    <w:rsid w:val="00B04168"/>
    <w:rsid w:val="00B1504A"/>
    <w:rsid w:val="00B30179"/>
    <w:rsid w:val="00B30E8F"/>
    <w:rsid w:val="00B33EC0"/>
    <w:rsid w:val="00B4017E"/>
    <w:rsid w:val="00B55F80"/>
    <w:rsid w:val="00B81E12"/>
    <w:rsid w:val="00B97D28"/>
    <w:rsid w:val="00BC74E9"/>
    <w:rsid w:val="00BD2146"/>
    <w:rsid w:val="00BD7A2B"/>
    <w:rsid w:val="00BE4F74"/>
    <w:rsid w:val="00BE618E"/>
    <w:rsid w:val="00BF4925"/>
    <w:rsid w:val="00C17699"/>
    <w:rsid w:val="00C1778D"/>
    <w:rsid w:val="00C41A28"/>
    <w:rsid w:val="00C463DD"/>
    <w:rsid w:val="00C6210B"/>
    <w:rsid w:val="00C745C3"/>
    <w:rsid w:val="00C945EB"/>
    <w:rsid w:val="00CB1850"/>
    <w:rsid w:val="00CB6907"/>
    <w:rsid w:val="00CC65B7"/>
    <w:rsid w:val="00CE4A8F"/>
    <w:rsid w:val="00CF5706"/>
    <w:rsid w:val="00D055EB"/>
    <w:rsid w:val="00D1725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0693"/>
    <w:rsid w:val="00E02C81"/>
    <w:rsid w:val="00E04A75"/>
    <w:rsid w:val="00E06EAB"/>
    <w:rsid w:val="00E130AB"/>
    <w:rsid w:val="00E161DA"/>
    <w:rsid w:val="00E30735"/>
    <w:rsid w:val="00E31C87"/>
    <w:rsid w:val="00E42987"/>
    <w:rsid w:val="00E61FBC"/>
    <w:rsid w:val="00E677EC"/>
    <w:rsid w:val="00E70DF5"/>
    <w:rsid w:val="00E7260F"/>
    <w:rsid w:val="00E76B4D"/>
    <w:rsid w:val="00E80F5F"/>
    <w:rsid w:val="00E87921"/>
    <w:rsid w:val="00E96630"/>
    <w:rsid w:val="00EA264E"/>
    <w:rsid w:val="00EA3A41"/>
    <w:rsid w:val="00EC4BC5"/>
    <w:rsid w:val="00ED1541"/>
    <w:rsid w:val="00ED71D9"/>
    <w:rsid w:val="00ED7A2A"/>
    <w:rsid w:val="00EF1D7F"/>
    <w:rsid w:val="00EF358F"/>
    <w:rsid w:val="00EF4992"/>
    <w:rsid w:val="00F124A0"/>
    <w:rsid w:val="00F132AF"/>
    <w:rsid w:val="00F158C4"/>
    <w:rsid w:val="00F3718A"/>
    <w:rsid w:val="00F53EDA"/>
    <w:rsid w:val="00F621F0"/>
    <w:rsid w:val="00F702F7"/>
    <w:rsid w:val="00F73015"/>
    <w:rsid w:val="00F7753D"/>
    <w:rsid w:val="00F85F34"/>
    <w:rsid w:val="00FA06F7"/>
    <w:rsid w:val="00FA228C"/>
    <w:rsid w:val="00FB171A"/>
    <w:rsid w:val="00FC09B8"/>
    <w:rsid w:val="00FC68B7"/>
    <w:rsid w:val="00FD4E39"/>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36330D"/>
  <w15:docId w15:val="{8BDB1841-206B-4E75-B2E9-6601F954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link w:val="Footer"/>
    <w:uiPriority w:val="99"/>
    <w:rsid w:val="00815BB8"/>
    <w:rPr>
      <w:sz w:val="16"/>
      <w:lang w:eastAsia="en-US"/>
    </w:rPr>
  </w:style>
  <w:style w:type="character" w:customStyle="1" w:styleId="HeaderChar">
    <w:name w:val="Header Char"/>
    <w:aliases w:val="6_G Char"/>
    <w:link w:val="Header"/>
    <w:rsid w:val="00815BB8"/>
    <w:rPr>
      <w:b/>
      <w:sz w:val="18"/>
      <w:lang w:eastAsia="en-US"/>
    </w:rPr>
  </w:style>
  <w:style w:type="paragraph" w:styleId="BalloonText">
    <w:name w:val="Balloon Text"/>
    <w:basedOn w:val="Normal"/>
    <w:link w:val="BalloonTextChar"/>
    <w:rsid w:val="00FA22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228C"/>
    <w:rPr>
      <w:rFonts w:ascii="Tahoma" w:hAnsi="Tahoma" w:cs="Tahoma"/>
      <w:sz w:val="16"/>
      <w:szCs w:val="16"/>
      <w:lang w:eastAsia="en-US"/>
    </w:rPr>
  </w:style>
  <w:style w:type="character" w:styleId="UnresolvedMention">
    <w:name w:val="Unresolved Mention"/>
    <w:basedOn w:val="DefaultParagraphFont"/>
    <w:uiPriority w:val="99"/>
    <w:semiHidden/>
    <w:unhideWhenUsed/>
    <w:rsid w:val="001F3363"/>
    <w:rPr>
      <w:color w:val="605E5C"/>
      <w:shd w:val="clear" w:color="auto" w:fill="E1DFDD"/>
    </w:rPr>
  </w:style>
  <w:style w:type="paragraph" w:styleId="ListParagraph">
    <w:name w:val="List Paragraph"/>
    <w:basedOn w:val="Normal"/>
    <w:uiPriority w:val="34"/>
    <w:qFormat/>
    <w:rsid w:val="0087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440106">
      <w:bodyDiv w:val="1"/>
      <w:marLeft w:val="0"/>
      <w:marRight w:val="0"/>
      <w:marTop w:val="0"/>
      <w:marBottom w:val="0"/>
      <w:divBdr>
        <w:top w:val="none" w:sz="0" w:space="0" w:color="auto"/>
        <w:left w:val="none" w:sz="0" w:space="0" w:color="auto"/>
        <w:bottom w:val="none" w:sz="0" w:space="0" w:color="auto"/>
        <w:right w:val="none" w:sz="0" w:space="0" w:color="auto"/>
      </w:divBdr>
    </w:div>
    <w:div w:id="1802261167">
      <w:bodyDiv w:val="1"/>
      <w:marLeft w:val="0"/>
      <w:marRight w:val="0"/>
      <w:marTop w:val="0"/>
      <w:marBottom w:val="0"/>
      <w:divBdr>
        <w:top w:val="none" w:sz="0" w:space="0" w:color="auto"/>
        <w:left w:val="none" w:sz="0" w:space="0" w:color="auto"/>
        <w:bottom w:val="none" w:sz="0" w:space="0" w:color="auto"/>
        <w:right w:val="none" w:sz="0" w:space="0" w:color="auto"/>
      </w:divBdr>
      <w:divsChild>
        <w:div w:id="658122406">
          <w:marLeft w:val="0"/>
          <w:marRight w:val="0"/>
          <w:marTop w:val="0"/>
          <w:marBottom w:val="0"/>
          <w:divBdr>
            <w:top w:val="none" w:sz="0" w:space="0" w:color="auto"/>
            <w:left w:val="none" w:sz="0" w:space="0" w:color="auto"/>
            <w:bottom w:val="none" w:sz="0" w:space="0" w:color="auto"/>
            <w:right w:val="none" w:sz="0" w:space="0" w:color="auto"/>
          </w:divBdr>
        </w:div>
        <w:div w:id="1301885205">
          <w:marLeft w:val="0"/>
          <w:marRight w:val="0"/>
          <w:marTop w:val="0"/>
          <w:marBottom w:val="0"/>
          <w:divBdr>
            <w:top w:val="none" w:sz="0" w:space="0" w:color="auto"/>
            <w:left w:val="none" w:sz="0" w:space="0" w:color="auto"/>
            <w:bottom w:val="none" w:sz="0" w:space="0" w:color="auto"/>
            <w:right w:val="none" w:sz="0" w:space="0" w:color="auto"/>
          </w:divBdr>
        </w:div>
        <w:div w:id="1855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ise.eu/library/artwork/safe-use-icons---update-2014.aspx"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744A-54EC-482D-96A3-B363EDE9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22</TotalTime>
  <Pages>5</Pages>
  <Words>1085</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2018-11-09T15:40:00Z</cp:lastPrinted>
  <dcterms:created xsi:type="dcterms:W3CDTF">2018-11-09T15:22:00Z</dcterms:created>
  <dcterms:modified xsi:type="dcterms:W3CDTF">2018-11-12T10:03:00Z</dcterms:modified>
</cp:coreProperties>
</file>