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55F11751" w:rsidR="0095385C" w:rsidRPr="003E7127" w:rsidRDefault="0095385C" w:rsidP="003E7127">
            <w:pPr>
              <w:jc w:val="right"/>
              <w:rPr>
                <w:highlight w:val="yellow"/>
              </w:rPr>
            </w:pPr>
            <w:r w:rsidRPr="00D6238C">
              <w:rPr>
                <w:sz w:val="40"/>
              </w:rPr>
              <w:t>ST</w:t>
            </w:r>
            <w:r w:rsidRPr="00D6238C">
              <w:t>/SG/AC.10/C.4/201</w:t>
            </w:r>
            <w:r w:rsidR="00490A7A" w:rsidRPr="00D6238C">
              <w:t>8</w:t>
            </w:r>
            <w:r w:rsidRPr="00D6238C">
              <w:t>/</w:t>
            </w:r>
            <w:r w:rsidR="00276326" w:rsidRPr="00D6238C">
              <w:t>9</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val="en-CA" w:eastAsia="en-CA"/>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04976645" w:rsidR="0095385C" w:rsidRDefault="00D6238C" w:rsidP="0095385C">
            <w:pPr>
              <w:spacing w:line="240" w:lineRule="exact"/>
            </w:pPr>
            <w:r>
              <w:t>11</w:t>
            </w:r>
            <w:r w:rsidR="003E7127" w:rsidRPr="00D6238C">
              <w:t xml:space="preserve"> April </w:t>
            </w:r>
            <w:r w:rsidR="0095385C" w:rsidRPr="00D6238C">
              <w:t>201</w:t>
            </w:r>
            <w:r w:rsidR="00490A7A" w:rsidRPr="00D6238C">
              <w:t>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11C256AB" w14:textId="77777777" w:rsidR="00FC5E7C" w:rsidRPr="009F0F06" w:rsidRDefault="00FC5E7C" w:rsidP="00FC5E7C">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78386F4" w14:textId="77777777" w:rsidR="00FC5E7C" w:rsidRPr="009F0F06" w:rsidRDefault="00FC5E7C" w:rsidP="00FC5E7C">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tbl>
      <w:tblPr>
        <w:tblStyle w:val="TableGrid"/>
        <w:tblW w:w="18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21"/>
        <w:gridCol w:w="2665"/>
        <w:gridCol w:w="4593"/>
        <w:gridCol w:w="5046"/>
      </w:tblGrid>
      <w:tr w:rsidR="00C2261B" w14:paraId="4B4E038D" w14:textId="77777777" w:rsidTr="00973B9A">
        <w:tc>
          <w:tcPr>
            <w:tcW w:w="6521" w:type="dxa"/>
          </w:tcPr>
          <w:p w14:paraId="5DCAA88F" w14:textId="4AC01F10" w:rsidR="00C2261B" w:rsidRDefault="00C2261B" w:rsidP="00443CBA">
            <w:pPr>
              <w:spacing w:before="120"/>
              <w:rPr>
                <w:b/>
              </w:rPr>
            </w:pPr>
            <w:r w:rsidRPr="009F7667">
              <w:rPr>
                <w:b/>
              </w:rPr>
              <w:t>Thirty-</w:t>
            </w:r>
            <w:r>
              <w:rPr>
                <w:b/>
              </w:rPr>
              <w:t>fifth</w:t>
            </w:r>
            <w:r w:rsidRPr="009F7667">
              <w:rPr>
                <w:b/>
              </w:rPr>
              <w:t xml:space="preserve"> session</w:t>
            </w:r>
          </w:p>
        </w:tc>
        <w:tc>
          <w:tcPr>
            <w:tcW w:w="2665" w:type="dxa"/>
          </w:tcPr>
          <w:p w14:paraId="1082274E" w14:textId="5DCF728B" w:rsidR="00C2261B" w:rsidRDefault="00C2261B" w:rsidP="006F71FB">
            <w:pPr>
              <w:spacing w:before="120" w:after="120"/>
              <w:rPr>
                <w:b/>
              </w:rPr>
            </w:pPr>
          </w:p>
        </w:tc>
        <w:tc>
          <w:tcPr>
            <w:tcW w:w="4593" w:type="dxa"/>
          </w:tcPr>
          <w:p w14:paraId="1D8C2A6D" w14:textId="0F0D6902" w:rsidR="00C2261B" w:rsidRDefault="00C2261B" w:rsidP="006F71FB">
            <w:pPr>
              <w:spacing w:before="120" w:after="120"/>
              <w:rPr>
                <w:b/>
              </w:rPr>
            </w:pPr>
          </w:p>
        </w:tc>
        <w:tc>
          <w:tcPr>
            <w:tcW w:w="5046" w:type="dxa"/>
          </w:tcPr>
          <w:p w14:paraId="2544611B" w14:textId="4B6224BA" w:rsidR="00C2261B" w:rsidRDefault="00C2261B" w:rsidP="00E1679E">
            <w:pPr>
              <w:spacing w:before="120"/>
              <w:rPr>
                <w:b/>
              </w:rPr>
            </w:pPr>
          </w:p>
        </w:tc>
      </w:tr>
      <w:tr w:rsidR="00C2261B" w14:paraId="57E194B1" w14:textId="77777777" w:rsidTr="00973B9A">
        <w:tc>
          <w:tcPr>
            <w:tcW w:w="6521" w:type="dxa"/>
          </w:tcPr>
          <w:p w14:paraId="47748D4B" w14:textId="77777777" w:rsidR="00C2261B" w:rsidRDefault="00C2261B" w:rsidP="009C2447">
            <w:r>
              <w:t>Geneva, 4-6 July 2018</w:t>
            </w:r>
          </w:p>
          <w:p w14:paraId="5D5D3FF9" w14:textId="39944954" w:rsidR="00C2261B" w:rsidRPr="008904B8" w:rsidRDefault="00C2261B" w:rsidP="009C2447">
            <w:r w:rsidRPr="008904B8">
              <w:t xml:space="preserve">Item </w:t>
            </w:r>
            <w:r>
              <w:t>3</w:t>
            </w:r>
            <w:r w:rsidR="00D6238C">
              <w:t xml:space="preserve"> </w:t>
            </w:r>
            <w:r>
              <w:t>(h)</w:t>
            </w:r>
            <w:r w:rsidRPr="008904B8">
              <w:t xml:space="preserve"> of the provisional agenda</w:t>
            </w:r>
          </w:p>
          <w:p w14:paraId="2751A9ED" w14:textId="21064DA4" w:rsidR="00C2261B" w:rsidRPr="00CA0680" w:rsidRDefault="00C2261B" w:rsidP="00973B9A">
            <w:pPr>
              <w:rPr>
                <w:b/>
              </w:rPr>
            </w:pPr>
            <w:r>
              <w:rPr>
                <w:b/>
              </w:rPr>
              <w:t>Classification criteria and related hazard</w:t>
            </w:r>
            <w:r w:rsidR="00973B9A">
              <w:rPr>
                <w:b/>
              </w:rPr>
              <w:t xml:space="preserve"> </w:t>
            </w:r>
            <w:r w:rsidR="00443CBA">
              <w:rPr>
                <w:b/>
              </w:rPr>
              <w:t>c</w:t>
            </w:r>
            <w:r w:rsidR="00D6238C">
              <w:rPr>
                <w:b/>
              </w:rPr>
              <w:t>ommunication:</w:t>
            </w:r>
            <w:r w:rsidR="00D6238C">
              <w:rPr>
                <w:b/>
              </w:rPr>
              <w:br/>
              <w:t>o</w:t>
            </w:r>
            <w:r>
              <w:rPr>
                <w:b/>
              </w:rPr>
              <w:t>ther issues</w:t>
            </w:r>
          </w:p>
        </w:tc>
        <w:tc>
          <w:tcPr>
            <w:tcW w:w="2665" w:type="dxa"/>
          </w:tcPr>
          <w:p w14:paraId="36FABBA4" w14:textId="7A6A1AE1" w:rsidR="00C2261B" w:rsidRPr="00CA0680" w:rsidRDefault="00C2261B" w:rsidP="00974F0E">
            <w:pPr>
              <w:rPr>
                <w:b/>
              </w:rPr>
            </w:pPr>
          </w:p>
        </w:tc>
        <w:tc>
          <w:tcPr>
            <w:tcW w:w="4593" w:type="dxa"/>
          </w:tcPr>
          <w:p w14:paraId="0AEB21A6" w14:textId="6C2A89F0" w:rsidR="00C2261B" w:rsidRPr="00CA0680" w:rsidRDefault="00C2261B" w:rsidP="00974F0E">
            <w:pPr>
              <w:rPr>
                <w:b/>
              </w:rPr>
            </w:pPr>
          </w:p>
        </w:tc>
        <w:tc>
          <w:tcPr>
            <w:tcW w:w="5046" w:type="dxa"/>
            <w:tcBorders>
              <w:left w:val="nil"/>
            </w:tcBorders>
          </w:tcPr>
          <w:p w14:paraId="7976A695" w14:textId="3AD01FC4" w:rsidR="00C2261B" w:rsidRDefault="00C2261B" w:rsidP="00974F0E">
            <w:pPr>
              <w:rPr>
                <w:b/>
              </w:rPr>
            </w:pPr>
          </w:p>
        </w:tc>
      </w:tr>
      <w:tr w:rsidR="00C2261B" w14:paraId="50307753" w14:textId="77777777" w:rsidTr="00973B9A">
        <w:trPr>
          <w:trHeight w:val="216"/>
        </w:trPr>
        <w:tc>
          <w:tcPr>
            <w:tcW w:w="6521" w:type="dxa"/>
          </w:tcPr>
          <w:p w14:paraId="68C3EABF" w14:textId="687B0B36" w:rsidR="00C2261B" w:rsidRPr="009F7667" w:rsidRDefault="00C2261B" w:rsidP="00974F0E">
            <w:pPr>
              <w:ind w:right="57"/>
              <w:rPr>
                <w:b/>
              </w:rPr>
            </w:pPr>
          </w:p>
        </w:tc>
        <w:tc>
          <w:tcPr>
            <w:tcW w:w="2665" w:type="dxa"/>
          </w:tcPr>
          <w:p w14:paraId="51A7085A" w14:textId="53962884" w:rsidR="00C2261B" w:rsidRPr="009F7667" w:rsidRDefault="00C2261B" w:rsidP="00974F0E">
            <w:pPr>
              <w:ind w:right="57"/>
              <w:rPr>
                <w:b/>
              </w:rPr>
            </w:pPr>
          </w:p>
        </w:tc>
        <w:tc>
          <w:tcPr>
            <w:tcW w:w="4593" w:type="dxa"/>
          </w:tcPr>
          <w:p w14:paraId="61ED3C23" w14:textId="4BFD5B5E" w:rsidR="00C2261B" w:rsidRPr="009F7667" w:rsidRDefault="00C2261B" w:rsidP="00974F0E">
            <w:pPr>
              <w:ind w:right="57"/>
              <w:rPr>
                <w:b/>
              </w:rPr>
            </w:pPr>
          </w:p>
        </w:tc>
        <w:tc>
          <w:tcPr>
            <w:tcW w:w="5046" w:type="dxa"/>
          </w:tcPr>
          <w:p w14:paraId="477AE1AD" w14:textId="5D5F7692" w:rsidR="00C2261B" w:rsidRPr="006A7B01" w:rsidRDefault="00C2261B" w:rsidP="00974F0E">
            <w:pPr>
              <w:rPr>
                <w:b/>
              </w:rPr>
            </w:pPr>
          </w:p>
        </w:tc>
      </w:tr>
    </w:tbl>
    <w:p w14:paraId="6E5E7DF2" w14:textId="3C61DFED" w:rsidR="006A7B01" w:rsidRPr="009D1290" w:rsidRDefault="00BC03B3" w:rsidP="002B4976">
      <w:pPr>
        <w:pStyle w:val="HChG"/>
      </w:pPr>
      <w:r>
        <w:tab/>
      </w:r>
      <w:r>
        <w:tab/>
        <w:t xml:space="preserve">Proposed amendments to chapter 2.3 to convert decision logics </w:t>
      </w:r>
      <w:r w:rsidR="0052386A">
        <w:t>in</w:t>
      </w:r>
      <w:r>
        <w:t>to text language</w:t>
      </w:r>
    </w:p>
    <w:p w14:paraId="3A12A21A" w14:textId="2A518A35" w:rsidR="0095385C" w:rsidRDefault="006A7B01" w:rsidP="009D1290">
      <w:pPr>
        <w:pStyle w:val="H1G"/>
      </w:pPr>
      <w:r w:rsidRPr="00D24888">
        <w:tab/>
      </w:r>
      <w:r w:rsidRPr="00D24888">
        <w:tab/>
        <w:t>Transmitted by</w:t>
      </w:r>
      <w:r w:rsidR="009D1290">
        <w:t xml:space="preserve"> the</w:t>
      </w:r>
      <w:r w:rsidR="00BC03B3">
        <w:t xml:space="preserve"> </w:t>
      </w:r>
      <w:r w:rsidR="00BC03B3" w:rsidRPr="00BC03B3">
        <w:t>expert from Canada</w:t>
      </w:r>
      <w:r w:rsidR="00AB057B">
        <w:t xml:space="preserve"> and </w:t>
      </w:r>
      <w:r w:rsidR="0044764B">
        <w:t xml:space="preserve">the European Aerosol </w:t>
      </w:r>
      <w:r w:rsidR="00AB057B">
        <w:t>F</w:t>
      </w:r>
      <w:r w:rsidR="0044764B">
        <w:t>ederation (F</w:t>
      </w:r>
      <w:r w:rsidR="00AB057B">
        <w:t>EA</w:t>
      </w:r>
      <w:r w:rsidR="0044764B">
        <w:t>)</w:t>
      </w:r>
      <w:r w:rsidR="00D6238C">
        <w:rPr>
          <w:rStyle w:val="FootnoteReference"/>
        </w:rPr>
        <w:footnoteReference w:id="2"/>
      </w:r>
    </w:p>
    <w:p w14:paraId="121CABE7" w14:textId="20210190" w:rsidR="00A57EF0" w:rsidRDefault="00A57EF0" w:rsidP="00A57EF0">
      <w:pPr>
        <w:pStyle w:val="SingleTxtG"/>
      </w:pPr>
      <w:r>
        <w:t>1.</w:t>
      </w:r>
      <w:r>
        <w:tab/>
        <w:t>At the thirty-third session</w:t>
      </w:r>
      <w:r w:rsidR="00734256">
        <w:t xml:space="preserve"> of the </w:t>
      </w:r>
      <w:r w:rsidR="00D6238C">
        <w:t xml:space="preserve">Sub-Committee, </w:t>
      </w:r>
      <w:r>
        <w:t xml:space="preserve">the European Chemical Industry Council (CEFIC) and the European Industrial Gases Associated (EIGA) </w:t>
      </w:r>
      <w:r w:rsidR="00B33F1E">
        <w:t xml:space="preserve">submitted </w:t>
      </w:r>
      <w:r>
        <w:t>informal document INF.12</w:t>
      </w:r>
      <w:proofErr w:type="gramStart"/>
      <w:r>
        <w:t>:  “</w:t>
      </w:r>
      <w:proofErr w:type="gramEnd"/>
      <w:r>
        <w:t xml:space="preserve">Proposal for a new classification for chemicals under pressure”.  This document proposed that aerosols and chemicals under pressure could be combined and addressed in the same chapter (2.3) of the </w:t>
      </w:r>
      <w:r w:rsidR="00D6238C">
        <w:t>GHS, which currently addresses a</w:t>
      </w:r>
      <w:r>
        <w:t>erosols.</w:t>
      </w:r>
    </w:p>
    <w:p w14:paraId="70FB703E" w14:textId="20F1F270" w:rsidR="00A57EF0" w:rsidRDefault="00A57EF0" w:rsidP="00A57EF0">
      <w:pPr>
        <w:pStyle w:val="SingleTxtG"/>
      </w:pPr>
      <w:r>
        <w:t>2.</w:t>
      </w:r>
      <w:r>
        <w:tab/>
        <w:t>Paragraph 8 of informal document INF.12 highlighted the importance of the decision logic flow charts presented in sections 2.3.1.4.1 and 2.3.2.4.1</w:t>
      </w:r>
      <w:r w:rsidR="00DF1C6D">
        <w:t xml:space="preserve"> of </w:t>
      </w:r>
      <w:r w:rsidR="003F4FED">
        <w:t>informal document INF.12</w:t>
      </w:r>
      <w:r>
        <w:t>. For aerosols and chemicals under pressure, it was suggested that the decision logic flow charts are required to determine the appropriate classification of a chemical, as the decision criteria are not completely described in the “Classification criteria” section. It was proposed that the words “are not part of the harmonized classification system”</w:t>
      </w:r>
      <w:r w:rsidR="00A417BB">
        <w:t>,</w:t>
      </w:r>
      <w:r w:rsidR="008424A8">
        <w:t xml:space="preserve"> in reference to the decision logics,</w:t>
      </w:r>
      <w:r>
        <w:t xml:space="preserve"> be deleted from sections 2.3.1.4 and 2.3.2.4</w:t>
      </w:r>
      <w:r w:rsidR="00DF1C6D">
        <w:t xml:space="preserve"> of </w:t>
      </w:r>
      <w:r w:rsidR="003F4FED">
        <w:t>informal document INF.12</w:t>
      </w:r>
      <w:r>
        <w:t xml:space="preserve"> to emphasize the significance of the decision logic flow charts in clarifying the decision process.</w:t>
      </w:r>
    </w:p>
    <w:p w14:paraId="790DE49E" w14:textId="45C72019" w:rsidR="00A57EF0" w:rsidRDefault="00A57EF0" w:rsidP="00A57EF0">
      <w:pPr>
        <w:pStyle w:val="SingleTxtG"/>
      </w:pPr>
      <w:r>
        <w:t>3.</w:t>
      </w:r>
      <w:r>
        <w:tab/>
        <w:t>During the discussion of informal document INF.12 at the thirty-third session</w:t>
      </w:r>
      <w:r w:rsidR="009D53C7">
        <w:t xml:space="preserve"> of the </w:t>
      </w:r>
      <w:r w:rsidR="00D6238C">
        <w:t>Sub-Committee</w:t>
      </w:r>
      <w:r>
        <w:t xml:space="preserve">, the expert from Canada informed the Sub-Committee that, in the Canadian </w:t>
      </w:r>
      <w:r w:rsidRPr="00CD6B43">
        <w:rPr>
          <w:i/>
        </w:rPr>
        <w:lastRenderedPageBreak/>
        <w:t>Hazardous Products Regulations</w:t>
      </w:r>
      <w:r>
        <w:t xml:space="preserve">, no GHS decision logic flow charts were incorporated. It is not possible to include diagrams or flow charts in Canadian legislation and regulations.  </w:t>
      </w:r>
    </w:p>
    <w:p w14:paraId="5ECBBD80" w14:textId="1D7079F3" w:rsidR="00A57EF0" w:rsidRDefault="00A57EF0" w:rsidP="00A57EF0">
      <w:pPr>
        <w:pStyle w:val="SingleTxtG"/>
      </w:pPr>
      <w:r>
        <w:t>4.</w:t>
      </w:r>
      <w:r>
        <w:tab/>
        <w:t xml:space="preserve">Therefore, for hazard classes where the decision logics included information that was not completely described in the “Classification criteria” section of the same GHS chapter, the information presented in the decision logics was incorporated in the </w:t>
      </w:r>
      <w:r w:rsidR="002857FE" w:rsidRPr="002857FE">
        <w:rPr>
          <w:i/>
        </w:rPr>
        <w:t xml:space="preserve">Hazardous Products </w:t>
      </w:r>
      <w:r w:rsidRPr="002857FE">
        <w:rPr>
          <w:i/>
        </w:rPr>
        <w:t xml:space="preserve">Regulations </w:t>
      </w:r>
      <w:r w:rsidR="006C662A">
        <w:t xml:space="preserve">using words. </w:t>
      </w:r>
      <w:r>
        <w:t xml:space="preserve">For example, in the case of the Flammable Aerosols hazard class, the information presented in the decision logics for Flammable Aerosols in section 2.3.4.1 of the GHS (rev. 3) was converted </w:t>
      </w:r>
      <w:r w:rsidR="0052386A">
        <w:t>in</w:t>
      </w:r>
      <w:r>
        <w:t>to text language.</w:t>
      </w:r>
    </w:p>
    <w:p w14:paraId="106BB562" w14:textId="78D46456" w:rsidR="003176F1" w:rsidRDefault="003176F1" w:rsidP="00A57EF0">
      <w:pPr>
        <w:pStyle w:val="SingleTxtG"/>
      </w:pPr>
      <w:r>
        <w:t>5.</w:t>
      </w:r>
      <w:r>
        <w:tab/>
        <w:t>At the thirty-fourth session</w:t>
      </w:r>
      <w:r w:rsidR="009D53C7">
        <w:t xml:space="preserve"> of the S</w:t>
      </w:r>
      <w:r w:rsidR="00D6238C">
        <w:t>ub-Committee</w:t>
      </w:r>
      <w:r>
        <w:t xml:space="preserve">, the expert from Canada </w:t>
      </w:r>
      <w:r w:rsidR="00B33F1E">
        <w:t>submitted</w:t>
      </w:r>
      <w:r>
        <w:t xml:space="preserve"> </w:t>
      </w:r>
      <w:r w:rsidR="00482339">
        <w:t>informal document INF.13:</w:t>
      </w:r>
      <w:bookmarkStart w:id="0" w:name="_GoBack"/>
      <w:bookmarkEnd w:id="0"/>
      <w:r w:rsidR="009D53C7">
        <w:t xml:space="preserve"> “C</w:t>
      </w:r>
      <w:r>
        <w:t xml:space="preserve">larification on procedure </w:t>
      </w:r>
      <w:r w:rsidRPr="003176F1">
        <w:t xml:space="preserve">by which the GHS (rev. 3) decision logics for flammable aerosols were converted to text language for the Canadian </w:t>
      </w:r>
      <w:r w:rsidRPr="003176F1">
        <w:rPr>
          <w:i/>
        </w:rPr>
        <w:t>Hazardous Products Regulations</w:t>
      </w:r>
      <w:r w:rsidR="009D53C7">
        <w:t>”.</w:t>
      </w:r>
      <w:r>
        <w:t xml:space="preserve">  </w:t>
      </w:r>
      <w:r w:rsidR="009D53C7">
        <w:t>The Sub-Committee</w:t>
      </w:r>
      <w:r w:rsidRPr="003176F1">
        <w:t xml:space="preserve"> noted that for most of the hazard classes</w:t>
      </w:r>
      <w:r w:rsidR="009D53C7">
        <w:t>,</w:t>
      </w:r>
      <w:r w:rsidRPr="003176F1">
        <w:t xml:space="preserve"> the decision logics were not part of the criteria. The Sub-Committee agreed that</w:t>
      </w:r>
      <w:r w:rsidR="009D53C7">
        <w:t>,</w:t>
      </w:r>
      <w:r w:rsidRPr="003176F1">
        <w:t xml:space="preserve"> in principle</w:t>
      </w:r>
      <w:r w:rsidR="009D53C7">
        <w:t>,</w:t>
      </w:r>
      <w:r w:rsidRPr="003176F1">
        <w:t xml:space="preserve"> criteria should be expressed in words in order to allow consistent implementation in different jurisdictions.</w:t>
      </w:r>
    </w:p>
    <w:p w14:paraId="29FF0750" w14:textId="39BAA93F" w:rsidR="007C77F8" w:rsidRDefault="007C77F8" w:rsidP="007C77F8">
      <w:pPr>
        <w:pStyle w:val="SingleTxtG"/>
      </w:pPr>
      <w:r>
        <w:t>6.</w:t>
      </w:r>
      <w:r>
        <w:tab/>
        <w:t>At the thirty-fourth session of the S</w:t>
      </w:r>
      <w:r w:rsidR="006C662A">
        <w:t>ub-Committee</w:t>
      </w:r>
      <w:r>
        <w:t xml:space="preserve">, the representatives of CEFIC and EIGA </w:t>
      </w:r>
      <w:r w:rsidR="00B33F1E">
        <w:t xml:space="preserve">submitted </w:t>
      </w:r>
      <w:r>
        <w:t>informal document INF.15</w:t>
      </w:r>
      <w:proofErr w:type="gramStart"/>
      <w:r>
        <w:t>:  “</w:t>
      </w:r>
      <w:proofErr w:type="gramEnd"/>
      <w:r>
        <w:t>Proposal for a new classification of chemicals under pressure within chapter 2.3”</w:t>
      </w:r>
      <w:r w:rsidR="00B33F1E">
        <w:t>, an updated version of the informal document INF.12 that had been submitted during the thirty-third session.</w:t>
      </w:r>
    </w:p>
    <w:p w14:paraId="6F3DC7EC" w14:textId="1E841115" w:rsidR="00B33F1E" w:rsidRDefault="00B33F1E" w:rsidP="007C77F8">
      <w:pPr>
        <w:pStyle w:val="SingleTxtG"/>
      </w:pPr>
      <w:r>
        <w:t>7.</w:t>
      </w:r>
      <w:r>
        <w:tab/>
      </w:r>
      <w:r w:rsidR="00A64D61">
        <w:t xml:space="preserve">The expert from Canada </w:t>
      </w:r>
      <w:r w:rsidR="00A64D61" w:rsidRPr="00A64D61">
        <w:t xml:space="preserve">and the representatives of CEFIC and EIGA </w:t>
      </w:r>
      <w:r w:rsidR="00A64D61">
        <w:t>were invited</w:t>
      </w:r>
      <w:r w:rsidR="00E62AEE">
        <w:t>, for the thirty-fifth session of the S</w:t>
      </w:r>
      <w:r w:rsidR="006C662A">
        <w:t>ub-Committee</w:t>
      </w:r>
      <w:r w:rsidR="00E62AEE">
        <w:t>,</w:t>
      </w:r>
      <w:r w:rsidR="00A64D61">
        <w:t xml:space="preserve"> to </w:t>
      </w:r>
      <w:r w:rsidR="008424A8">
        <w:t>present</w:t>
      </w:r>
      <w:r w:rsidR="00A64D61" w:rsidRPr="00A64D61">
        <w:t xml:space="preserve"> </w:t>
      </w:r>
      <w:r w:rsidR="00EA715E">
        <w:t xml:space="preserve">proposed </w:t>
      </w:r>
      <w:r w:rsidR="00A64D61" w:rsidRPr="00A64D61">
        <w:t>criteria for</w:t>
      </w:r>
      <w:r w:rsidR="00A64D61">
        <w:t xml:space="preserve"> aerosols</w:t>
      </w:r>
      <w:r w:rsidR="00E62AEE">
        <w:t>,</w:t>
      </w:r>
      <w:r w:rsidR="00A64D61">
        <w:t xml:space="preserve"> following the</w:t>
      </w:r>
      <w:r w:rsidR="00A64D61" w:rsidRPr="00A64D61">
        <w:t xml:space="preserve"> approach </w:t>
      </w:r>
      <w:r w:rsidR="008424A8">
        <w:t>of converting</w:t>
      </w:r>
      <w:r w:rsidR="00E62AEE">
        <w:t xml:space="preserve"> decision logics </w:t>
      </w:r>
      <w:r w:rsidR="0052386A">
        <w:t>in</w:t>
      </w:r>
      <w:r w:rsidR="00E62AEE">
        <w:t>to text</w:t>
      </w:r>
      <w:r w:rsidR="00F668F3">
        <w:t xml:space="preserve"> language</w:t>
      </w:r>
      <w:r w:rsidR="00E62AEE">
        <w:t xml:space="preserve">, either </w:t>
      </w:r>
      <w:r w:rsidR="00A64D61" w:rsidRPr="00A64D61">
        <w:t xml:space="preserve">in a </w:t>
      </w:r>
      <w:r w:rsidR="00E62AEE">
        <w:t xml:space="preserve">separate </w:t>
      </w:r>
      <w:r w:rsidR="00A64D61" w:rsidRPr="00A64D61">
        <w:t>working document or as part of the revision of chapter 2.3 to include chemicals under pressure</w:t>
      </w:r>
      <w:r w:rsidR="00E62AEE">
        <w:t>.</w:t>
      </w:r>
    </w:p>
    <w:p w14:paraId="01700A58" w14:textId="52AD1692" w:rsidR="003B0E3E" w:rsidRDefault="003B0E3E" w:rsidP="007C77F8">
      <w:pPr>
        <w:pStyle w:val="SingleTxtG"/>
      </w:pPr>
      <w:r>
        <w:t>8.</w:t>
      </w:r>
      <w:r>
        <w:tab/>
      </w:r>
      <w:r w:rsidR="00A02CF2">
        <w:t xml:space="preserve">A </w:t>
      </w:r>
      <w:r w:rsidRPr="00A64D61">
        <w:t>working document</w:t>
      </w:r>
      <w:r>
        <w:t xml:space="preserve"> that presents </w:t>
      </w:r>
      <w:r w:rsidR="008424A8">
        <w:t xml:space="preserve">a proposal for a manner by which </w:t>
      </w:r>
      <w:r>
        <w:t xml:space="preserve">the </w:t>
      </w:r>
      <w:r w:rsidRPr="00A64D61">
        <w:t>criteria for</w:t>
      </w:r>
      <w:r>
        <w:t xml:space="preserve"> aerosols </w:t>
      </w:r>
      <w:r w:rsidR="008424A8">
        <w:t xml:space="preserve">could be expressed in words </w:t>
      </w:r>
      <w:r w:rsidR="00762F2A">
        <w:t>is hereby submitted</w:t>
      </w:r>
      <w:r>
        <w:t>, separately from the proposal by CEFIC and EIGA regarding a new classification of chemicals under pressure within chapter 2.3.</w:t>
      </w:r>
      <w:r w:rsidR="00A02CF2">
        <w:t xml:space="preserve">  This working document was prepared by the expert from Canada in collaboration with </w:t>
      </w:r>
      <w:r w:rsidR="00AB057B">
        <w:t>FEA</w:t>
      </w:r>
      <w:r w:rsidR="00A02CF2">
        <w:t>.</w:t>
      </w:r>
    </w:p>
    <w:p w14:paraId="654DF158" w14:textId="15A749E1" w:rsidR="009F58CC" w:rsidRDefault="006C662A" w:rsidP="007C77F8">
      <w:pPr>
        <w:pStyle w:val="SingleTxtG"/>
      </w:pPr>
      <w:r>
        <w:t>9.</w:t>
      </w:r>
      <w:r>
        <w:tab/>
        <w:t>The proposed amendments to C</w:t>
      </w:r>
      <w:r w:rsidR="009F58CC">
        <w:t>hapter 2.3 to present the criteria for aerosols in text language are outlined</w:t>
      </w:r>
      <w:r w:rsidR="008424A8">
        <w:t xml:space="preserve"> in </w:t>
      </w:r>
      <w:r>
        <w:t xml:space="preserve">the </w:t>
      </w:r>
      <w:r w:rsidR="008424A8">
        <w:t xml:space="preserve">Annex </w:t>
      </w:r>
      <w:r>
        <w:t xml:space="preserve">to this document. </w:t>
      </w:r>
      <w:r w:rsidR="008424A8">
        <w:t>The Sub-Committee</w:t>
      </w:r>
      <w:r w:rsidR="009F58CC">
        <w:t xml:space="preserve"> </w:t>
      </w:r>
      <w:r w:rsidR="008424A8">
        <w:t>is</w:t>
      </w:r>
      <w:r w:rsidR="009F58CC">
        <w:t xml:space="preserve"> invited to consider these amendments.</w:t>
      </w:r>
    </w:p>
    <w:p w14:paraId="018920DD" w14:textId="77777777" w:rsidR="00E47DD9" w:rsidRDefault="00E47DD9" w:rsidP="007C77F8">
      <w:pPr>
        <w:pStyle w:val="SingleTxtG"/>
      </w:pPr>
    </w:p>
    <w:p w14:paraId="003F520E" w14:textId="77777777" w:rsidR="00970AE7" w:rsidRDefault="00970AE7" w:rsidP="00970AE7">
      <w:pPr>
        <w:pStyle w:val="SingleTxtG"/>
        <w:ind w:left="0"/>
      </w:pPr>
    </w:p>
    <w:p w14:paraId="642BDD0E" w14:textId="77777777" w:rsidR="00771C45" w:rsidRDefault="00771C45">
      <w:pPr>
        <w:suppressAutoHyphens w:val="0"/>
        <w:spacing w:line="240" w:lineRule="auto"/>
        <w:rPr>
          <w:b/>
          <w:sz w:val="24"/>
        </w:rPr>
      </w:pPr>
      <w:r>
        <w:br w:type="page"/>
      </w:r>
    </w:p>
    <w:p w14:paraId="32DA41CF" w14:textId="2BA47FA3" w:rsidR="00E26C1D" w:rsidRPr="001020F4" w:rsidRDefault="00771C45" w:rsidP="006C662A">
      <w:pPr>
        <w:pStyle w:val="HChG"/>
      </w:pPr>
      <w:r>
        <w:lastRenderedPageBreak/>
        <w:tab/>
      </w:r>
      <w:r w:rsidR="006C662A">
        <w:tab/>
        <w:t>Annex</w:t>
      </w:r>
    </w:p>
    <w:p w14:paraId="7A1B6495" w14:textId="6EB311A3" w:rsidR="00E26C1D" w:rsidRDefault="006C662A" w:rsidP="006C662A">
      <w:pPr>
        <w:pStyle w:val="HChG"/>
      </w:pPr>
      <w:r>
        <w:tab/>
      </w:r>
      <w:r>
        <w:tab/>
      </w:r>
      <w:r w:rsidR="00E26C1D" w:rsidRPr="001020F4">
        <w:t>Proposed amendments to the GHS</w:t>
      </w:r>
      <w:r w:rsidR="00E23775" w:rsidRPr="00E23775">
        <w:t xml:space="preserve"> to </w:t>
      </w:r>
      <w:r w:rsidR="00D021F1">
        <w:t>present the criteria for aerosols in text language</w:t>
      </w:r>
    </w:p>
    <w:p w14:paraId="07EEA5CA" w14:textId="77777777" w:rsidR="00E26C1D" w:rsidRDefault="00E26C1D" w:rsidP="00FB5D33">
      <w:pPr>
        <w:pStyle w:val="SingleTxtG"/>
      </w:pPr>
      <w:r w:rsidRPr="00B23E28">
        <w:t xml:space="preserve">Amendments are shown as follows: </w:t>
      </w:r>
      <w:r w:rsidRPr="00B23E28">
        <w:rPr>
          <w:u w:val="single"/>
        </w:rPr>
        <w:t>Additions are underlined</w:t>
      </w:r>
      <w:r w:rsidRPr="00B23E28">
        <w:t xml:space="preserve">, deletions are </w:t>
      </w:r>
      <w:r w:rsidRPr="00B23E28">
        <w:rPr>
          <w:strike/>
        </w:rPr>
        <w:t>in strikethrough</w:t>
      </w:r>
      <w:r w:rsidRPr="00B23E28">
        <w:t>.</w:t>
      </w:r>
    </w:p>
    <w:p w14:paraId="5D914833" w14:textId="3B853F89" w:rsidR="00E26C1D" w:rsidRDefault="00E26C1D" w:rsidP="006C662A">
      <w:pPr>
        <w:pStyle w:val="SingleTxtG"/>
        <w:numPr>
          <w:ilvl w:val="0"/>
          <w:numId w:val="25"/>
        </w:numPr>
      </w:pPr>
      <w:r>
        <w:t>Amend section 2.3.2 to read as follows:</w:t>
      </w:r>
    </w:p>
    <w:p w14:paraId="60D194BB" w14:textId="421340A4" w:rsidR="00881FE3" w:rsidRPr="00414B5E" w:rsidRDefault="00414B5E" w:rsidP="00414B5E">
      <w:pPr>
        <w:pStyle w:val="SingleTxtG"/>
        <w:rPr>
          <w:b/>
          <w:bCs/>
        </w:rPr>
      </w:pPr>
      <w:r w:rsidRPr="00414B5E">
        <w:rPr>
          <w:b/>
          <w:bCs/>
        </w:rPr>
        <w:tab/>
        <w:t>“</w:t>
      </w:r>
      <w:r w:rsidR="00881FE3" w:rsidRPr="00414B5E">
        <w:rPr>
          <w:b/>
          <w:bCs/>
        </w:rPr>
        <w:t>2.3.2</w:t>
      </w:r>
      <w:r w:rsidR="00881FE3" w:rsidRPr="00414B5E">
        <w:rPr>
          <w:b/>
          <w:bCs/>
        </w:rPr>
        <w:tab/>
        <w:t>Classification criteria</w:t>
      </w:r>
    </w:p>
    <w:p w14:paraId="62E09D6E" w14:textId="2002E544" w:rsidR="00811FF1" w:rsidRDefault="00E26C1D" w:rsidP="00FB5D33">
      <w:pPr>
        <w:pStyle w:val="GHSBodyText"/>
        <w:ind w:left="1134" w:right="1134"/>
        <w:rPr>
          <w:sz w:val="20"/>
        </w:rPr>
      </w:pPr>
      <w:r w:rsidRPr="00AC1D3D">
        <w:rPr>
          <w:sz w:val="20"/>
        </w:rPr>
        <w:t>2.3.2.1</w:t>
      </w:r>
      <w:r w:rsidRPr="00AC1D3D">
        <w:rPr>
          <w:sz w:val="20"/>
        </w:rPr>
        <w:tab/>
        <w:t xml:space="preserve">Aerosols are classified in one of the three categories of this </w:t>
      </w:r>
      <w:r w:rsidRPr="007C745B">
        <w:rPr>
          <w:sz w:val="20"/>
        </w:rPr>
        <w:t xml:space="preserve">hazard class, </w:t>
      </w:r>
      <w:r w:rsidRPr="007C745B">
        <w:rPr>
          <w:sz w:val="20"/>
          <w:u w:val="single"/>
        </w:rPr>
        <w:t xml:space="preserve">according to </w:t>
      </w:r>
      <w:r w:rsidR="00E23775">
        <w:rPr>
          <w:sz w:val="20"/>
          <w:u w:val="single"/>
        </w:rPr>
        <w:t>T</w:t>
      </w:r>
      <w:r w:rsidRPr="007C745B">
        <w:rPr>
          <w:sz w:val="20"/>
          <w:u w:val="single"/>
        </w:rPr>
        <w:t>able</w:t>
      </w:r>
      <w:r w:rsidR="00A62318">
        <w:rPr>
          <w:sz w:val="20"/>
          <w:u w:val="single"/>
        </w:rPr>
        <w:t> 2.3.1</w:t>
      </w:r>
      <w:r w:rsidRPr="007C745B">
        <w:rPr>
          <w:sz w:val="20"/>
          <w:u w:val="single"/>
        </w:rPr>
        <w:t>,</w:t>
      </w:r>
      <w:r w:rsidRPr="007C745B">
        <w:rPr>
          <w:sz w:val="20"/>
        </w:rPr>
        <w:t xml:space="preserve"> depending on</w:t>
      </w:r>
      <w:r w:rsidR="00811FF1" w:rsidRPr="00D863EA">
        <w:rPr>
          <w:sz w:val="20"/>
          <w:u w:val="single"/>
        </w:rPr>
        <w:t>:</w:t>
      </w:r>
    </w:p>
    <w:p w14:paraId="3220690F" w14:textId="562379A7" w:rsidR="00811FF1" w:rsidRDefault="00E26C1D" w:rsidP="0045304D">
      <w:pPr>
        <w:pStyle w:val="GHSBodyText"/>
        <w:numPr>
          <w:ilvl w:val="0"/>
          <w:numId w:val="20"/>
        </w:numPr>
        <w:ind w:right="1134"/>
        <w:rPr>
          <w:sz w:val="20"/>
        </w:rPr>
      </w:pPr>
      <w:r w:rsidRPr="007C745B">
        <w:rPr>
          <w:sz w:val="20"/>
        </w:rPr>
        <w:t>their flammable properties</w:t>
      </w:r>
      <w:r w:rsidR="00AE4D5C" w:rsidRPr="00D863EA">
        <w:rPr>
          <w:sz w:val="20"/>
          <w:u w:val="single"/>
        </w:rPr>
        <w:t>,</w:t>
      </w:r>
      <w:r w:rsidR="00D863EA" w:rsidRPr="00D863EA">
        <w:rPr>
          <w:sz w:val="20"/>
        </w:rPr>
        <w:t xml:space="preserve"> </w:t>
      </w:r>
      <w:r w:rsidR="00D863EA" w:rsidRPr="00D863EA">
        <w:rPr>
          <w:strike/>
          <w:sz w:val="20"/>
        </w:rPr>
        <w:t>and</w:t>
      </w:r>
    </w:p>
    <w:p w14:paraId="1174F2E7" w14:textId="340F5194" w:rsidR="00811FF1" w:rsidRPr="00811FF1" w:rsidRDefault="00E26C1D" w:rsidP="0045304D">
      <w:pPr>
        <w:pStyle w:val="GHSBodyText"/>
        <w:numPr>
          <w:ilvl w:val="0"/>
          <w:numId w:val="20"/>
        </w:numPr>
        <w:ind w:right="1134"/>
        <w:rPr>
          <w:sz w:val="20"/>
        </w:rPr>
      </w:pPr>
      <w:r w:rsidRPr="007C745B">
        <w:rPr>
          <w:sz w:val="20"/>
        </w:rPr>
        <w:t>their heat of combustion</w:t>
      </w:r>
      <w:r w:rsidR="00881FE3" w:rsidRPr="00D863EA">
        <w:rPr>
          <w:sz w:val="20"/>
          <w:u w:val="single"/>
        </w:rPr>
        <w:t>,</w:t>
      </w:r>
      <w:r w:rsidR="00970AE7" w:rsidRPr="00D863EA">
        <w:rPr>
          <w:sz w:val="20"/>
          <w:u w:val="single"/>
        </w:rPr>
        <w:t xml:space="preserve"> and</w:t>
      </w:r>
      <w:r w:rsidR="00811FF1">
        <w:rPr>
          <w:sz w:val="20"/>
          <w:u w:val="single"/>
        </w:rPr>
        <w:t>;</w:t>
      </w:r>
    </w:p>
    <w:p w14:paraId="3AAA6F33" w14:textId="474DF4E5" w:rsidR="00811FF1" w:rsidRDefault="00881FE3" w:rsidP="0045304D">
      <w:pPr>
        <w:pStyle w:val="GHSBodyText"/>
        <w:numPr>
          <w:ilvl w:val="0"/>
          <w:numId w:val="20"/>
        </w:numPr>
        <w:ind w:right="1134"/>
        <w:rPr>
          <w:sz w:val="20"/>
        </w:rPr>
      </w:pPr>
      <w:r>
        <w:rPr>
          <w:sz w:val="20"/>
          <w:u w:val="single"/>
        </w:rPr>
        <w:t xml:space="preserve">if applicable, </w:t>
      </w:r>
      <w:r w:rsidR="000F0347" w:rsidRPr="007C745B">
        <w:rPr>
          <w:sz w:val="20"/>
          <w:u w:val="single"/>
        </w:rPr>
        <w:t xml:space="preserve">test results from the ignition distance test, the </w:t>
      </w:r>
      <w:r w:rsidR="000F0347" w:rsidRPr="007C745B">
        <w:rPr>
          <w:sz w:val="20"/>
          <w:u w:val="single"/>
          <w:lang w:val="en-US"/>
        </w:rPr>
        <w:t>enclosed space ignition test and the aerosol foam flammability test, performed in accordance with sub-sections 31.4, 31.5 and 31.6</w:t>
      </w:r>
      <w:r w:rsidR="00612524">
        <w:rPr>
          <w:sz w:val="20"/>
          <w:u w:val="single"/>
          <w:lang w:val="en-US"/>
        </w:rPr>
        <w:t xml:space="preserve"> </w:t>
      </w:r>
      <w:r w:rsidR="00C80FCC" w:rsidRPr="007C745B">
        <w:rPr>
          <w:sz w:val="20"/>
          <w:u w:val="single"/>
          <w:lang w:val="en-US"/>
        </w:rPr>
        <w:t xml:space="preserve">of the </w:t>
      </w:r>
      <w:r w:rsidR="00C80FCC" w:rsidRPr="007C745B">
        <w:rPr>
          <w:i/>
          <w:sz w:val="20"/>
          <w:u w:val="single"/>
          <w:lang w:val="en-US"/>
        </w:rPr>
        <w:t>UN Recommendations on the Transport of Dangerous Goods, Manual of Tests and Criteria</w:t>
      </w:r>
      <w:r w:rsidR="00E26C1D" w:rsidRPr="007C745B">
        <w:rPr>
          <w:sz w:val="20"/>
        </w:rPr>
        <w:t>.</w:t>
      </w:r>
    </w:p>
    <w:p w14:paraId="298BB042" w14:textId="3778BBB7" w:rsidR="00E26C1D" w:rsidRPr="007C745B" w:rsidRDefault="00E26C1D" w:rsidP="00FB5D33">
      <w:pPr>
        <w:pStyle w:val="GHSBodyText"/>
        <w:ind w:left="1134" w:right="1134"/>
        <w:rPr>
          <w:sz w:val="20"/>
        </w:rPr>
      </w:pPr>
      <w:r w:rsidRPr="007C745B">
        <w:rPr>
          <w:sz w:val="20"/>
        </w:rPr>
        <w:t>They should be considered for classification in Category 1 or 2 if they contain more than 1% components (by mass) which are classified as flammable according to the GHS criteria, i.e.:</w:t>
      </w:r>
    </w:p>
    <w:p w14:paraId="6EF5A4BF" w14:textId="14B8D1BB" w:rsidR="00E26C1D" w:rsidRPr="00AC1D3D" w:rsidRDefault="00E26C1D" w:rsidP="0045304D">
      <w:pPr>
        <w:pStyle w:val="GHSBodyText"/>
        <w:numPr>
          <w:ilvl w:val="0"/>
          <w:numId w:val="21"/>
        </w:numPr>
        <w:ind w:right="1134"/>
        <w:rPr>
          <w:sz w:val="20"/>
        </w:rPr>
      </w:pPr>
      <w:r w:rsidRPr="00AC1D3D">
        <w:rPr>
          <w:sz w:val="20"/>
        </w:rPr>
        <w:t>Flammable gases (see Chapter 2.2);</w:t>
      </w:r>
    </w:p>
    <w:p w14:paraId="60BE2C3F" w14:textId="1152B2ED" w:rsidR="00E26C1D" w:rsidRPr="00AC1D3D" w:rsidRDefault="00E26C1D" w:rsidP="0045304D">
      <w:pPr>
        <w:pStyle w:val="GHSBodyText"/>
        <w:numPr>
          <w:ilvl w:val="0"/>
          <w:numId w:val="21"/>
        </w:numPr>
        <w:ind w:right="1134"/>
        <w:rPr>
          <w:sz w:val="20"/>
        </w:rPr>
      </w:pPr>
      <w:r w:rsidRPr="00AC1D3D">
        <w:rPr>
          <w:sz w:val="20"/>
        </w:rPr>
        <w:t>Flammable liquids (see Chapter 2.6);</w:t>
      </w:r>
    </w:p>
    <w:p w14:paraId="7AB44646" w14:textId="2CA6E638" w:rsidR="00E26C1D" w:rsidRPr="00AC1D3D" w:rsidRDefault="00E26C1D" w:rsidP="0045304D">
      <w:pPr>
        <w:pStyle w:val="GHSBodyText"/>
        <w:numPr>
          <w:ilvl w:val="0"/>
          <w:numId w:val="21"/>
        </w:numPr>
        <w:ind w:right="1134"/>
        <w:rPr>
          <w:sz w:val="20"/>
        </w:rPr>
      </w:pPr>
      <w:r w:rsidRPr="00AC1D3D">
        <w:rPr>
          <w:sz w:val="20"/>
        </w:rPr>
        <w:t>Flammable solids (see Chapter 2.7);</w:t>
      </w:r>
    </w:p>
    <w:p w14:paraId="70F8E004" w14:textId="77777777" w:rsidR="00E26C1D" w:rsidRPr="00AC1D3D" w:rsidRDefault="00E26C1D" w:rsidP="00FB5D33">
      <w:pPr>
        <w:pStyle w:val="GHSBodyText"/>
        <w:ind w:left="1134" w:right="1134"/>
        <w:rPr>
          <w:sz w:val="20"/>
        </w:rPr>
      </w:pPr>
      <w:r w:rsidRPr="00AC1D3D">
        <w:rPr>
          <w:sz w:val="20"/>
        </w:rPr>
        <w:tab/>
        <w:t>or if their heat of combustion is at least 20 kJ/g.</w:t>
      </w:r>
    </w:p>
    <w:p w14:paraId="4B4B96C6" w14:textId="77777777" w:rsidR="00E26C1D" w:rsidRPr="00BE3932" w:rsidRDefault="00E26C1D" w:rsidP="00FB5D33">
      <w:pPr>
        <w:ind w:left="1134" w:right="1134"/>
        <w:jc w:val="center"/>
        <w:rPr>
          <w:b/>
          <w:u w:val="single"/>
        </w:rPr>
      </w:pPr>
      <w:r w:rsidRPr="00BE3932">
        <w:rPr>
          <w:b/>
          <w:u w:val="single"/>
        </w:rPr>
        <w:t>Table 2.3.1:  Criteria for aerosols</w:t>
      </w:r>
    </w:p>
    <w:p w14:paraId="16793960" w14:textId="77777777" w:rsidR="00E26C1D" w:rsidRPr="004549FB" w:rsidRDefault="00E26C1D" w:rsidP="00FB5D33">
      <w:pPr>
        <w:ind w:left="1134" w:right="1134"/>
        <w:jc w:val="center"/>
        <w:rPr>
          <w:b/>
        </w:rPr>
      </w:pPr>
    </w:p>
    <w:tbl>
      <w:tblPr>
        <w:tblStyle w:val="TableGrid"/>
        <w:tblW w:w="0" w:type="auto"/>
        <w:tblInd w:w="1134" w:type="dxa"/>
        <w:tblLayout w:type="fixed"/>
        <w:tblLook w:val="04A0" w:firstRow="1" w:lastRow="0" w:firstColumn="1" w:lastColumn="0" w:noHBand="0" w:noVBand="1"/>
      </w:tblPr>
      <w:tblGrid>
        <w:gridCol w:w="2235"/>
        <w:gridCol w:w="6207"/>
      </w:tblGrid>
      <w:tr w:rsidR="00E26C1D" w14:paraId="22DCA224" w14:textId="77777777" w:rsidTr="00811FF1">
        <w:trPr>
          <w:tblHeader/>
        </w:trPr>
        <w:tc>
          <w:tcPr>
            <w:tcW w:w="2235" w:type="dxa"/>
          </w:tcPr>
          <w:p w14:paraId="2DE3F708" w14:textId="77777777" w:rsidR="00E26C1D" w:rsidRPr="00BE3932" w:rsidRDefault="00E26C1D" w:rsidP="00811FF1">
            <w:pPr>
              <w:ind w:right="1134"/>
              <w:jc w:val="center"/>
              <w:rPr>
                <w:b/>
                <w:u w:val="single"/>
              </w:rPr>
            </w:pPr>
            <w:r w:rsidRPr="00BE3932">
              <w:rPr>
                <w:b/>
                <w:u w:val="single"/>
              </w:rPr>
              <w:t>Category</w:t>
            </w:r>
          </w:p>
        </w:tc>
        <w:tc>
          <w:tcPr>
            <w:tcW w:w="6207" w:type="dxa"/>
          </w:tcPr>
          <w:p w14:paraId="1D88C43A" w14:textId="77777777" w:rsidR="00E26C1D" w:rsidRPr="00BE3932" w:rsidRDefault="00E26C1D" w:rsidP="00811FF1">
            <w:pPr>
              <w:ind w:right="1134"/>
              <w:jc w:val="center"/>
              <w:rPr>
                <w:b/>
                <w:u w:val="single"/>
              </w:rPr>
            </w:pPr>
            <w:r w:rsidRPr="00BE3932">
              <w:rPr>
                <w:b/>
                <w:u w:val="single"/>
              </w:rPr>
              <w:t>Criteria</w:t>
            </w:r>
          </w:p>
        </w:tc>
      </w:tr>
      <w:tr w:rsidR="00E26C1D" w14:paraId="3F522DE4" w14:textId="77777777" w:rsidTr="00811FF1">
        <w:tc>
          <w:tcPr>
            <w:tcW w:w="2235" w:type="dxa"/>
          </w:tcPr>
          <w:p w14:paraId="0544F3FB" w14:textId="77777777" w:rsidR="00E26C1D" w:rsidRPr="00BE3932" w:rsidRDefault="00E26C1D" w:rsidP="00811FF1">
            <w:pPr>
              <w:ind w:right="1134"/>
              <w:jc w:val="center"/>
              <w:rPr>
                <w:b/>
                <w:u w:val="single"/>
              </w:rPr>
            </w:pPr>
            <w:r w:rsidRPr="00BE3932">
              <w:rPr>
                <w:b/>
                <w:u w:val="single"/>
              </w:rPr>
              <w:t>1</w:t>
            </w:r>
          </w:p>
        </w:tc>
        <w:tc>
          <w:tcPr>
            <w:tcW w:w="6207" w:type="dxa"/>
          </w:tcPr>
          <w:p w14:paraId="2C7D937C" w14:textId="324EE80B" w:rsidR="00D74984" w:rsidRDefault="0064265A" w:rsidP="00C80FCC">
            <w:pPr>
              <w:pStyle w:val="SingleTxtG"/>
              <w:tabs>
                <w:tab w:val="left" w:pos="1701"/>
              </w:tabs>
              <w:spacing w:after="60"/>
              <w:ind w:left="0"/>
              <w:rPr>
                <w:u w:val="single"/>
                <w:lang w:val="en-US"/>
              </w:rPr>
            </w:pPr>
            <w:r>
              <w:rPr>
                <w:rFonts w:eastAsia="Arial Unicode MS"/>
                <w:u w:val="single"/>
                <w:lang w:val="en-US"/>
              </w:rPr>
              <w:t>Any</w:t>
            </w:r>
            <w:r w:rsidR="00E26C1D" w:rsidRPr="00BE3932">
              <w:rPr>
                <w:rFonts w:eastAsia="Arial Unicode MS"/>
                <w:u w:val="single"/>
                <w:lang w:val="en-US"/>
              </w:rPr>
              <w:t xml:space="preserve"> aerosol </w:t>
            </w:r>
            <w:r>
              <w:rPr>
                <w:rFonts w:eastAsia="Arial Unicode MS"/>
                <w:u w:val="single"/>
                <w:lang w:val="en-US"/>
              </w:rPr>
              <w:t xml:space="preserve">that </w:t>
            </w:r>
            <w:r w:rsidR="00E26C1D" w:rsidRPr="00BE3932">
              <w:rPr>
                <w:rFonts w:eastAsia="Arial Unicode MS"/>
                <w:u w:val="single"/>
                <w:lang w:val="en-US"/>
              </w:rPr>
              <w:t xml:space="preserve">contains at least 85% flammable components (by mass) and </w:t>
            </w:r>
            <w:r w:rsidR="00E26C1D" w:rsidRPr="00BE3932">
              <w:rPr>
                <w:u w:val="single"/>
                <w:lang w:val="en-US"/>
              </w:rPr>
              <w:t>has a heat of co</w:t>
            </w:r>
            <w:r w:rsidR="00D74984">
              <w:rPr>
                <w:u w:val="single"/>
                <w:lang w:val="en-US"/>
              </w:rPr>
              <w:t>mbustion of at least 30 kJ/g; or</w:t>
            </w:r>
          </w:p>
          <w:p w14:paraId="2584C454" w14:textId="0C218D2E" w:rsidR="00D74984" w:rsidRPr="005D0641" w:rsidRDefault="0064265A" w:rsidP="00C80FCC">
            <w:pPr>
              <w:pStyle w:val="SingleTxtG"/>
              <w:tabs>
                <w:tab w:val="left" w:pos="1701"/>
              </w:tabs>
              <w:spacing w:after="60"/>
              <w:ind w:left="0"/>
              <w:rPr>
                <w:rFonts w:eastAsia="Arial Unicode MS"/>
                <w:u w:val="single"/>
                <w:lang w:val="en-US"/>
              </w:rPr>
            </w:pPr>
            <w:r>
              <w:rPr>
                <w:u w:val="single"/>
                <w:lang w:val="en-US"/>
              </w:rPr>
              <w:t>Any</w:t>
            </w:r>
            <w:r w:rsidR="00E26C1D" w:rsidRPr="00BE3932">
              <w:rPr>
                <w:u w:val="single"/>
                <w:lang w:val="en-US"/>
              </w:rPr>
              <w:t xml:space="preserve"> aerosol </w:t>
            </w:r>
            <w:r>
              <w:rPr>
                <w:u w:val="single"/>
                <w:lang w:val="en-US"/>
              </w:rPr>
              <w:t>that</w:t>
            </w:r>
            <w:r w:rsidR="00E26C1D" w:rsidRPr="00BE3932">
              <w:rPr>
                <w:u w:val="single"/>
                <w:lang w:val="en-US"/>
              </w:rPr>
              <w:t xml:space="preserve"> </w:t>
            </w:r>
            <w:r w:rsidR="00702B60">
              <w:rPr>
                <w:u w:val="single"/>
                <w:lang w:val="en-US"/>
              </w:rPr>
              <w:t>dispenses</w:t>
            </w:r>
            <w:r w:rsidR="00702B60" w:rsidRPr="00BE3932">
              <w:rPr>
                <w:u w:val="single"/>
                <w:lang w:val="en-US"/>
              </w:rPr>
              <w:t xml:space="preserve"> </w:t>
            </w:r>
            <w:r w:rsidR="00E26C1D" w:rsidRPr="00BE3932">
              <w:rPr>
                <w:u w:val="single"/>
                <w:lang w:val="en-US"/>
              </w:rPr>
              <w:t>a spray that</w:t>
            </w:r>
            <w:r w:rsidR="00AE4D5C">
              <w:rPr>
                <w:u w:val="single"/>
                <w:lang w:val="en-US"/>
              </w:rPr>
              <w:t>, in the ignition distance test,</w:t>
            </w:r>
            <w:r w:rsidR="00E26C1D" w:rsidRPr="00BE3932">
              <w:rPr>
                <w:u w:val="single"/>
                <w:lang w:val="en-US"/>
              </w:rPr>
              <w:t xml:space="preserve"> has an ignition distance of at least 75 cm; or</w:t>
            </w:r>
          </w:p>
          <w:p w14:paraId="11E572A4" w14:textId="1161B81A" w:rsidR="00E26C1D" w:rsidRPr="00BE3932" w:rsidRDefault="00C80FCC" w:rsidP="00C80FCC">
            <w:pPr>
              <w:pStyle w:val="SingleTxtG"/>
              <w:tabs>
                <w:tab w:val="left" w:pos="1701"/>
              </w:tabs>
              <w:spacing w:after="60"/>
              <w:ind w:left="0"/>
              <w:rPr>
                <w:rFonts w:eastAsia="Arial Unicode MS"/>
                <w:u w:val="single"/>
                <w:lang w:val="en-US"/>
              </w:rPr>
            </w:pPr>
            <w:r>
              <w:rPr>
                <w:u w:val="single"/>
                <w:lang w:val="en-US"/>
              </w:rPr>
              <w:t>Any</w:t>
            </w:r>
            <w:r w:rsidR="00E26C1D" w:rsidRPr="00BE3932">
              <w:rPr>
                <w:u w:val="single"/>
                <w:lang w:val="en-US"/>
              </w:rPr>
              <w:t xml:space="preserve"> aerosol </w:t>
            </w:r>
            <w:r>
              <w:rPr>
                <w:u w:val="single"/>
                <w:lang w:val="en-US"/>
              </w:rPr>
              <w:t xml:space="preserve">that </w:t>
            </w:r>
            <w:r w:rsidR="00702B60">
              <w:rPr>
                <w:u w:val="single"/>
                <w:lang w:val="en-US"/>
              </w:rPr>
              <w:t>dispenses</w:t>
            </w:r>
            <w:r w:rsidR="00702B60" w:rsidRPr="00BE3932">
              <w:rPr>
                <w:u w:val="single"/>
                <w:lang w:val="en-US"/>
              </w:rPr>
              <w:t xml:space="preserve"> </w:t>
            </w:r>
            <w:r w:rsidR="00E26C1D" w:rsidRPr="00BE3932">
              <w:rPr>
                <w:u w:val="single"/>
                <w:lang w:val="en-US"/>
              </w:rPr>
              <w:t>a foam that</w:t>
            </w:r>
            <w:r w:rsidR="00AE4D5C">
              <w:rPr>
                <w:u w:val="single"/>
                <w:lang w:val="en-US"/>
              </w:rPr>
              <w:t>, in the foam flammability test,</w:t>
            </w:r>
            <w:r w:rsidR="00E26C1D" w:rsidRPr="00BE3932">
              <w:rPr>
                <w:u w:val="single"/>
                <w:lang w:val="en-US"/>
              </w:rPr>
              <w:t xml:space="preserve"> has</w:t>
            </w:r>
          </w:p>
          <w:p w14:paraId="156EF524" w14:textId="77777777" w:rsidR="00C80FCC" w:rsidRDefault="00E26C1D" w:rsidP="0045304D">
            <w:pPr>
              <w:pStyle w:val="SingleTxtG"/>
              <w:numPr>
                <w:ilvl w:val="0"/>
                <w:numId w:val="16"/>
              </w:numPr>
              <w:tabs>
                <w:tab w:val="left" w:pos="1701"/>
              </w:tabs>
              <w:spacing w:after="60"/>
              <w:rPr>
                <w:rFonts w:eastAsia="Arial Unicode MS"/>
                <w:u w:val="single"/>
                <w:lang w:val="en-US"/>
              </w:rPr>
            </w:pPr>
            <w:r w:rsidRPr="00BE3932">
              <w:rPr>
                <w:rFonts w:eastAsia="Arial Unicode MS"/>
                <w:u w:val="single"/>
                <w:lang w:val="en-US"/>
              </w:rPr>
              <w:t>a flame height of at least 20 cm and a flame duration of at least 2 s, or</w:t>
            </w:r>
          </w:p>
          <w:p w14:paraId="269BBA98" w14:textId="746FF92D" w:rsidR="00BE3932" w:rsidRPr="00685D57" w:rsidRDefault="00E26C1D" w:rsidP="0045304D">
            <w:pPr>
              <w:pStyle w:val="SingleTxtG"/>
              <w:numPr>
                <w:ilvl w:val="0"/>
                <w:numId w:val="16"/>
              </w:numPr>
              <w:tabs>
                <w:tab w:val="left" w:pos="1701"/>
              </w:tabs>
              <w:spacing w:after="60"/>
              <w:rPr>
                <w:rFonts w:eastAsia="Arial Unicode MS"/>
                <w:u w:val="single"/>
                <w:lang w:val="en-US"/>
              </w:rPr>
            </w:pPr>
            <w:r w:rsidRPr="00C80FCC">
              <w:rPr>
                <w:rFonts w:eastAsia="Arial Unicode MS"/>
                <w:u w:val="single"/>
                <w:lang w:val="en-US"/>
              </w:rPr>
              <w:t>a flame height of at least 4 cm and a</w:t>
            </w:r>
            <w:r w:rsidR="00C50AAB">
              <w:rPr>
                <w:rFonts w:eastAsia="Arial Unicode MS"/>
                <w:u w:val="single"/>
                <w:lang w:val="en-US"/>
              </w:rPr>
              <w:t xml:space="preserve"> flame duration of at least 7 s</w:t>
            </w:r>
          </w:p>
        </w:tc>
      </w:tr>
      <w:tr w:rsidR="00E26C1D" w14:paraId="1DDEF46D" w14:textId="77777777" w:rsidTr="00811FF1">
        <w:tc>
          <w:tcPr>
            <w:tcW w:w="2235" w:type="dxa"/>
          </w:tcPr>
          <w:p w14:paraId="4EB7580C" w14:textId="77777777" w:rsidR="00E26C1D" w:rsidRPr="00BE3932" w:rsidRDefault="00E26C1D" w:rsidP="00811FF1">
            <w:pPr>
              <w:ind w:right="1134"/>
              <w:jc w:val="center"/>
              <w:rPr>
                <w:b/>
                <w:u w:val="single"/>
              </w:rPr>
            </w:pPr>
            <w:r w:rsidRPr="00BE3932">
              <w:rPr>
                <w:b/>
                <w:u w:val="single"/>
              </w:rPr>
              <w:t>2</w:t>
            </w:r>
          </w:p>
        </w:tc>
        <w:tc>
          <w:tcPr>
            <w:tcW w:w="6207" w:type="dxa"/>
          </w:tcPr>
          <w:p w14:paraId="6EE85155" w14:textId="5FB7AB49" w:rsidR="00E26C1D" w:rsidRPr="00BE3932" w:rsidRDefault="00006490" w:rsidP="00006490">
            <w:pPr>
              <w:pStyle w:val="SingleTxtG"/>
              <w:tabs>
                <w:tab w:val="left" w:pos="1701"/>
              </w:tabs>
              <w:spacing w:after="60"/>
              <w:ind w:left="0"/>
              <w:rPr>
                <w:u w:val="single"/>
                <w:lang w:val="en-US"/>
              </w:rPr>
            </w:pPr>
            <w:r>
              <w:rPr>
                <w:u w:val="single"/>
                <w:lang w:val="en-US"/>
              </w:rPr>
              <w:t>Any</w:t>
            </w:r>
            <w:r w:rsidR="00E26C1D" w:rsidRPr="00BE3932">
              <w:rPr>
                <w:u w:val="single"/>
                <w:lang w:val="en-US"/>
              </w:rPr>
              <w:t xml:space="preserve"> aerosol </w:t>
            </w:r>
            <w:r>
              <w:rPr>
                <w:u w:val="single"/>
                <w:lang w:val="en-US"/>
              </w:rPr>
              <w:t xml:space="preserve">that </w:t>
            </w:r>
            <w:r w:rsidR="00702B60">
              <w:rPr>
                <w:u w:val="single"/>
                <w:lang w:val="en-US"/>
              </w:rPr>
              <w:t>dispenses</w:t>
            </w:r>
            <w:r w:rsidR="00702B60" w:rsidRPr="00BE3932">
              <w:rPr>
                <w:u w:val="single"/>
                <w:lang w:val="en-US"/>
              </w:rPr>
              <w:t xml:space="preserve"> </w:t>
            </w:r>
            <w:r w:rsidR="00E26C1D" w:rsidRPr="00BE3932">
              <w:rPr>
                <w:u w:val="single"/>
                <w:lang w:val="en-US"/>
              </w:rPr>
              <w:t>a spray that</w:t>
            </w:r>
            <w:r w:rsidR="00970AE7">
              <w:rPr>
                <w:u w:val="single"/>
                <w:lang w:val="en-US"/>
              </w:rPr>
              <w:t>, based on the results of the ignition distance test,</w:t>
            </w:r>
            <w:r w:rsidR="00E26C1D" w:rsidRPr="00BE3932">
              <w:rPr>
                <w:u w:val="single"/>
                <w:lang w:val="en-US"/>
              </w:rPr>
              <w:t xml:space="preserve"> does not meet the criteria for </w:t>
            </w:r>
            <w:r w:rsidR="003F4FED">
              <w:rPr>
                <w:u w:val="single"/>
                <w:lang w:val="en-US"/>
              </w:rPr>
              <w:t>Category 1</w:t>
            </w:r>
            <w:r w:rsidR="00970AE7">
              <w:rPr>
                <w:u w:val="single"/>
                <w:lang w:val="en-US"/>
              </w:rPr>
              <w:t xml:space="preserve">, and </w:t>
            </w:r>
            <w:r>
              <w:rPr>
                <w:u w:val="single"/>
                <w:lang w:val="en-US"/>
              </w:rPr>
              <w:t>which</w:t>
            </w:r>
            <w:r w:rsidR="00E26C1D" w:rsidRPr="00BE3932">
              <w:rPr>
                <w:u w:val="single"/>
                <w:lang w:val="en-US"/>
              </w:rPr>
              <w:t xml:space="preserve"> has</w:t>
            </w:r>
          </w:p>
          <w:p w14:paraId="618528BB" w14:textId="0863A574" w:rsidR="00E26C1D" w:rsidRPr="00BE3932" w:rsidRDefault="00E26C1D" w:rsidP="0045304D">
            <w:pPr>
              <w:pStyle w:val="SingleTxtG"/>
              <w:numPr>
                <w:ilvl w:val="0"/>
                <w:numId w:val="17"/>
              </w:numPr>
              <w:tabs>
                <w:tab w:val="left" w:pos="1701"/>
              </w:tabs>
              <w:spacing w:after="60"/>
              <w:rPr>
                <w:u w:val="single"/>
                <w:lang w:val="en-US"/>
              </w:rPr>
            </w:pPr>
            <w:r w:rsidRPr="00BE3932">
              <w:rPr>
                <w:u w:val="single"/>
                <w:lang w:val="en-US"/>
              </w:rPr>
              <w:t xml:space="preserve"> a heat of combustion of at least 20 kJ/g, or</w:t>
            </w:r>
          </w:p>
          <w:p w14:paraId="4C787BB4" w14:textId="207773E5" w:rsidR="00E26C1D" w:rsidRPr="00BE3932" w:rsidRDefault="006758DA" w:rsidP="0045304D">
            <w:pPr>
              <w:pStyle w:val="SingleTxtG"/>
              <w:numPr>
                <w:ilvl w:val="0"/>
                <w:numId w:val="17"/>
              </w:numPr>
              <w:tabs>
                <w:tab w:val="left" w:pos="1701"/>
              </w:tabs>
              <w:spacing w:after="60"/>
              <w:rPr>
                <w:u w:val="single"/>
                <w:lang w:val="en-US"/>
              </w:rPr>
            </w:pPr>
            <w:r>
              <w:rPr>
                <w:u w:val="single"/>
                <w:lang w:val="en-US"/>
              </w:rPr>
              <w:lastRenderedPageBreak/>
              <w:t>a heat of combustion of less than</w:t>
            </w:r>
            <w:r w:rsidR="00E26C1D" w:rsidRPr="00BE3932">
              <w:rPr>
                <w:u w:val="single"/>
                <w:lang w:val="en-US"/>
              </w:rPr>
              <w:t xml:space="preserve"> 20 kJ/g along with an ignition distance of at least 15 cm, or</w:t>
            </w:r>
          </w:p>
          <w:p w14:paraId="452E8633" w14:textId="07686C49" w:rsidR="00E26C1D" w:rsidRPr="00BE3932" w:rsidRDefault="00E26C1D" w:rsidP="0045304D">
            <w:pPr>
              <w:pStyle w:val="SingleTxtG"/>
              <w:numPr>
                <w:ilvl w:val="0"/>
                <w:numId w:val="17"/>
              </w:numPr>
              <w:tabs>
                <w:tab w:val="left" w:pos="1701"/>
              </w:tabs>
              <w:spacing w:after="60"/>
              <w:rPr>
                <w:u w:val="single"/>
                <w:lang w:val="en-US"/>
              </w:rPr>
            </w:pPr>
            <w:r w:rsidRPr="00006490">
              <w:rPr>
                <w:u w:val="single"/>
                <w:lang w:val="en-US"/>
              </w:rPr>
              <w:t>a</w:t>
            </w:r>
            <w:r w:rsidR="006758DA">
              <w:rPr>
                <w:u w:val="single"/>
                <w:lang w:val="en-US"/>
              </w:rPr>
              <w:t xml:space="preserve"> heat of combustion</w:t>
            </w:r>
            <w:r w:rsidRPr="00BE3932">
              <w:rPr>
                <w:u w:val="single"/>
                <w:lang w:val="en-US"/>
              </w:rPr>
              <w:t xml:space="preserve"> </w:t>
            </w:r>
            <w:r w:rsidR="006758DA">
              <w:rPr>
                <w:u w:val="single"/>
                <w:lang w:val="en-US"/>
              </w:rPr>
              <w:t xml:space="preserve">of less than </w:t>
            </w:r>
            <w:r w:rsidRPr="00BE3932">
              <w:rPr>
                <w:u w:val="single"/>
                <w:lang w:val="en-US"/>
              </w:rPr>
              <w:t xml:space="preserve">20 kJ/g </w:t>
            </w:r>
            <w:r w:rsidR="00702B60">
              <w:rPr>
                <w:u w:val="single"/>
                <w:lang w:val="en-US"/>
              </w:rPr>
              <w:t xml:space="preserve">and </w:t>
            </w:r>
            <w:r w:rsidR="00702B60" w:rsidRPr="00BE3932">
              <w:rPr>
                <w:u w:val="single"/>
                <w:lang w:val="en-US"/>
              </w:rPr>
              <w:t xml:space="preserve">an ignition distance of </w:t>
            </w:r>
            <w:r w:rsidR="00702B60">
              <w:rPr>
                <w:u w:val="single"/>
                <w:lang w:val="en-US"/>
              </w:rPr>
              <w:t xml:space="preserve">less than </w:t>
            </w:r>
            <w:r w:rsidR="00702B60" w:rsidRPr="00BE3932">
              <w:rPr>
                <w:u w:val="single"/>
                <w:lang w:val="en-US"/>
              </w:rPr>
              <w:t xml:space="preserve">15 cm </w:t>
            </w:r>
            <w:r w:rsidRPr="00BE3932">
              <w:rPr>
                <w:u w:val="single"/>
                <w:lang w:val="en-US"/>
              </w:rPr>
              <w:t>along with either</w:t>
            </w:r>
            <w:r w:rsidR="00AE4D5C">
              <w:rPr>
                <w:u w:val="single"/>
                <w:lang w:val="en-US"/>
              </w:rPr>
              <w:t>, in the enclosed space ignition test,</w:t>
            </w:r>
          </w:p>
          <w:p w14:paraId="0121B578" w14:textId="3C19B47C" w:rsidR="005044B6" w:rsidRDefault="00E26C1D" w:rsidP="0045304D">
            <w:pPr>
              <w:pStyle w:val="SingleTxtG"/>
              <w:numPr>
                <w:ilvl w:val="1"/>
                <w:numId w:val="17"/>
              </w:numPr>
              <w:tabs>
                <w:tab w:val="left" w:pos="1701"/>
              </w:tabs>
              <w:spacing w:after="60"/>
              <w:rPr>
                <w:u w:val="single"/>
                <w:lang w:val="en-US"/>
              </w:rPr>
            </w:pPr>
            <w:r w:rsidRPr="00BE3932">
              <w:rPr>
                <w:u w:val="single"/>
                <w:lang w:val="en-US"/>
              </w:rPr>
              <w:t>a time equivalent of 300 s/m</w:t>
            </w:r>
            <w:r w:rsidRPr="00BE3932">
              <w:rPr>
                <w:u w:val="single"/>
                <w:vertAlign w:val="superscript"/>
                <w:lang w:val="en-US"/>
              </w:rPr>
              <w:t>3</w:t>
            </w:r>
            <w:r w:rsidRPr="00BE3932">
              <w:rPr>
                <w:u w:val="single"/>
                <w:lang w:val="en-US"/>
              </w:rPr>
              <w:t xml:space="preserve"> or less, or</w:t>
            </w:r>
          </w:p>
          <w:p w14:paraId="23174868" w14:textId="763499DA" w:rsidR="00E26C1D" w:rsidRPr="005044B6" w:rsidRDefault="00E26C1D" w:rsidP="0045304D">
            <w:pPr>
              <w:pStyle w:val="SingleTxtG"/>
              <w:numPr>
                <w:ilvl w:val="1"/>
                <w:numId w:val="17"/>
              </w:numPr>
              <w:tabs>
                <w:tab w:val="left" w:pos="1701"/>
              </w:tabs>
              <w:spacing w:after="60"/>
              <w:rPr>
                <w:u w:val="single"/>
                <w:lang w:val="en-US"/>
              </w:rPr>
            </w:pPr>
            <w:r w:rsidRPr="005044B6">
              <w:rPr>
                <w:u w:val="single"/>
                <w:lang w:val="en-US"/>
              </w:rPr>
              <w:t>a deflagration density of 300 g/m</w:t>
            </w:r>
            <w:r w:rsidRPr="005044B6">
              <w:rPr>
                <w:u w:val="single"/>
                <w:vertAlign w:val="superscript"/>
                <w:lang w:val="en-US"/>
              </w:rPr>
              <w:t>3</w:t>
            </w:r>
            <w:r w:rsidR="005044B6">
              <w:rPr>
                <w:u w:val="single"/>
                <w:lang w:val="en-US"/>
              </w:rPr>
              <w:t xml:space="preserve"> or less</w:t>
            </w:r>
            <w:r w:rsidRPr="005044B6">
              <w:rPr>
                <w:u w:val="single"/>
                <w:lang w:val="en-US"/>
              </w:rPr>
              <w:t>; or</w:t>
            </w:r>
          </w:p>
          <w:p w14:paraId="4F417980" w14:textId="5ED72743" w:rsidR="00E26C1D" w:rsidRPr="00BE3932" w:rsidRDefault="003F4FED" w:rsidP="002B7EF4">
            <w:pPr>
              <w:pStyle w:val="SingleTxtG"/>
              <w:tabs>
                <w:tab w:val="left" w:pos="1701"/>
              </w:tabs>
              <w:spacing w:after="200"/>
              <w:ind w:left="0"/>
              <w:rPr>
                <w:u w:val="single"/>
                <w:lang w:val="en-US"/>
              </w:rPr>
            </w:pPr>
            <w:r>
              <w:rPr>
                <w:u w:val="single"/>
                <w:lang w:val="en-US"/>
              </w:rPr>
              <w:t>Any</w:t>
            </w:r>
            <w:r w:rsidR="00E26C1D" w:rsidRPr="00BE3932">
              <w:rPr>
                <w:u w:val="single"/>
                <w:lang w:val="en-US"/>
              </w:rPr>
              <w:t xml:space="preserve"> aerosol </w:t>
            </w:r>
            <w:r>
              <w:rPr>
                <w:u w:val="single"/>
                <w:lang w:val="en-US"/>
              </w:rPr>
              <w:t>that</w:t>
            </w:r>
            <w:r w:rsidR="00E26C1D" w:rsidRPr="00BE3932">
              <w:rPr>
                <w:u w:val="single"/>
                <w:lang w:val="en-US"/>
              </w:rPr>
              <w:t xml:space="preserve"> </w:t>
            </w:r>
            <w:r w:rsidR="00702B60">
              <w:rPr>
                <w:u w:val="single"/>
                <w:lang w:val="en-US"/>
              </w:rPr>
              <w:t>dispenses</w:t>
            </w:r>
            <w:r w:rsidR="00702B60" w:rsidRPr="00BE3932">
              <w:rPr>
                <w:u w:val="single"/>
                <w:lang w:val="en-US"/>
              </w:rPr>
              <w:t xml:space="preserve"> </w:t>
            </w:r>
            <w:r w:rsidR="00E26C1D" w:rsidRPr="00BE3932">
              <w:rPr>
                <w:u w:val="single"/>
                <w:lang w:val="en-US"/>
              </w:rPr>
              <w:t xml:space="preserve">a foam </w:t>
            </w:r>
            <w:r>
              <w:rPr>
                <w:u w:val="single"/>
                <w:lang w:val="en-US"/>
              </w:rPr>
              <w:t>that</w:t>
            </w:r>
            <w:r w:rsidR="00C129D6">
              <w:rPr>
                <w:u w:val="single"/>
                <w:lang w:val="en-US"/>
              </w:rPr>
              <w:t>, based on the results of the aerosol foam flammability test,</w:t>
            </w:r>
            <w:r>
              <w:rPr>
                <w:u w:val="single"/>
                <w:lang w:val="en-US"/>
              </w:rPr>
              <w:t xml:space="preserve"> does not meet the criteria for Category 1</w:t>
            </w:r>
            <w:r w:rsidR="00C129D6">
              <w:rPr>
                <w:u w:val="single"/>
                <w:lang w:val="en-US"/>
              </w:rPr>
              <w:t>, and</w:t>
            </w:r>
            <w:r w:rsidR="00AE4D5C">
              <w:rPr>
                <w:u w:val="single"/>
                <w:lang w:val="en-US"/>
              </w:rPr>
              <w:t xml:space="preserve"> </w:t>
            </w:r>
            <w:r w:rsidR="00C50AAB">
              <w:rPr>
                <w:u w:val="single"/>
                <w:lang w:val="en-US"/>
              </w:rPr>
              <w:t>which</w:t>
            </w:r>
            <w:r w:rsidR="00E26C1D" w:rsidRPr="00BE3932">
              <w:rPr>
                <w:u w:val="single"/>
                <w:lang w:val="en-US"/>
              </w:rPr>
              <w:t xml:space="preserve"> has a flame height of at least 4 cm and</w:t>
            </w:r>
            <w:r w:rsidR="00C50AAB">
              <w:rPr>
                <w:u w:val="single"/>
                <w:lang w:val="en-US"/>
              </w:rPr>
              <w:t xml:space="preserve"> a flame duration of at least 2 </w:t>
            </w:r>
            <w:r w:rsidR="00E26C1D" w:rsidRPr="00BE3932">
              <w:rPr>
                <w:u w:val="single"/>
                <w:lang w:val="en-US"/>
              </w:rPr>
              <w:t>s</w:t>
            </w:r>
            <w:r>
              <w:rPr>
                <w:u w:val="single"/>
                <w:lang w:val="en-US"/>
              </w:rPr>
              <w:t>.</w:t>
            </w:r>
          </w:p>
        </w:tc>
      </w:tr>
      <w:tr w:rsidR="00E26C1D" w14:paraId="423F8374" w14:textId="77777777" w:rsidTr="00811FF1">
        <w:tc>
          <w:tcPr>
            <w:tcW w:w="2235" w:type="dxa"/>
          </w:tcPr>
          <w:p w14:paraId="0D53B3AC" w14:textId="77777777" w:rsidR="00E26C1D" w:rsidRPr="00BE3932" w:rsidRDefault="00E26C1D" w:rsidP="00811FF1">
            <w:pPr>
              <w:ind w:right="1134"/>
              <w:jc w:val="center"/>
              <w:rPr>
                <w:b/>
                <w:u w:val="single"/>
              </w:rPr>
            </w:pPr>
            <w:r w:rsidRPr="00BE3932">
              <w:rPr>
                <w:b/>
                <w:u w:val="single"/>
              </w:rPr>
              <w:lastRenderedPageBreak/>
              <w:t>3</w:t>
            </w:r>
          </w:p>
        </w:tc>
        <w:tc>
          <w:tcPr>
            <w:tcW w:w="6207" w:type="dxa"/>
          </w:tcPr>
          <w:p w14:paraId="7BAFDE2B" w14:textId="525258F8" w:rsidR="00E26C1D" w:rsidRDefault="00F1363D" w:rsidP="008A482C">
            <w:pPr>
              <w:pStyle w:val="SingleTxtG"/>
              <w:tabs>
                <w:tab w:val="left" w:pos="1701"/>
              </w:tabs>
              <w:spacing w:after="60"/>
              <w:ind w:left="0"/>
              <w:rPr>
                <w:u w:val="single"/>
                <w:lang w:val="en-US"/>
              </w:rPr>
            </w:pPr>
            <w:r>
              <w:rPr>
                <w:u w:val="single"/>
                <w:lang w:val="en-US"/>
              </w:rPr>
              <w:t>Any</w:t>
            </w:r>
            <w:r w:rsidR="00E26C1D" w:rsidRPr="00BE3932">
              <w:rPr>
                <w:u w:val="single"/>
                <w:lang w:val="en-US"/>
              </w:rPr>
              <w:t xml:space="preserve"> aerosol </w:t>
            </w:r>
            <w:r>
              <w:rPr>
                <w:u w:val="single"/>
                <w:lang w:val="en-US"/>
              </w:rPr>
              <w:t>that</w:t>
            </w:r>
            <w:r w:rsidR="00E26C1D" w:rsidRPr="00BE3932">
              <w:rPr>
                <w:u w:val="single"/>
                <w:lang w:val="en-US"/>
              </w:rPr>
              <w:t xml:space="preserve"> contains 1% or less flammable components (by mass) and </w:t>
            </w:r>
            <w:r>
              <w:rPr>
                <w:u w:val="single"/>
                <w:lang w:val="en-US"/>
              </w:rPr>
              <w:t xml:space="preserve">that </w:t>
            </w:r>
            <w:r w:rsidR="00E26C1D" w:rsidRPr="00BE3932">
              <w:rPr>
                <w:u w:val="single"/>
                <w:lang w:val="en-US"/>
              </w:rPr>
              <w:t>has a heat of combustion below 20 kJ/g; or</w:t>
            </w:r>
          </w:p>
          <w:p w14:paraId="2619AE46" w14:textId="6A34AFAB" w:rsidR="00E26C1D" w:rsidRPr="00BE3932" w:rsidRDefault="00D74984" w:rsidP="00611ACB">
            <w:pPr>
              <w:pStyle w:val="SingleTxtG"/>
              <w:tabs>
                <w:tab w:val="left" w:pos="1701"/>
              </w:tabs>
              <w:spacing w:after="60"/>
              <w:ind w:left="0"/>
              <w:rPr>
                <w:u w:val="single"/>
                <w:lang w:val="en-US"/>
              </w:rPr>
            </w:pPr>
            <w:r>
              <w:rPr>
                <w:u w:val="single"/>
                <w:lang w:val="en-US"/>
              </w:rPr>
              <w:t>Any aerosol that contains more than 1% (by mass) flammable components or which has a heat of combustion of at least 20 kJ/g but</w:t>
            </w:r>
            <w:r w:rsidR="00353582">
              <w:rPr>
                <w:u w:val="single"/>
                <w:lang w:val="en-US"/>
              </w:rPr>
              <w:t xml:space="preserve"> which</w:t>
            </w:r>
            <w:r w:rsidR="00AE4A7D">
              <w:rPr>
                <w:u w:val="single"/>
                <w:lang w:val="en-US"/>
              </w:rPr>
              <w:t>,</w:t>
            </w:r>
            <w:r w:rsidR="00353582">
              <w:rPr>
                <w:u w:val="single"/>
                <w:lang w:val="en-US"/>
              </w:rPr>
              <w:t xml:space="preserve"> based on the results of the ignition distance test, the enclosed space ignition test or the aerosol foam flammability test,</w:t>
            </w:r>
            <w:r>
              <w:rPr>
                <w:u w:val="single"/>
                <w:lang w:val="en-US"/>
              </w:rPr>
              <w:t xml:space="preserve"> does not meet the criteria </w:t>
            </w:r>
            <w:r w:rsidRPr="00BE3932">
              <w:rPr>
                <w:u w:val="single"/>
                <w:lang w:val="en-US"/>
              </w:rPr>
              <w:t xml:space="preserve">for </w:t>
            </w:r>
            <w:r w:rsidR="006758DA">
              <w:rPr>
                <w:u w:val="single"/>
                <w:lang w:val="en-US"/>
              </w:rPr>
              <w:t>Categor</w:t>
            </w:r>
            <w:r w:rsidR="00611ACB">
              <w:rPr>
                <w:u w:val="single"/>
                <w:lang w:val="en-US"/>
              </w:rPr>
              <w:t>y</w:t>
            </w:r>
            <w:r w:rsidR="006758DA">
              <w:rPr>
                <w:u w:val="single"/>
                <w:lang w:val="en-US"/>
              </w:rPr>
              <w:t xml:space="preserve"> 1 </w:t>
            </w:r>
            <w:r w:rsidR="00611ACB">
              <w:rPr>
                <w:u w:val="single"/>
                <w:lang w:val="en-US"/>
              </w:rPr>
              <w:t>or Category</w:t>
            </w:r>
            <w:r w:rsidR="006758DA">
              <w:rPr>
                <w:u w:val="single"/>
                <w:lang w:val="en-US"/>
              </w:rPr>
              <w:t xml:space="preserve"> 2</w:t>
            </w:r>
            <w:r w:rsidR="00353582">
              <w:rPr>
                <w:u w:val="single"/>
                <w:lang w:val="en-US"/>
              </w:rPr>
              <w:t>.</w:t>
            </w:r>
          </w:p>
        </w:tc>
      </w:tr>
    </w:tbl>
    <w:p w14:paraId="5BA43C50" w14:textId="77777777" w:rsidR="00881FE3" w:rsidRDefault="00881FE3" w:rsidP="00E26C1D">
      <w:pPr>
        <w:ind w:left="1134" w:right="1134"/>
      </w:pPr>
    </w:p>
    <w:p w14:paraId="20FF8B1C" w14:textId="77777777" w:rsidR="00812C0A" w:rsidRDefault="00812C0A" w:rsidP="00FB5D33">
      <w:pPr>
        <w:ind w:left="1134" w:right="1134"/>
        <w:jc w:val="both"/>
        <w:rPr>
          <w:i/>
        </w:rPr>
      </w:pPr>
      <w:r w:rsidRPr="004B3B3D">
        <w:rPr>
          <w:b/>
          <w:i/>
        </w:rPr>
        <w:t>NOTE 1:</w:t>
      </w:r>
      <w:r w:rsidRPr="004B3B3D">
        <w:tab/>
      </w:r>
      <w:r w:rsidRPr="004549FB">
        <w:rPr>
          <w:i/>
        </w:rPr>
        <w:t>Flammable components do not cover pyrophoric, self-heating or water-reactive substances and mixtures because such components are never used as aerosol contents.</w:t>
      </w:r>
    </w:p>
    <w:p w14:paraId="61A67424" w14:textId="77777777" w:rsidR="001635C1" w:rsidRPr="004549FB" w:rsidRDefault="001635C1" w:rsidP="00FB5D33">
      <w:pPr>
        <w:ind w:left="1134" w:right="1134"/>
        <w:jc w:val="both"/>
        <w:rPr>
          <w:i/>
        </w:rPr>
      </w:pPr>
    </w:p>
    <w:p w14:paraId="06887D01" w14:textId="77777777" w:rsidR="00812C0A" w:rsidRDefault="00812C0A" w:rsidP="00FB5D33">
      <w:pPr>
        <w:ind w:left="1134" w:right="1134"/>
        <w:jc w:val="both"/>
        <w:rPr>
          <w:i/>
        </w:rPr>
      </w:pPr>
      <w:r w:rsidRPr="004B3B3D">
        <w:rPr>
          <w:b/>
          <w:i/>
        </w:rPr>
        <w:t>NOTE 2:</w:t>
      </w:r>
      <w:r w:rsidRPr="004B3B3D">
        <w:tab/>
      </w:r>
      <w:r w:rsidRPr="004549FB">
        <w:rPr>
          <w:i/>
        </w:rPr>
        <w:t>Aerosols do not fall additionally within the scope of chapters 2.2 (flammable gases), 2.5 (gases under pressure), 2.6 (flammable liquids) and 2.7 (flammable solids). Depending on their contents, aerosols may however fall within the scope of other hazard classes, including their labelling elements.</w:t>
      </w:r>
    </w:p>
    <w:p w14:paraId="6E76E90D" w14:textId="77777777" w:rsidR="00881FE3" w:rsidRPr="00881FE3" w:rsidRDefault="00881FE3" w:rsidP="00FB5D33">
      <w:pPr>
        <w:ind w:left="1134" w:right="1134"/>
        <w:jc w:val="both"/>
      </w:pPr>
    </w:p>
    <w:p w14:paraId="62D7953A" w14:textId="4AEEEB45" w:rsidR="00881FE3" w:rsidRPr="00E23775" w:rsidRDefault="00881FE3" w:rsidP="00FB5D33">
      <w:pPr>
        <w:ind w:left="1134" w:right="1134"/>
        <w:jc w:val="both"/>
        <w:rPr>
          <w:strike/>
        </w:rPr>
      </w:pPr>
      <w:r w:rsidRPr="00E23775">
        <w:rPr>
          <w:strike/>
        </w:rPr>
        <w:t>2.3.2.2</w:t>
      </w:r>
      <w:r w:rsidRPr="00E23775">
        <w:rPr>
          <w:strike/>
        </w:rPr>
        <w:tab/>
      </w:r>
      <w:r w:rsidRPr="00E23775">
        <w:rPr>
          <w:strike/>
        </w:rPr>
        <w:tab/>
        <w:t xml:space="preserve">An aerosol is classified in one of the three categories for this Class </w:t>
      </w:r>
      <w:proofErr w:type="gramStart"/>
      <w:r w:rsidRPr="00E23775">
        <w:rPr>
          <w:strike/>
        </w:rPr>
        <w:t>on the basis of</w:t>
      </w:r>
      <w:proofErr w:type="gramEnd"/>
      <w:r w:rsidRPr="00E23775">
        <w:rPr>
          <w:strike/>
        </w:rPr>
        <w:t xml:space="preserve"> its components, of its chemical heat of combustion and, if applicable, of the results of the foam test (for foam aerosols) and of the ignition distance test and enclosed space test (for spray aerosols). See decision logic in 2.3.4.1. </w:t>
      </w:r>
      <w:r w:rsidR="00E23775" w:rsidRPr="00E23775">
        <w:rPr>
          <w:strike/>
        </w:rPr>
        <w:t>Aerosols</w:t>
      </w:r>
      <w:r w:rsidRPr="00E23775">
        <w:rPr>
          <w:strike/>
        </w:rPr>
        <w:t xml:space="preserve"> which do not meet the criteria for inclusion in Category 1 or Category 2 (extremely flammable or flammable aerosols) should be classified in Category 3 (non-flammable aerosols).</w:t>
      </w:r>
    </w:p>
    <w:p w14:paraId="38109A05" w14:textId="77777777" w:rsidR="00881FE3" w:rsidRPr="00E23775" w:rsidRDefault="00881FE3" w:rsidP="00FB5D33">
      <w:pPr>
        <w:ind w:left="1134" w:right="1134"/>
        <w:jc w:val="both"/>
        <w:rPr>
          <w:strike/>
        </w:rPr>
      </w:pPr>
    </w:p>
    <w:p w14:paraId="21A6F0C6" w14:textId="7E4CC87D" w:rsidR="00881FE3" w:rsidRDefault="00E23775" w:rsidP="00414B5E">
      <w:pPr>
        <w:spacing w:after="240"/>
        <w:ind w:left="1134" w:right="1134"/>
        <w:jc w:val="both"/>
        <w:rPr>
          <w:i/>
        </w:rPr>
      </w:pPr>
      <w:r>
        <w:rPr>
          <w:b/>
          <w:i/>
        </w:rPr>
        <w:t xml:space="preserve">NOTE </w:t>
      </w:r>
      <w:r w:rsidRPr="00E23775">
        <w:rPr>
          <w:b/>
          <w:i/>
          <w:u w:val="single"/>
        </w:rPr>
        <w:t>3</w:t>
      </w:r>
      <w:r w:rsidR="00881FE3" w:rsidRPr="004B3B3D">
        <w:rPr>
          <w:b/>
          <w:i/>
        </w:rPr>
        <w:t>:</w:t>
      </w:r>
      <w:r w:rsidR="00881FE3" w:rsidRPr="004B3B3D">
        <w:tab/>
      </w:r>
      <w:r w:rsidR="00881FE3" w:rsidRPr="004549FB">
        <w:rPr>
          <w:i/>
        </w:rPr>
        <w:t xml:space="preserve">Aerosols </w:t>
      </w:r>
      <w:r w:rsidR="00881FE3">
        <w:rPr>
          <w:i/>
        </w:rPr>
        <w:t>containing more than 1% flammable components or with a heat of combustion</w:t>
      </w:r>
      <w:r>
        <w:rPr>
          <w:i/>
        </w:rPr>
        <w:t xml:space="preserve"> of at least 20 kJ/g, which are not submitted to the flammability classification procedures in this chapter should be classified as aerosols, Category 1</w:t>
      </w:r>
      <w:r w:rsidR="00881FE3" w:rsidRPr="004549FB">
        <w:rPr>
          <w:i/>
        </w:rPr>
        <w:t>.</w:t>
      </w:r>
    </w:p>
    <w:p w14:paraId="7E788FAC" w14:textId="3DB1F188" w:rsidR="00812C0A" w:rsidRDefault="00812C0A" w:rsidP="00414B5E">
      <w:pPr>
        <w:pStyle w:val="SingleTxtG"/>
        <w:numPr>
          <w:ilvl w:val="0"/>
          <w:numId w:val="25"/>
        </w:numPr>
      </w:pPr>
      <w:r>
        <w:t>Amend the title of Table 2.3.1:  Label elements for aerosols, to read as follows:</w:t>
      </w:r>
    </w:p>
    <w:p w14:paraId="3F5C1FF0" w14:textId="32C9E7B0" w:rsidR="00E145C4" w:rsidRDefault="00812C0A" w:rsidP="00611ACB">
      <w:pPr>
        <w:ind w:left="1134" w:right="1134"/>
        <w:rPr>
          <w:b/>
        </w:rPr>
      </w:pPr>
      <w:r w:rsidRPr="00812C0A">
        <w:rPr>
          <w:b/>
        </w:rPr>
        <w:t>Table 2.3.</w:t>
      </w:r>
      <w:r w:rsidR="00BE3932" w:rsidRPr="00BE3932">
        <w:rPr>
          <w:b/>
          <w:strike/>
        </w:rPr>
        <w:t>1</w:t>
      </w:r>
      <w:r w:rsidR="00BE3932" w:rsidRPr="00BE3932">
        <w:rPr>
          <w:b/>
          <w:u w:val="single"/>
        </w:rPr>
        <w:t>2</w:t>
      </w:r>
      <w:r w:rsidR="00414B5E">
        <w:rPr>
          <w:b/>
        </w:rPr>
        <w:t xml:space="preserve">: </w:t>
      </w:r>
      <w:r w:rsidRPr="00812C0A">
        <w:rPr>
          <w:b/>
        </w:rPr>
        <w:t>Label elements for aerosols</w:t>
      </w:r>
    </w:p>
    <w:p w14:paraId="58FD847C" w14:textId="77777777" w:rsidR="00443CBA" w:rsidRPr="00F04E11" w:rsidRDefault="00443CBA" w:rsidP="00F04E11">
      <w:pPr>
        <w:pStyle w:val="H1G"/>
        <w:keepNext w:val="0"/>
        <w:keepLines w:val="0"/>
        <w:spacing w:before="160" w:after="0" w:line="240" w:lineRule="atLeast"/>
        <w:ind w:firstLine="0"/>
        <w:jc w:val="center"/>
        <w:rPr>
          <w:b w:val="0"/>
        </w:rPr>
      </w:pPr>
      <w:r>
        <w:tab/>
      </w:r>
      <w:r w:rsidRPr="00F04E11">
        <w:rPr>
          <w:b w:val="0"/>
          <w:u w:val="single"/>
        </w:rPr>
        <w:tab/>
      </w:r>
      <w:r w:rsidRPr="00F04E11">
        <w:rPr>
          <w:b w:val="0"/>
          <w:u w:val="single"/>
        </w:rPr>
        <w:tab/>
      </w:r>
      <w:r w:rsidRPr="00F04E11">
        <w:rPr>
          <w:b w:val="0"/>
          <w:u w:val="single"/>
        </w:rPr>
        <w:tab/>
      </w:r>
    </w:p>
    <w:p w14:paraId="18749FE5" w14:textId="77777777" w:rsidR="00E47DD9" w:rsidRPr="00611ACB" w:rsidRDefault="00E47DD9" w:rsidP="00636367">
      <w:pPr>
        <w:spacing w:after="240"/>
        <w:ind w:left="1134" w:right="1134"/>
        <w:jc w:val="both"/>
        <w:rPr>
          <w:b/>
        </w:rPr>
      </w:pPr>
    </w:p>
    <w:sectPr w:rsidR="00E47DD9" w:rsidRPr="00611ACB" w:rsidSect="00BF0E8B">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1606" w14:textId="77777777" w:rsidR="002024E2" w:rsidRDefault="002024E2"/>
  </w:endnote>
  <w:endnote w:type="continuationSeparator" w:id="0">
    <w:p w14:paraId="77B33948" w14:textId="77777777" w:rsidR="002024E2" w:rsidRDefault="002024E2"/>
  </w:endnote>
  <w:endnote w:type="continuationNotice" w:id="1">
    <w:p w14:paraId="4A9C8B61" w14:textId="77777777" w:rsidR="002024E2" w:rsidRDefault="00202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313D2FE8" w:rsidR="00811FF1" w:rsidRPr="0095385C" w:rsidRDefault="00811FF1"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482339">
      <w:rPr>
        <w:b/>
        <w:noProof/>
        <w:sz w:val="18"/>
      </w:rPr>
      <w:t>4</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20F1F2D5" w:rsidR="00811FF1" w:rsidRPr="0095385C" w:rsidRDefault="00811FF1"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482339">
      <w:rPr>
        <w:b/>
        <w:noProof/>
        <w:sz w:val="18"/>
      </w:rPr>
      <w:t>3</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B457B" w14:textId="77777777" w:rsidR="002024E2" w:rsidRPr="000B175B" w:rsidRDefault="002024E2" w:rsidP="000B175B">
      <w:pPr>
        <w:tabs>
          <w:tab w:val="right" w:pos="2155"/>
        </w:tabs>
        <w:spacing w:after="80"/>
        <w:ind w:left="680"/>
        <w:rPr>
          <w:u w:val="single"/>
        </w:rPr>
      </w:pPr>
      <w:r>
        <w:rPr>
          <w:u w:val="single"/>
        </w:rPr>
        <w:tab/>
      </w:r>
    </w:p>
  </w:footnote>
  <w:footnote w:type="continuationSeparator" w:id="0">
    <w:p w14:paraId="2767999E" w14:textId="77777777" w:rsidR="002024E2" w:rsidRPr="00FC68B7" w:rsidRDefault="002024E2" w:rsidP="00FC68B7">
      <w:pPr>
        <w:tabs>
          <w:tab w:val="left" w:pos="2155"/>
        </w:tabs>
        <w:spacing w:after="80"/>
        <w:ind w:left="680"/>
        <w:rPr>
          <w:u w:val="single"/>
        </w:rPr>
      </w:pPr>
      <w:r>
        <w:rPr>
          <w:u w:val="single"/>
        </w:rPr>
        <w:tab/>
      </w:r>
    </w:p>
  </w:footnote>
  <w:footnote w:type="continuationNotice" w:id="1">
    <w:p w14:paraId="71A95BC4" w14:textId="77777777" w:rsidR="002024E2" w:rsidRDefault="002024E2"/>
  </w:footnote>
  <w:footnote w:id="2">
    <w:p w14:paraId="152FDC76" w14:textId="4EFEDE03" w:rsidR="00D6238C" w:rsidRPr="00D6238C" w:rsidRDefault="00D6238C" w:rsidP="00D6238C">
      <w:pPr>
        <w:pStyle w:val="FootnoteText"/>
        <w:tabs>
          <w:tab w:val="left" w:pos="1418"/>
        </w:tabs>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w:t>
      </w:r>
      <w:r>
        <w:t>.</w:t>
      </w:r>
      <w:r>
        <w:t xml:space="preserve">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4B49870C" w:rsidR="00811FF1" w:rsidRPr="0095385C" w:rsidRDefault="00D6238C">
    <w:pPr>
      <w:pStyle w:val="Header"/>
    </w:pPr>
    <w:r>
      <w:t>ST/SG/AC.10/C.4/2018/9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6FC367C1" w:rsidR="00811FF1" w:rsidRPr="0095385C" w:rsidRDefault="00811FF1" w:rsidP="0095385C">
    <w:pPr>
      <w:pStyle w:val="Header"/>
      <w:jc w:val="right"/>
    </w:pPr>
    <w:r>
      <w:br/>
      <w:t>ST/SG/AC.10/C.4/2018/X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3042E"/>
    <w:multiLevelType w:val="hybridMultilevel"/>
    <w:tmpl w:val="927287CC"/>
    <w:lvl w:ilvl="0" w:tplc="300E19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7B2110"/>
    <w:multiLevelType w:val="hybridMultilevel"/>
    <w:tmpl w:val="A0EC06CC"/>
    <w:lvl w:ilvl="0" w:tplc="955EAB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C26C7B"/>
    <w:multiLevelType w:val="hybridMultilevel"/>
    <w:tmpl w:val="5412AE8E"/>
    <w:lvl w:ilvl="0" w:tplc="45E2814A">
      <w:numFmt w:val="bullet"/>
      <w:lvlText w:val="–"/>
      <w:lvlJc w:val="left"/>
      <w:pPr>
        <w:ind w:left="1974" w:hanging="555"/>
      </w:pPr>
      <w:rPr>
        <w:rFonts w:ascii="Times New Roman" w:eastAsia="Times New Roman" w:hAnsi="Times New Roman" w:cs="Times New Roman"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6"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27C0B"/>
    <w:multiLevelType w:val="hybridMultilevel"/>
    <w:tmpl w:val="0E206372"/>
    <w:lvl w:ilvl="0" w:tplc="7FEA999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E87720"/>
    <w:multiLevelType w:val="hybridMultilevel"/>
    <w:tmpl w:val="27DEC534"/>
    <w:lvl w:ilvl="0" w:tplc="EA5C7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1"/>
  </w:num>
  <w:num w:numId="14">
    <w:abstractNumId w:val="20"/>
  </w:num>
  <w:num w:numId="15">
    <w:abstractNumId w:val="24"/>
  </w:num>
  <w:num w:numId="16">
    <w:abstractNumId w:val="13"/>
  </w:num>
  <w:num w:numId="17">
    <w:abstractNumId w:val="22"/>
  </w:num>
  <w:num w:numId="18">
    <w:abstractNumId w:val="18"/>
  </w:num>
  <w:num w:numId="19">
    <w:abstractNumId w:val="17"/>
  </w:num>
  <w:num w:numId="20">
    <w:abstractNumId w:val="16"/>
  </w:num>
  <w:num w:numId="21">
    <w:abstractNumId w:val="15"/>
  </w:num>
  <w:num w:numId="22">
    <w:abstractNumId w:val="21"/>
  </w:num>
  <w:num w:numId="23">
    <w:abstractNumId w:val="23"/>
  </w:num>
  <w:num w:numId="24">
    <w:abstractNumId w:val="12"/>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C"/>
    <w:rsid w:val="00002487"/>
    <w:rsid w:val="00005982"/>
    <w:rsid w:val="00006490"/>
    <w:rsid w:val="000222F9"/>
    <w:rsid w:val="00023DBC"/>
    <w:rsid w:val="00042E5C"/>
    <w:rsid w:val="00044C7A"/>
    <w:rsid w:val="0005042C"/>
    <w:rsid w:val="000504CE"/>
    <w:rsid w:val="00050F6B"/>
    <w:rsid w:val="00052A23"/>
    <w:rsid w:val="00063706"/>
    <w:rsid w:val="000672E1"/>
    <w:rsid w:val="0007037A"/>
    <w:rsid w:val="00072C8C"/>
    <w:rsid w:val="00074D4E"/>
    <w:rsid w:val="00085AFC"/>
    <w:rsid w:val="00087CE1"/>
    <w:rsid w:val="00091419"/>
    <w:rsid w:val="000931C0"/>
    <w:rsid w:val="00097EA0"/>
    <w:rsid w:val="000A004E"/>
    <w:rsid w:val="000A43BC"/>
    <w:rsid w:val="000B158D"/>
    <w:rsid w:val="000B175B"/>
    <w:rsid w:val="000B1B3B"/>
    <w:rsid w:val="000B28A5"/>
    <w:rsid w:val="000B2FC0"/>
    <w:rsid w:val="000B374C"/>
    <w:rsid w:val="000B3A0F"/>
    <w:rsid w:val="000B602C"/>
    <w:rsid w:val="000C5E7A"/>
    <w:rsid w:val="000D0A97"/>
    <w:rsid w:val="000D3E84"/>
    <w:rsid w:val="000D5982"/>
    <w:rsid w:val="000D6B4A"/>
    <w:rsid w:val="000D6C67"/>
    <w:rsid w:val="000E0415"/>
    <w:rsid w:val="000F0347"/>
    <w:rsid w:val="001033CA"/>
    <w:rsid w:val="00103BFC"/>
    <w:rsid w:val="001102E5"/>
    <w:rsid w:val="00111978"/>
    <w:rsid w:val="00115E7C"/>
    <w:rsid w:val="00117787"/>
    <w:rsid w:val="00120C46"/>
    <w:rsid w:val="00122EBB"/>
    <w:rsid w:val="00131D42"/>
    <w:rsid w:val="001339B8"/>
    <w:rsid w:val="001344B8"/>
    <w:rsid w:val="001348A5"/>
    <w:rsid w:val="00141242"/>
    <w:rsid w:val="00144EAC"/>
    <w:rsid w:val="00151F5B"/>
    <w:rsid w:val="00156502"/>
    <w:rsid w:val="00161772"/>
    <w:rsid w:val="00162164"/>
    <w:rsid w:val="00162F4A"/>
    <w:rsid w:val="001633FB"/>
    <w:rsid w:val="001635C1"/>
    <w:rsid w:val="00167293"/>
    <w:rsid w:val="00167786"/>
    <w:rsid w:val="001757C5"/>
    <w:rsid w:val="00175C80"/>
    <w:rsid w:val="001777FD"/>
    <w:rsid w:val="00184821"/>
    <w:rsid w:val="00184FCD"/>
    <w:rsid w:val="00187190"/>
    <w:rsid w:val="00191DE4"/>
    <w:rsid w:val="00193CE3"/>
    <w:rsid w:val="00195244"/>
    <w:rsid w:val="00196E35"/>
    <w:rsid w:val="0019773C"/>
    <w:rsid w:val="001A3561"/>
    <w:rsid w:val="001A5D90"/>
    <w:rsid w:val="001A7069"/>
    <w:rsid w:val="001B372A"/>
    <w:rsid w:val="001B4B04"/>
    <w:rsid w:val="001B4EAB"/>
    <w:rsid w:val="001C106A"/>
    <w:rsid w:val="001C3170"/>
    <w:rsid w:val="001C3D65"/>
    <w:rsid w:val="001C6663"/>
    <w:rsid w:val="001C6C85"/>
    <w:rsid w:val="001C7895"/>
    <w:rsid w:val="001D1A40"/>
    <w:rsid w:val="001D23B4"/>
    <w:rsid w:val="001D26DF"/>
    <w:rsid w:val="001D2FDC"/>
    <w:rsid w:val="001D50B0"/>
    <w:rsid w:val="001E0F45"/>
    <w:rsid w:val="001E4475"/>
    <w:rsid w:val="001F0FE4"/>
    <w:rsid w:val="001F2D76"/>
    <w:rsid w:val="001F6726"/>
    <w:rsid w:val="001F7CF4"/>
    <w:rsid w:val="00202134"/>
    <w:rsid w:val="002024E2"/>
    <w:rsid w:val="00211DE3"/>
    <w:rsid w:val="00211E0B"/>
    <w:rsid w:val="00212394"/>
    <w:rsid w:val="0021321D"/>
    <w:rsid w:val="00213641"/>
    <w:rsid w:val="0021553B"/>
    <w:rsid w:val="00216609"/>
    <w:rsid w:val="00220264"/>
    <w:rsid w:val="00221C03"/>
    <w:rsid w:val="002228EB"/>
    <w:rsid w:val="002256F2"/>
    <w:rsid w:val="002309A7"/>
    <w:rsid w:val="00230C9D"/>
    <w:rsid w:val="00237406"/>
    <w:rsid w:val="00237785"/>
    <w:rsid w:val="00241466"/>
    <w:rsid w:val="00252AF4"/>
    <w:rsid w:val="0025304C"/>
    <w:rsid w:val="0025405A"/>
    <w:rsid w:val="00255D32"/>
    <w:rsid w:val="00256E52"/>
    <w:rsid w:val="00257360"/>
    <w:rsid w:val="00262447"/>
    <w:rsid w:val="00264A94"/>
    <w:rsid w:val="00265E8D"/>
    <w:rsid w:val="00267017"/>
    <w:rsid w:val="00267C9C"/>
    <w:rsid w:val="00270B8F"/>
    <w:rsid w:val="002725CA"/>
    <w:rsid w:val="00275C6E"/>
    <w:rsid w:val="00276326"/>
    <w:rsid w:val="00280EB7"/>
    <w:rsid w:val="00284946"/>
    <w:rsid w:val="002857FE"/>
    <w:rsid w:val="00291986"/>
    <w:rsid w:val="00291A8F"/>
    <w:rsid w:val="00294148"/>
    <w:rsid w:val="00297A67"/>
    <w:rsid w:val="002A1B21"/>
    <w:rsid w:val="002A3CA8"/>
    <w:rsid w:val="002A3EEC"/>
    <w:rsid w:val="002A46AC"/>
    <w:rsid w:val="002A591C"/>
    <w:rsid w:val="002B0A21"/>
    <w:rsid w:val="002B10FC"/>
    <w:rsid w:val="002B1CDA"/>
    <w:rsid w:val="002B3EC6"/>
    <w:rsid w:val="002B4976"/>
    <w:rsid w:val="002B66A3"/>
    <w:rsid w:val="002B7EF4"/>
    <w:rsid w:val="002C54FE"/>
    <w:rsid w:val="002C5B87"/>
    <w:rsid w:val="002C65AC"/>
    <w:rsid w:val="002C67F8"/>
    <w:rsid w:val="002D21BA"/>
    <w:rsid w:val="002E5A53"/>
    <w:rsid w:val="002E743A"/>
    <w:rsid w:val="002E7D51"/>
    <w:rsid w:val="002F16E1"/>
    <w:rsid w:val="00305238"/>
    <w:rsid w:val="003107FA"/>
    <w:rsid w:val="00314FCD"/>
    <w:rsid w:val="003176F1"/>
    <w:rsid w:val="003229D8"/>
    <w:rsid w:val="00324304"/>
    <w:rsid w:val="0033029B"/>
    <w:rsid w:val="00337674"/>
    <w:rsid w:val="00337FD0"/>
    <w:rsid w:val="00345F2F"/>
    <w:rsid w:val="00353582"/>
    <w:rsid w:val="00367BD9"/>
    <w:rsid w:val="00367D01"/>
    <w:rsid w:val="0037333E"/>
    <w:rsid w:val="00374FAA"/>
    <w:rsid w:val="00375F43"/>
    <w:rsid w:val="00382820"/>
    <w:rsid w:val="00385D07"/>
    <w:rsid w:val="00387914"/>
    <w:rsid w:val="00391E40"/>
    <w:rsid w:val="0039277A"/>
    <w:rsid w:val="003972E0"/>
    <w:rsid w:val="003A0282"/>
    <w:rsid w:val="003A0940"/>
    <w:rsid w:val="003A5D8F"/>
    <w:rsid w:val="003A63DE"/>
    <w:rsid w:val="003A6FE2"/>
    <w:rsid w:val="003B0E3E"/>
    <w:rsid w:val="003B1924"/>
    <w:rsid w:val="003B3B04"/>
    <w:rsid w:val="003B5BC9"/>
    <w:rsid w:val="003C12E9"/>
    <w:rsid w:val="003C2CC4"/>
    <w:rsid w:val="003D4B23"/>
    <w:rsid w:val="003D60F7"/>
    <w:rsid w:val="003E2E5D"/>
    <w:rsid w:val="003E6CCC"/>
    <w:rsid w:val="003E7127"/>
    <w:rsid w:val="003F167F"/>
    <w:rsid w:val="003F4FED"/>
    <w:rsid w:val="004041D0"/>
    <w:rsid w:val="004057FC"/>
    <w:rsid w:val="00414B5E"/>
    <w:rsid w:val="00417C54"/>
    <w:rsid w:val="00421A95"/>
    <w:rsid w:val="00432447"/>
    <w:rsid w:val="004325CB"/>
    <w:rsid w:val="00437846"/>
    <w:rsid w:val="00437F3F"/>
    <w:rsid w:val="00443CBA"/>
    <w:rsid w:val="00444EA3"/>
    <w:rsid w:val="00446DE4"/>
    <w:rsid w:val="0044764B"/>
    <w:rsid w:val="004513F0"/>
    <w:rsid w:val="0045304D"/>
    <w:rsid w:val="00454036"/>
    <w:rsid w:val="00454F71"/>
    <w:rsid w:val="00455F63"/>
    <w:rsid w:val="004570D1"/>
    <w:rsid w:val="0046672F"/>
    <w:rsid w:val="004729D1"/>
    <w:rsid w:val="004820A6"/>
    <w:rsid w:val="00482339"/>
    <w:rsid w:val="00484509"/>
    <w:rsid w:val="00490A7A"/>
    <w:rsid w:val="00492614"/>
    <w:rsid w:val="00493F79"/>
    <w:rsid w:val="004960E6"/>
    <w:rsid w:val="004A077A"/>
    <w:rsid w:val="004A641A"/>
    <w:rsid w:val="004A7228"/>
    <w:rsid w:val="004B05A7"/>
    <w:rsid w:val="004B2C9D"/>
    <w:rsid w:val="004B7395"/>
    <w:rsid w:val="004C05DA"/>
    <w:rsid w:val="004C1ADF"/>
    <w:rsid w:val="004C6109"/>
    <w:rsid w:val="004C6B89"/>
    <w:rsid w:val="004C71D5"/>
    <w:rsid w:val="004D15D3"/>
    <w:rsid w:val="004D1FA6"/>
    <w:rsid w:val="004D22F3"/>
    <w:rsid w:val="004D244B"/>
    <w:rsid w:val="004D6346"/>
    <w:rsid w:val="004D676A"/>
    <w:rsid w:val="004E394C"/>
    <w:rsid w:val="004F3FCB"/>
    <w:rsid w:val="005044B6"/>
    <w:rsid w:val="0051448B"/>
    <w:rsid w:val="005160F8"/>
    <w:rsid w:val="00522A8A"/>
    <w:rsid w:val="005233B8"/>
    <w:rsid w:val="0052386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2E93"/>
    <w:rsid w:val="00584654"/>
    <w:rsid w:val="0058471D"/>
    <w:rsid w:val="00590144"/>
    <w:rsid w:val="005A770B"/>
    <w:rsid w:val="005B3DB3"/>
    <w:rsid w:val="005B621F"/>
    <w:rsid w:val="005C149F"/>
    <w:rsid w:val="005C2F3E"/>
    <w:rsid w:val="005D0641"/>
    <w:rsid w:val="005F1E8A"/>
    <w:rsid w:val="005F5804"/>
    <w:rsid w:val="0060091E"/>
    <w:rsid w:val="006017C9"/>
    <w:rsid w:val="00606441"/>
    <w:rsid w:val="0060700C"/>
    <w:rsid w:val="00611ACB"/>
    <w:rsid w:val="00611FC4"/>
    <w:rsid w:val="00612524"/>
    <w:rsid w:val="00615113"/>
    <w:rsid w:val="006176FB"/>
    <w:rsid w:val="00624A0E"/>
    <w:rsid w:val="00626968"/>
    <w:rsid w:val="006324AC"/>
    <w:rsid w:val="00633405"/>
    <w:rsid w:val="0063419C"/>
    <w:rsid w:val="00634C2F"/>
    <w:rsid w:val="00635CF4"/>
    <w:rsid w:val="00636367"/>
    <w:rsid w:val="00640B26"/>
    <w:rsid w:val="006418B9"/>
    <w:rsid w:val="0064265A"/>
    <w:rsid w:val="00644CC0"/>
    <w:rsid w:val="006500BA"/>
    <w:rsid w:val="00650C47"/>
    <w:rsid w:val="00657F62"/>
    <w:rsid w:val="0066279A"/>
    <w:rsid w:val="00663EFB"/>
    <w:rsid w:val="00664979"/>
    <w:rsid w:val="00670E29"/>
    <w:rsid w:val="00672767"/>
    <w:rsid w:val="006737C7"/>
    <w:rsid w:val="006744B2"/>
    <w:rsid w:val="006758DA"/>
    <w:rsid w:val="00684879"/>
    <w:rsid w:val="00685D57"/>
    <w:rsid w:val="00694C02"/>
    <w:rsid w:val="006A025B"/>
    <w:rsid w:val="006A389C"/>
    <w:rsid w:val="006A7392"/>
    <w:rsid w:val="006A7B01"/>
    <w:rsid w:val="006B04F7"/>
    <w:rsid w:val="006B1156"/>
    <w:rsid w:val="006B157F"/>
    <w:rsid w:val="006B2882"/>
    <w:rsid w:val="006B38D1"/>
    <w:rsid w:val="006B46FE"/>
    <w:rsid w:val="006C0D34"/>
    <w:rsid w:val="006C329D"/>
    <w:rsid w:val="006C6056"/>
    <w:rsid w:val="006C662A"/>
    <w:rsid w:val="006C6884"/>
    <w:rsid w:val="006D12D5"/>
    <w:rsid w:val="006D295D"/>
    <w:rsid w:val="006D3366"/>
    <w:rsid w:val="006D5225"/>
    <w:rsid w:val="006E42A8"/>
    <w:rsid w:val="006E4493"/>
    <w:rsid w:val="006E564B"/>
    <w:rsid w:val="006E5C33"/>
    <w:rsid w:val="006F2724"/>
    <w:rsid w:val="006F71FB"/>
    <w:rsid w:val="00702B60"/>
    <w:rsid w:val="00704DBF"/>
    <w:rsid w:val="007078C6"/>
    <w:rsid w:val="00712144"/>
    <w:rsid w:val="0071739D"/>
    <w:rsid w:val="00725476"/>
    <w:rsid w:val="0072593B"/>
    <w:rsid w:val="0072632A"/>
    <w:rsid w:val="00734256"/>
    <w:rsid w:val="00735B34"/>
    <w:rsid w:val="007367D6"/>
    <w:rsid w:val="00740935"/>
    <w:rsid w:val="00741191"/>
    <w:rsid w:val="00741499"/>
    <w:rsid w:val="00745209"/>
    <w:rsid w:val="00753114"/>
    <w:rsid w:val="007575F5"/>
    <w:rsid w:val="00762F2A"/>
    <w:rsid w:val="00763522"/>
    <w:rsid w:val="00763C09"/>
    <w:rsid w:val="0076405E"/>
    <w:rsid w:val="00764E9E"/>
    <w:rsid w:val="00765DDF"/>
    <w:rsid w:val="00766298"/>
    <w:rsid w:val="00770E6F"/>
    <w:rsid w:val="00771C45"/>
    <w:rsid w:val="007759E8"/>
    <w:rsid w:val="00776BB6"/>
    <w:rsid w:val="007778B4"/>
    <w:rsid w:val="00783387"/>
    <w:rsid w:val="00790791"/>
    <w:rsid w:val="007A3072"/>
    <w:rsid w:val="007A6FFA"/>
    <w:rsid w:val="007B1A7E"/>
    <w:rsid w:val="007B342D"/>
    <w:rsid w:val="007B6BA5"/>
    <w:rsid w:val="007C3390"/>
    <w:rsid w:val="007C38EB"/>
    <w:rsid w:val="007C4F4B"/>
    <w:rsid w:val="007C745B"/>
    <w:rsid w:val="007C77F8"/>
    <w:rsid w:val="007D2AB7"/>
    <w:rsid w:val="007D43B1"/>
    <w:rsid w:val="007E1454"/>
    <w:rsid w:val="007E4FD4"/>
    <w:rsid w:val="007E5A31"/>
    <w:rsid w:val="007F0FB3"/>
    <w:rsid w:val="007F1C6D"/>
    <w:rsid w:val="007F22B0"/>
    <w:rsid w:val="007F35B8"/>
    <w:rsid w:val="007F438A"/>
    <w:rsid w:val="007F5B49"/>
    <w:rsid w:val="007F6611"/>
    <w:rsid w:val="00800E15"/>
    <w:rsid w:val="00800F48"/>
    <w:rsid w:val="00801182"/>
    <w:rsid w:val="00811FF1"/>
    <w:rsid w:val="00812C0A"/>
    <w:rsid w:val="00815A2F"/>
    <w:rsid w:val="00815FD5"/>
    <w:rsid w:val="00816C52"/>
    <w:rsid w:val="008175E9"/>
    <w:rsid w:val="00821459"/>
    <w:rsid w:val="00821672"/>
    <w:rsid w:val="00821A3E"/>
    <w:rsid w:val="008242D7"/>
    <w:rsid w:val="0082677B"/>
    <w:rsid w:val="008315FD"/>
    <w:rsid w:val="00833414"/>
    <w:rsid w:val="00834AC8"/>
    <w:rsid w:val="0083561E"/>
    <w:rsid w:val="00837F38"/>
    <w:rsid w:val="00842149"/>
    <w:rsid w:val="008424A8"/>
    <w:rsid w:val="008454BF"/>
    <w:rsid w:val="008474D0"/>
    <w:rsid w:val="00847E99"/>
    <w:rsid w:val="008540B7"/>
    <w:rsid w:val="0085759F"/>
    <w:rsid w:val="0086261F"/>
    <w:rsid w:val="00864218"/>
    <w:rsid w:val="00865234"/>
    <w:rsid w:val="00866C98"/>
    <w:rsid w:val="00871FD5"/>
    <w:rsid w:val="0087266A"/>
    <w:rsid w:val="00872970"/>
    <w:rsid w:val="00872DD0"/>
    <w:rsid w:val="00881FA0"/>
    <w:rsid w:val="00881FE3"/>
    <w:rsid w:val="0088217A"/>
    <w:rsid w:val="008904B8"/>
    <w:rsid w:val="00892AB6"/>
    <w:rsid w:val="00893711"/>
    <w:rsid w:val="008979B1"/>
    <w:rsid w:val="008A482C"/>
    <w:rsid w:val="008A4A53"/>
    <w:rsid w:val="008A6B25"/>
    <w:rsid w:val="008A6C4F"/>
    <w:rsid w:val="008B2404"/>
    <w:rsid w:val="008B6E2D"/>
    <w:rsid w:val="008C761D"/>
    <w:rsid w:val="008D27AF"/>
    <w:rsid w:val="008D37D5"/>
    <w:rsid w:val="008E0E46"/>
    <w:rsid w:val="008E2354"/>
    <w:rsid w:val="008E3B43"/>
    <w:rsid w:val="008E58AF"/>
    <w:rsid w:val="008E7948"/>
    <w:rsid w:val="008F1AE5"/>
    <w:rsid w:val="008F446D"/>
    <w:rsid w:val="00901E50"/>
    <w:rsid w:val="00903E44"/>
    <w:rsid w:val="0090743F"/>
    <w:rsid w:val="00911ADB"/>
    <w:rsid w:val="00913EAD"/>
    <w:rsid w:val="0091681F"/>
    <w:rsid w:val="00925F6E"/>
    <w:rsid w:val="00935FA4"/>
    <w:rsid w:val="00936DD8"/>
    <w:rsid w:val="009376F4"/>
    <w:rsid w:val="00945A5D"/>
    <w:rsid w:val="00945A7F"/>
    <w:rsid w:val="0095385C"/>
    <w:rsid w:val="009606CB"/>
    <w:rsid w:val="00960887"/>
    <w:rsid w:val="00963CBA"/>
    <w:rsid w:val="00966D12"/>
    <w:rsid w:val="00967793"/>
    <w:rsid w:val="00970AE7"/>
    <w:rsid w:val="0097117D"/>
    <w:rsid w:val="009737F8"/>
    <w:rsid w:val="00973B9A"/>
    <w:rsid w:val="00974F0E"/>
    <w:rsid w:val="009771BA"/>
    <w:rsid w:val="00980CA7"/>
    <w:rsid w:val="009867FC"/>
    <w:rsid w:val="0099124E"/>
    <w:rsid w:val="00991261"/>
    <w:rsid w:val="009934A8"/>
    <w:rsid w:val="0099569F"/>
    <w:rsid w:val="009A51DA"/>
    <w:rsid w:val="009B2A64"/>
    <w:rsid w:val="009B4FAB"/>
    <w:rsid w:val="009B5C48"/>
    <w:rsid w:val="009D1290"/>
    <w:rsid w:val="009D1AAE"/>
    <w:rsid w:val="009D3F94"/>
    <w:rsid w:val="009D53C7"/>
    <w:rsid w:val="009D60F6"/>
    <w:rsid w:val="009D7B47"/>
    <w:rsid w:val="009E671E"/>
    <w:rsid w:val="009F058B"/>
    <w:rsid w:val="009F0F06"/>
    <w:rsid w:val="009F4303"/>
    <w:rsid w:val="009F58CC"/>
    <w:rsid w:val="009F7667"/>
    <w:rsid w:val="00A01DFE"/>
    <w:rsid w:val="00A02CF2"/>
    <w:rsid w:val="00A1427D"/>
    <w:rsid w:val="00A14DBD"/>
    <w:rsid w:val="00A23F64"/>
    <w:rsid w:val="00A248E3"/>
    <w:rsid w:val="00A2716D"/>
    <w:rsid w:val="00A30E3C"/>
    <w:rsid w:val="00A32E35"/>
    <w:rsid w:val="00A3666C"/>
    <w:rsid w:val="00A417BB"/>
    <w:rsid w:val="00A42EA2"/>
    <w:rsid w:val="00A43587"/>
    <w:rsid w:val="00A47B0C"/>
    <w:rsid w:val="00A56184"/>
    <w:rsid w:val="00A57EF0"/>
    <w:rsid w:val="00A62318"/>
    <w:rsid w:val="00A63A87"/>
    <w:rsid w:val="00A64D61"/>
    <w:rsid w:val="00A72F22"/>
    <w:rsid w:val="00A748A6"/>
    <w:rsid w:val="00A75EC9"/>
    <w:rsid w:val="00A8523D"/>
    <w:rsid w:val="00A879A4"/>
    <w:rsid w:val="00AA5227"/>
    <w:rsid w:val="00AA6228"/>
    <w:rsid w:val="00AB057B"/>
    <w:rsid w:val="00AB315A"/>
    <w:rsid w:val="00AB33D9"/>
    <w:rsid w:val="00AB571F"/>
    <w:rsid w:val="00AB5AA7"/>
    <w:rsid w:val="00AC5701"/>
    <w:rsid w:val="00AD6A0A"/>
    <w:rsid w:val="00AE47DB"/>
    <w:rsid w:val="00AE4A6A"/>
    <w:rsid w:val="00AE4A7D"/>
    <w:rsid w:val="00AE4C73"/>
    <w:rsid w:val="00AE4D5C"/>
    <w:rsid w:val="00AE764E"/>
    <w:rsid w:val="00AF73CE"/>
    <w:rsid w:val="00B102ED"/>
    <w:rsid w:val="00B14140"/>
    <w:rsid w:val="00B20035"/>
    <w:rsid w:val="00B201C5"/>
    <w:rsid w:val="00B20ECC"/>
    <w:rsid w:val="00B2154A"/>
    <w:rsid w:val="00B21C6C"/>
    <w:rsid w:val="00B26818"/>
    <w:rsid w:val="00B30179"/>
    <w:rsid w:val="00B30250"/>
    <w:rsid w:val="00B3101E"/>
    <w:rsid w:val="00B3317B"/>
    <w:rsid w:val="00B33F1E"/>
    <w:rsid w:val="00B410AD"/>
    <w:rsid w:val="00B43846"/>
    <w:rsid w:val="00B44820"/>
    <w:rsid w:val="00B45EC3"/>
    <w:rsid w:val="00B51A01"/>
    <w:rsid w:val="00B53F26"/>
    <w:rsid w:val="00B556BF"/>
    <w:rsid w:val="00B56B78"/>
    <w:rsid w:val="00B60932"/>
    <w:rsid w:val="00B706C0"/>
    <w:rsid w:val="00B72283"/>
    <w:rsid w:val="00B81E12"/>
    <w:rsid w:val="00B84094"/>
    <w:rsid w:val="00B84232"/>
    <w:rsid w:val="00B84A6A"/>
    <w:rsid w:val="00B93068"/>
    <w:rsid w:val="00B9787B"/>
    <w:rsid w:val="00BA5991"/>
    <w:rsid w:val="00BB176D"/>
    <w:rsid w:val="00BC03B3"/>
    <w:rsid w:val="00BC090C"/>
    <w:rsid w:val="00BC17B5"/>
    <w:rsid w:val="00BC5492"/>
    <w:rsid w:val="00BC74E9"/>
    <w:rsid w:val="00BD1B81"/>
    <w:rsid w:val="00BD2BF0"/>
    <w:rsid w:val="00BD52ED"/>
    <w:rsid w:val="00BD5B57"/>
    <w:rsid w:val="00BE2710"/>
    <w:rsid w:val="00BE3932"/>
    <w:rsid w:val="00BE5222"/>
    <w:rsid w:val="00BE618E"/>
    <w:rsid w:val="00BE6EEE"/>
    <w:rsid w:val="00BE716B"/>
    <w:rsid w:val="00BF0E8B"/>
    <w:rsid w:val="00BF1367"/>
    <w:rsid w:val="00C00F60"/>
    <w:rsid w:val="00C01EC5"/>
    <w:rsid w:val="00C0342D"/>
    <w:rsid w:val="00C129D6"/>
    <w:rsid w:val="00C1402C"/>
    <w:rsid w:val="00C14B84"/>
    <w:rsid w:val="00C20131"/>
    <w:rsid w:val="00C2261B"/>
    <w:rsid w:val="00C22CE1"/>
    <w:rsid w:val="00C269BC"/>
    <w:rsid w:val="00C34242"/>
    <w:rsid w:val="00C34784"/>
    <w:rsid w:val="00C37780"/>
    <w:rsid w:val="00C463DD"/>
    <w:rsid w:val="00C50AAB"/>
    <w:rsid w:val="00C62F76"/>
    <w:rsid w:val="00C662C6"/>
    <w:rsid w:val="00C66BC5"/>
    <w:rsid w:val="00C70DA8"/>
    <w:rsid w:val="00C718B4"/>
    <w:rsid w:val="00C745C3"/>
    <w:rsid w:val="00C80FCC"/>
    <w:rsid w:val="00C91469"/>
    <w:rsid w:val="00C924F2"/>
    <w:rsid w:val="00C92EC4"/>
    <w:rsid w:val="00CA66C1"/>
    <w:rsid w:val="00CC4E48"/>
    <w:rsid w:val="00CD3225"/>
    <w:rsid w:val="00CD4AA2"/>
    <w:rsid w:val="00CE2CC5"/>
    <w:rsid w:val="00CE46BA"/>
    <w:rsid w:val="00CE4A8F"/>
    <w:rsid w:val="00CE60CD"/>
    <w:rsid w:val="00CF73A5"/>
    <w:rsid w:val="00CF7514"/>
    <w:rsid w:val="00D021F1"/>
    <w:rsid w:val="00D16A38"/>
    <w:rsid w:val="00D2031B"/>
    <w:rsid w:val="00D234E4"/>
    <w:rsid w:val="00D2531E"/>
    <w:rsid w:val="00D25FE2"/>
    <w:rsid w:val="00D302B3"/>
    <w:rsid w:val="00D30A99"/>
    <w:rsid w:val="00D374BD"/>
    <w:rsid w:val="00D43252"/>
    <w:rsid w:val="00D4529D"/>
    <w:rsid w:val="00D46231"/>
    <w:rsid w:val="00D511CA"/>
    <w:rsid w:val="00D53910"/>
    <w:rsid w:val="00D6238C"/>
    <w:rsid w:val="00D6615E"/>
    <w:rsid w:val="00D66780"/>
    <w:rsid w:val="00D74984"/>
    <w:rsid w:val="00D753D8"/>
    <w:rsid w:val="00D75DFA"/>
    <w:rsid w:val="00D85F26"/>
    <w:rsid w:val="00D863EA"/>
    <w:rsid w:val="00D96CC5"/>
    <w:rsid w:val="00D96F6B"/>
    <w:rsid w:val="00D978C6"/>
    <w:rsid w:val="00DA051C"/>
    <w:rsid w:val="00DA15E0"/>
    <w:rsid w:val="00DA42D4"/>
    <w:rsid w:val="00DA57CC"/>
    <w:rsid w:val="00DA66FB"/>
    <w:rsid w:val="00DA67AD"/>
    <w:rsid w:val="00DB063B"/>
    <w:rsid w:val="00DB6BA1"/>
    <w:rsid w:val="00DC0A7B"/>
    <w:rsid w:val="00DD4FE9"/>
    <w:rsid w:val="00DE02F7"/>
    <w:rsid w:val="00DE6FB3"/>
    <w:rsid w:val="00DE7071"/>
    <w:rsid w:val="00DF1C6D"/>
    <w:rsid w:val="00DF6C0A"/>
    <w:rsid w:val="00E116BE"/>
    <w:rsid w:val="00E130AB"/>
    <w:rsid w:val="00E145C4"/>
    <w:rsid w:val="00E1679E"/>
    <w:rsid w:val="00E21C2A"/>
    <w:rsid w:val="00E21F98"/>
    <w:rsid w:val="00E23775"/>
    <w:rsid w:val="00E26C1D"/>
    <w:rsid w:val="00E312B0"/>
    <w:rsid w:val="00E34355"/>
    <w:rsid w:val="00E351E1"/>
    <w:rsid w:val="00E37BD1"/>
    <w:rsid w:val="00E409C8"/>
    <w:rsid w:val="00E4153E"/>
    <w:rsid w:val="00E429CD"/>
    <w:rsid w:val="00E479C9"/>
    <w:rsid w:val="00E47DD9"/>
    <w:rsid w:val="00E52830"/>
    <w:rsid w:val="00E55C1E"/>
    <w:rsid w:val="00E5644E"/>
    <w:rsid w:val="00E608E2"/>
    <w:rsid w:val="00E60928"/>
    <w:rsid w:val="00E62AEE"/>
    <w:rsid w:val="00E66779"/>
    <w:rsid w:val="00E7260F"/>
    <w:rsid w:val="00E72756"/>
    <w:rsid w:val="00E761B7"/>
    <w:rsid w:val="00E81230"/>
    <w:rsid w:val="00E8535A"/>
    <w:rsid w:val="00E91ACF"/>
    <w:rsid w:val="00E947C8"/>
    <w:rsid w:val="00E96630"/>
    <w:rsid w:val="00E96FCD"/>
    <w:rsid w:val="00EA0882"/>
    <w:rsid w:val="00EA33BC"/>
    <w:rsid w:val="00EA4C3D"/>
    <w:rsid w:val="00EA715E"/>
    <w:rsid w:val="00EA772F"/>
    <w:rsid w:val="00EB14AA"/>
    <w:rsid w:val="00EB1776"/>
    <w:rsid w:val="00EB6832"/>
    <w:rsid w:val="00EB6F20"/>
    <w:rsid w:val="00EC271A"/>
    <w:rsid w:val="00EC60D9"/>
    <w:rsid w:val="00ED2466"/>
    <w:rsid w:val="00ED7A2A"/>
    <w:rsid w:val="00EE07A6"/>
    <w:rsid w:val="00EE16B4"/>
    <w:rsid w:val="00EE56AB"/>
    <w:rsid w:val="00EF1D7F"/>
    <w:rsid w:val="00EF28C5"/>
    <w:rsid w:val="00EF301A"/>
    <w:rsid w:val="00EF7197"/>
    <w:rsid w:val="00F000EB"/>
    <w:rsid w:val="00F045FC"/>
    <w:rsid w:val="00F04E11"/>
    <w:rsid w:val="00F1363D"/>
    <w:rsid w:val="00F1592A"/>
    <w:rsid w:val="00F169CD"/>
    <w:rsid w:val="00F2344F"/>
    <w:rsid w:val="00F23EFD"/>
    <w:rsid w:val="00F261C2"/>
    <w:rsid w:val="00F32CA8"/>
    <w:rsid w:val="00F341CB"/>
    <w:rsid w:val="00F400AF"/>
    <w:rsid w:val="00F40E75"/>
    <w:rsid w:val="00F444D8"/>
    <w:rsid w:val="00F47D45"/>
    <w:rsid w:val="00F53328"/>
    <w:rsid w:val="00F54674"/>
    <w:rsid w:val="00F54ED1"/>
    <w:rsid w:val="00F55A88"/>
    <w:rsid w:val="00F64FA8"/>
    <w:rsid w:val="00F668F3"/>
    <w:rsid w:val="00F76BC9"/>
    <w:rsid w:val="00F80DA9"/>
    <w:rsid w:val="00F97B46"/>
    <w:rsid w:val="00F97C88"/>
    <w:rsid w:val="00FB04FB"/>
    <w:rsid w:val="00FB3781"/>
    <w:rsid w:val="00FB5D33"/>
    <w:rsid w:val="00FC5E7C"/>
    <w:rsid w:val="00FC68B7"/>
    <w:rsid w:val="00FD3014"/>
    <w:rsid w:val="00FD446B"/>
    <w:rsid w:val="00FD6B2B"/>
    <w:rsid w:val="00FD7756"/>
    <w:rsid w:val="00FE1B35"/>
    <w:rsid w:val="00FE4DFC"/>
    <w:rsid w:val="00FE70F9"/>
    <w:rsid w:val="00FE7507"/>
    <w:rsid w:val="00FE755F"/>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4AD85C"/>
  <w15:docId w15:val="{AF8CFF50-FBE6-4CF6-A74E-C327C2F7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4838">
      <w:bodyDiv w:val="1"/>
      <w:marLeft w:val="0"/>
      <w:marRight w:val="0"/>
      <w:marTop w:val="0"/>
      <w:marBottom w:val="0"/>
      <w:divBdr>
        <w:top w:val="none" w:sz="0" w:space="0" w:color="auto"/>
        <w:left w:val="none" w:sz="0" w:space="0" w:color="auto"/>
        <w:bottom w:val="none" w:sz="0" w:space="0" w:color="auto"/>
        <w:right w:val="none" w:sz="0" w:space="0" w:color="auto"/>
      </w:divBdr>
    </w:div>
    <w:div w:id="14977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1276-DF89-47A2-AA5F-C50FB952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46</TotalTime>
  <Pages>4</Pages>
  <Words>1382</Words>
  <Characters>7271</Characters>
  <Application>Microsoft Office Word</Application>
  <DocSecurity>0</DocSecurity>
  <Lines>165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2018-04-11T12:47:00Z</cp:lastPrinted>
  <dcterms:created xsi:type="dcterms:W3CDTF">2018-04-04T08:19:00Z</dcterms:created>
  <dcterms:modified xsi:type="dcterms:W3CDTF">2018-04-11T12:48:00Z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464326829</vt:i4>
  </property>
</Properties>
</file>