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0A1E00" w:rsidTr="00F01738">
        <w:trPr>
          <w:trHeight w:hRule="exact" w:val="851"/>
        </w:trPr>
        <w:tc>
          <w:tcPr>
            <w:tcW w:w="1276" w:type="dxa"/>
            <w:tcBorders>
              <w:bottom w:val="single" w:sz="4" w:space="0" w:color="auto"/>
            </w:tcBorders>
          </w:tcPr>
          <w:p w:rsidR="00132EA9" w:rsidRPr="00DB58B5" w:rsidRDefault="00132EA9" w:rsidP="0025406F">
            <w:bookmarkStart w:id="0" w:name="_GoBack"/>
            <w:bookmarkEnd w:id="0"/>
          </w:p>
        </w:tc>
        <w:tc>
          <w:tcPr>
            <w:tcW w:w="2268" w:type="dxa"/>
            <w:tcBorders>
              <w:bottom w:val="single" w:sz="4" w:space="0" w:color="auto"/>
            </w:tcBorders>
            <w:vAlign w:val="bottom"/>
          </w:tcPr>
          <w:p w:rsidR="00132EA9" w:rsidRPr="000A1E00" w:rsidRDefault="00132EA9" w:rsidP="00F01738">
            <w:pPr>
              <w:spacing w:after="80" w:line="300" w:lineRule="exact"/>
              <w:rPr>
                <w:sz w:val="28"/>
              </w:rPr>
            </w:pPr>
            <w:r w:rsidRPr="000A1E00">
              <w:rPr>
                <w:sz w:val="28"/>
              </w:rPr>
              <w:t>Nations Unies</w:t>
            </w:r>
          </w:p>
        </w:tc>
        <w:tc>
          <w:tcPr>
            <w:tcW w:w="6095" w:type="dxa"/>
            <w:gridSpan w:val="2"/>
            <w:tcBorders>
              <w:bottom w:val="single" w:sz="4" w:space="0" w:color="auto"/>
            </w:tcBorders>
            <w:vAlign w:val="bottom"/>
          </w:tcPr>
          <w:p w:rsidR="00132EA9" w:rsidRPr="000A1E00" w:rsidRDefault="0025406F" w:rsidP="0025406F">
            <w:pPr>
              <w:jc w:val="right"/>
            </w:pPr>
            <w:r w:rsidRPr="000A1E00">
              <w:rPr>
                <w:sz w:val="40"/>
              </w:rPr>
              <w:t>ST</w:t>
            </w:r>
            <w:r w:rsidRPr="000A1E00">
              <w:t>/SG/AC.10/C.3/106</w:t>
            </w:r>
          </w:p>
        </w:tc>
      </w:tr>
      <w:tr w:rsidR="00132EA9" w:rsidRPr="000A1E00" w:rsidTr="00F01738">
        <w:trPr>
          <w:trHeight w:hRule="exact" w:val="2835"/>
        </w:trPr>
        <w:tc>
          <w:tcPr>
            <w:tcW w:w="1276" w:type="dxa"/>
            <w:tcBorders>
              <w:top w:val="single" w:sz="4" w:space="0" w:color="auto"/>
              <w:bottom w:val="single" w:sz="12" w:space="0" w:color="auto"/>
            </w:tcBorders>
          </w:tcPr>
          <w:p w:rsidR="00132EA9" w:rsidRPr="000A1E00" w:rsidRDefault="00132EA9" w:rsidP="00F01738">
            <w:pPr>
              <w:spacing w:before="120"/>
              <w:jc w:val="center"/>
            </w:pPr>
            <w:r w:rsidRPr="000A1E00">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0A1E00" w:rsidRDefault="00132EA9" w:rsidP="00F01738">
            <w:pPr>
              <w:spacing w:before="120" w:line="420" w:lineRule="exact"/>
              <w:rPr>
                <w:b/>
                <w:sz w:val="40"/>
                <w:szCs w:val="40"/>
              </w:rPr>
            </w:pPr>
            <w:r w:rsidRPr="000A1E00">
              <w:rPr>
                <w:b/>
                <w:sz w:val="40"/>
                <w:szCs w:val="40"/>
              </w:rPr>
              <w:t>Secrétariat</w:t>
            </w:r>
          </w:p>
        </w:tc>
        <w:tc>
          <w:tcPr>
            <w:tcW w:w="2835" w:type="dxa"/>
            <w:tcBorders>
              <w:top w:val="single" w:sz="4" w:space="0" w:color="auto"/>
              <w:bottom w:val="single" w:sz="12" w:space="0" w:color="auto"/>
            </w:tcBorders>
          </w:tcPr>
          <w:p w:rsidR="00132EA9" w:rsidRPr="000A1E00" w:rsidRDefault="0025406F" w:rsidP="00F01738">
            <w:pPr>
              <w:spacing w:before="240"/>
            </w:pPr>
            <w:r w:rsidRPr="000A1E00">
              <w:t>Distr. générale</w:t>
            </w:r>
          </w:p>
          <w:p w:rsidR="0025406F" w:rsidRPr="000A1E00" w:rsidRDefault="0025406F" w:rsidP="0025406F">
            <w:pPr>
              <w:spacing w:line="240" w:lineRule="exact"/>
            </w:pPr>
            <w:r w:rsidRPr="000A1E00">
              <w:t>27 juillet 2018</w:t>
            </w:r>
          </w:p>
          <w:p w:rsidR="0025406F" w:rsidRPr="000A1E00" w:rsidRDefault="0025406F" w:rsidP="0025406F">
            <w:pPr>
              <w:spacing w:line="240" w:lineRule="exact"/>
            </w:pPr>
            <w:r w:rsidRPr="000A1E00">
              <w:t>Français</w:t>
            </w:r>
          </w:p>
          <w:p w:rsidR="0025406F" w:rsidRPr="000A1E00" w:rsidRDefault="0025406F" w:rsidP="0025406F">
            <w:pPr>
              <w:spacing w:line="240" w:lineRule="exact"/>
            </w:pPr>
            <w:r w:rsidRPr="000A1E00">
              <w:t>Original : anglais</w:t>
            </w:r>
          </w:p>
        </w:tc>
      </w:tr>
    </w:tbl>
    <w:p w:rsidR="005D4C44" w:rsidRPr="000A1E00" w:rsidRDefault="005D4C44" w:rsidP="000305D3">
      <w:pPr>
        <w:spacing w:before="120"/>
        <w:rPr>
          <w:b/>
          <w:sz w:val="24"/>
          <w:szCs w:val="24"/>
        </w:rPr>
      </w:pPr>
      <w:r w:rsidRPr="000A1E00">
        <w:rPr>
          <w:b/>
          <w:sz w:val="24"/>
          <w:szCs w:val="24"/>
        </w:rPr>
        <w:t>Comité d</w:t>
      </w:r>
      <w:r w:rsidR="000A1E00">
        <w:rPr>
          <w:b/>
          <w:sz w:val="24"/>
          <w:szCs w:val="24"/>
        </w:rPr>
        <w:t>’</w:t>
      </w:r>
      <w:r w:rsidRPr="000A1E00">
        <w:rPr>
          <w:b/>
          <w:sz w:val="24"/>
          <w:szCs w:val="24"/>
        </w:rPr>
        <w:t>experts du transport des marchandises dangereuses</w:t>
      </w:r>
      <w:r w:rsidRPr="000A1E00">
        <w:rPr>
          <w:b/>
          <w:sz w:val="24"/>
          <w:szCs w:val="24"/>
        </w:rPr>
        <w:br/>
        <w:t>et du Système général harmonisé de classification</w:t>
      </w:r>
      <w:r w:rsidRPr="000A1E00">
        <w:rPr>
          <w:b/>
          <w:sz w:val="24"/>
          <w:szCs w:val="24"/>
        </w:rPr>
        <w:br/>
        <w:t>et d</w:t>
      </w:r>
      <w:r w:rsidR="000A1E00">
        <w:rPr>
          <w:b/>
          <w:sz w:val="24"/>
          <w:szCs w:val="24"/>
        </w:rPr>
        <w:t>’</w:t>
      </w:r>
      <w:r w:rsidRPr="000A1E00">
        <w:rPr>
          <w:b/>
          <w:sz w:val="24"/>
          <w:szCs w:val="24"/>
        </w:rPr>
        <w:t>étiquetage des produits chimiques</w:t>
      </w:r>
    </w:p>
    <w:p w:rsidR="0035529A" w:rsidRPr="00CA0680" w:rsidRDefault="0035529A" w:rsidP="000305D3">
      <w:pPr>
        <w:spacing w:before="120"/>
        <w:rPr>
          <w:b/>
        </w:rPr>
      </w:pPr>
      <w:r w:rsidRPr="00CA0680">
        <w:rPr>
          <w:b/>
        </w:rPr>
        <w:t>Sous</w:t>
      </w:r>
      <w:r>
        <w:rPr>
          <w:b/>
        </w:rPr>
        <w:t>-</w:t>
      </w:r>
      <w:r w:rsidRPr="00CA0680">
        <w:rPr>
          <w:b/>
        </w:rPr>
        <w:t>Comité d’experts du transport des marchandises dangereuses</w:t>
      </w:r>
    </w:p>
    <w:p w:rsidR="00286BDC" w:rsidRPr="000A1E00" w:rsidRDefault="00286BDC" w:rsidP="005D4C44">
      <w:pPr>
        <w:pStyle w:val="HChG"/>
        <w:rPr>
          <w:lang w:val="fr-FR"/>
        </w:rPr>
      </w:pPr>
      <w:r w:rsidRPr="000A1E00">
        <w:rPr>
          <w:lang w:val="fr-FR"/>
        </w:rPr>
        <w:tab/>
      </w:r>
      <w:r w:rsidRPr="000A1E00">
        <w:rPr>
          <w:lang w:val="fr-FR"/>
        </w:rPr>
        <w:tab/>
        <w:t>Rapport du Sous-Comité d</w:t>
      </w:r>
      <w:r w:rsidR="000A1E00">
        <w:rPr>
          <w:lang w:val="fr-FR"/>
        </w:rPr>
        <w:t>’</w:t>
      </w:r>
      <w:r w:rsidRPr="000A1E00">
        <w:rPr>
          <w:lang w:val="fr-FR"/>
        </w:rPr>
        <w:t>experts du transport des marchandises dangereuses sur sa cinquante-troisième session</w:t>
      </w:r>
    </w:p>
    <w:p w:rsidR="00286BDC" w:rsidRPr="000A1E00" w:rsidRDefault="00286BDC" w:rsidP="0081711B">
      <w:pPr>
        <w:pStyle w:val="H56G"/>
        <w:rPr>
          <w:lang w:val="fr-FR"/>
        </w:rPr>
      </w:pPr>
      <w:r w:rsidRPr="000A1E00">
        <w:rPr>
          <w:lang w:val="fr-FR"/>
        </w:rPr>
        <w:tab/>
      </w:r>
      <w:r w:rsidRPr="000A1E00">
        <w:rPr>
          <w:lang w:val="fr-FR"/>
        </w:rPr>
        <w:tab/>
        <w:t>tenue à Genève du 25</w:t>
      </w:r>
      <w:r w:rsidR="005D4C44" w:rsidRPr="000A1E00">
        <w:rPr>
          <w:lang w:val="fr-FR"/>
        </w:rPr>
        <w:t> </w:t>
      </w:r>
      <w:r w:rsidRPr="000A1E00">
        <w:rPr>
          <w:lang w:val="fr-FR"/>
        </w:rPr>
        <w:t>juin au 4</w:t>
      </w:r>
      <w:r w:rsidR="005D4C44" w:rsidRPr="000A1E00">
        <w:rPr>
          <w:lang w:val="fr-FR"/>
        </w:rPr>
        <w:t> </w:t>
      </w:r>
      <w:r w:rsidRPr="000A1E00">
        <w:rPr>
          <w:lang w:val="fr-FR"/>
        </w:rPr>
        <w:t>juillet 2018</w:t>
      </w:r>
    </w:p>
    <w:p w:rsidR="005D4C44" w:rsidRDefault="005D4C44" w:rsidP="005D4C44">
      <w:pPr>
        <w:spacing w:after="120"/>
        <w:rPr>
          <w:sz w:val="28"/>
        </w:rPr>
      </w:pPr>
      <w:r w:rsidRPr="000A1E00">
        <w:rPr>
          <w:sz w:val="28"/>
        </w:rPr>
        <w:t>Table des matières</w:t>
      </w:r>
    </w:p>
    <w:p w:rsidR="005D4C44" w:rsidRPr="000A1E00" w:rsidRDefault="005D4C44" w:rsidP="005D4C44">
      <w:pPr>
        <w:tabs>
          <w:tab w:val="right" w:pos="8929"/>
          <w:tab w:val="right" w:pos="9638"/>
        </w:tabs>
        <w:spacing w:after="120"/>
        <w:ind w:left="283"/>
        <w:rPr>
          <w:i/>
          <w:sz w:val="18"/>
        </w:rPr>
      </w:pPr>
      <w:r w:rsidRPr="000A1E00">
        <w:rPr>
          <w:i/>
          <w:sz w:val="18"/>
        </w:rPr>
        <w:tab/>
        <w:t>Paragraphes</w:t>
      </w:r>
      <w:r w:rsidRPr="000A1E00">
        <w:rPr>
          <w:i/>
          <w:sz w:val="18"/>
        </w:rPr>
        <w:tab/>
        <w:t>Page</w:t>
      </w:r>
    </w:p>
    <w:p w:rsidR="005D4C44" w:rsidRDefault="005D4C44" w:rsidP="005D4C44">
      <w:pPr>
        <w:tabs>
          <w:tab w:val="right" w:pos="850"/>
          <w:tab w:val="right" w:leader="dot" w:pos="7654"/>
          <w:tab w:val="right" w:pos="8929"/>
          <w:tab w:val="right" w:pos="9638"/>
        </w:tabs>
        <w:spacing w:after="120"/>
        <w:ind w:left="1134" w:hanging="1134"/>
      </w:pPr>
      <w:r w:rsidRPr="000A1E00">
        <w:tab/>
        <w:t>I.</w:t>
      </w:r>
      <w:r w:rsidRPr="000A1E00">
        <w:tab/>
      </w:r>
      <w:r w:rsidR="00AA16F9" w:rsidRPr="000A1E00">
        <w:rPr>
          <w:lang w:val="fr-FR"/>
        </w:rPr>
        <w:t>Participation</w:t>
      </w:r>
      <w:r w:rsidRPr="000A1E00">
        <w:tab/>
      </w:r>
      <w:r w:rsidRPr="000A1E00">
        <w:tab/>
      </w:r>
      <w:r w:rsidR="00C73F6E">
        <w:t>1−6</w:t>
      </w:r>
      <w:r w:rsidRPr="000A1E00">
        <w:tab/>
      </w:r>
      <w:r w:rsidR="0053098E">
        <w:t>6</w:t>
      </w:r>
    </w:p>
    <w:p w:rsidR="00EB0B1C" w:rsidRDefault="00EB0B1C" w:rsidP="005D4C44">
      <w:pPr>
        <w:tabs>
          <w:tab w:val="right" w:pos="850"/>
          <w:tab w:val="right" w:leader="dot" w:pos="7654"/>
          <w:tab w:val="right" w:pos="8929"/>
          <w:tab w:val="right" w:pos="9638"/>
        </w:tabs>
        <w:spacing w:after="120"/>
        <w:ind w:left="1134" w:hanging="1134"/>
      </w:pPr>
      <w:r>
        <w:tab/>
        <w:t>II.</w:t>
      </w:r>
      <w:r>
        <w:tab/>
      </w:r>
      <w:r w:rsidR="00AA16F9" w:rsidRPr="000A1E00">
        <w:rPr>
          <w:lang w:val="fr-FR"/>
        </w:rPr>
        <w:t>Ouverture de la session</w:t>
      </w:r>
      <w:r>
        <w:tab/>
      </w:r>
      <w:r>
        <w:tab/>
      </w:r>
      <w:r w:rsidR="00C73F6E">
        <w:t>7−8</w:t>
      </w:r>
      <w:r>
        <w:tab/>
      </w:r>
      <w:r w:rsidR="0053098E">
        <w:t>6</w:t>
      </w:r>
    </w:p>
    <w:p w:rsidR="00EB0B1C" w:rsidRDefault="00EB0B1C" w:rsidP="005D4C44">
      <w:pPr>
        <w:tabs>
          <w:tab w:val="right" w:pos="850"/>
          <w:tab w:val="right" w:leader="dot" w:pos="7654"/>
          <w:tab w:val="right" w:pos="8929"/>
          <w:tab w:val="right" w:pos="9638"/>
        </w:tabs>
        <w:spacing w:after="120"/>
        <w:ind w:left="1134" w:hanging="1134"/>
      </w:pPr>
      <w:r>
        <w:tab/>
        <w:t>III.</w:t>
      </w:r>
      <w:r>
        <w:tab/>
      </w:r>
      <w:r w:rsidR="00AA16F9" w:rsidRPr="000A1E00">
        <w:rPr>
          <w:lang w:val="fr-FR"/>
        </w:rPr>
        <w:t>Adoption de l</w:t>
      </w:r>
      <w:r w:rsidR="00AA16F9">
        <w:rPr>
          <w:lang w:val="fr-FR"/>
        </w:rPr>
        <w:t>’</w:t>
      </w:r>
      <w:r w:rsidR="00AA16F9" w:rsidRPr="000A1E00">
        <w:rPr>
          <w:lang w:val="fr-FR"/>
        </w:rPr>
        <w:t>ordre du jour (point 1 de l</w:t>
      </w:r>
      <w:r w:rsidR="00AA16F9">
        <w:rPr>
          <w:lang w:val="fr-FR"/>
        </w:rPr>
        <w:t>’</w:t>
      </w:r>
      <w:r w:rsidR="00AA16F9" w:rsidRPr="000A1E00">
        <w:rPr>
          <w:lang w:val="fr-FR"/>
        </w:rPr>
        <w:t>ordre du jour)</w:t>
      </w:r>
      <w:r>
        <w:tab/>
      </w:r>
      <w:r>
        <w:tab/>
      </w:r>
      <w:r w:rsidR="00C73F6E">
        <w:t>9−10</w:t>
      </w:r>
      <w:r>
        <w:tab/>
      </w:r>
      <w:r w:rsidR="0053098E">
        <w:t>7</w:t>
      </w:r>
    </w:p>
    <w:p w:rsidR="00EB0B1C" w:rsidRDefault="00EB0B1C" w:rsidP="005D4C44">
      <w:pPr>
        <w:tabs>
          <w:tab w:val="right" w:pos="850"/>
          <w:tab w:val="right" w:leader="dot" w:pos="7654"/>
          <w:tab w:val="right" w:pos="8929"/>
          <w:tab w:val="right" w:pos="9638"/>
        </w:tabs>
        <w:spacing w:after="120"/>
        <w:ind w:left="1134" w:hanging="1134"/>
      </w:pPr>
      <w:r>
        <w:tab/>
        <w:t>IV.</w:t>
      </w:r>
      <w:r>
        <w:tab/>
      </w:r>
      <w:r w:rsidR="00AA16F9" w:rsidRPr="000A1E00">
        <w:rPr>
          <w:lang w:val="fr-FR"/>
        </w:rPr>
        <w:t>Explosifs et questions connexes (point 2 de l</w:t>
      </w:r>
      <w:r w:rsidR="00AA16F9">
        <w:rPr>
          <w:lang w:val="fr-FR"/>
        </w:rPr>
        <w:t>’</w:t>
      </w:r>
      <w:r w:rsidR="00AA16F9" w:rsidRPr="000A1E00">
        <w:rPr>
          <w:lang w:val="fr-FR"/>
        </w:rPr>
        <w:t>ordre du jour</w:t>
      </w:r>
      <w:r w:rsidR="00AA16F9">
        <w:rPr>
          <w:lang w:val="fr-FR"/>
        </w:rPr>
        <w:t>)</w:t>
      </w:r>
      <w:r>
        <w:tab/>
      </w:r>
      <w:r>
        <w:tab/>
      </w:r>
      <w:r w:rsidR="00C73F6E">
        <w:t>11−37</w:t>
      </w:r>
      <w:r>
        <w:tab/>
      </w:r>
      <w:r w:rsidR="0053098E">
        <w:t>7</w:t>
      </w:r>
    </w:p>
    <w:p w:rsidR="00EB0B1C" w:rsidRPr="000A1E00" w:rsidRDefault="00EB0B1C" w:rsidP="005D4C44">
      <w:pPr>
        <w:tabs>
          <w:tab w:val="right" w:pos="850"/>
          <w:tab w:val="right" w:leader="dot" w:pos="7654"/>
          <w:tab w:val="right" w:pos="8929"/>
          <w:tab w:val="right" w:pos="9638"/>
        </w:tabs>
        <w:spacing w:after="120"/>
        <w:ind w:left="1134" w:hanging="1134"/>
      </w:pPr>
      <w:r>
        <w:tab/>
      </w:r>
      <w:r>
        <w:tab/>
      </w:r>
      <w:r w:rsidR="00AA16F9" w:rsidRPr="000A1E00">
        <w:rPr>
          <w:lang w:val="fr-FR"/>
        </w:rPr>
        <w:t>Rapport du Groupe de travail des explosifs</w:t>
      </w:r>
      <w:r>
        <w:tab/>
      </w:r>
      <w:r>
        <w:tab/>
      </w:r>
      <w:r w:rsidR="00C73F6E">
        <w:t>14−37</w:t>
      </w:r>
      <w:r>
        <w:tab/>
      </w:r>
      <w:r w:rsidR="0053098E">
        <w:t>7</w:t>
      </w:r>
    </w:p>
    <w:p w:rsidR="005D4C44" w:rsidRDefault="005D4C44" w:rsidP="005D4C44">
      <w:pPr>
        <w:tabs>
          <w:tab w:val="right" w:leader="dot" w:pos="7654"/>
          <w:tab w:val="right" w:pos="8929"/>
          <w:tab w:val="right" w:pos="9638"/>
        </w:tabs>
        <w:spacing w:after="120"/>
        <w:ind w:left="1559" w:hanging="425"/>
      </w:pPr>
      <w:r w:rsidRPr="000A1E00">
        <w:t>A.</w:t>
      </w:r>
      <w:r w:rsidRPr="000A1E00">
        <w:tab/>
      </w:r>
      <w:r w:rsidR="00AA16F9" w:rsidRPr="000A1E00">
        <w:rPr>
          <w:lang w:val="fr-FR"/>
        </w:rPr>
        <w:t>Révision des épreuves de la série 6</w:t>
      </w:r>
      <w:r w:rsidRPr="000A1E00">
        <w:tab/>
      </w:r>
      <w:r w:rsidRPr="000A1E00">
        <w:tab/>
      </w:r>
      <w:r w:rsidR="00C73F6E">
        <w:t>15</w:t>
      </w:r>
      <w:r w:rsidRPr="000A1E00">
        <w:tab/>
      </w:r>
      <w:r w:rsidR="0053098E">
        <w:t>8</w:t>
      </w:r>
    </w:p>
    <w:p w:rsidR="00EB0B1C" w:rsidRPr="000A1E00" w:rsidRDefault="00EB0B1C" w:rsidP="005D4C44">
      <w:pPr>
        <w:tabs>
          <w:tab w:val="right" w:leader="dot" w:pos="7654"/>
          <w:tab w:val="right" w:pos="8929"/>
          <w:tab w:val="right" w:pos="9638"/>
        </w:tabs>
        <w:spacing w:after="120"/>
        <w:ind w:left="1559" w:hanging="425"/>
      </w:pPr>
      <w:r>
        <w:t>B.</w:t>
      </w:r>
      <w:r>
        <w:tab/>
      </w:r>
      <w:r w:rsidR="00AA16F9" w:rsidRPr="000A1E00">
        <w:rPr>
          <w:lang w:val="fr-FR"/>
        </w:rPr>
        <w:t>Révision des épreuves des parties I, II et III du Manuel d</w:t>
      </w:r>
      <w:r w:rsidR="00AA16F9">
        <w:rPr>
          <w:lang w:val="fr-FR"/>
        </w:rPr>
        <w:t>’</w:t>
      </w:r>
      <w:r w:rsidR="00AA16F9" w:rsidRPr="000A1E00">
        <w:rPr>
          <w:lang w:val="fr-FR"/>
        </w:rPr>
        <w:t xml:space="preserve">épreuves </w:t>
      </w:r>
      <w:r w:rsidR="00AA16F9" w:rsidRPr="000A1E00">
        <w:rPr>
          <w:lang w:val="fr-FR"/>
        </w:rPr>
        <w:br/>
        <w:t>et de critères</w:t>
      </w:r>
      <w:r>
        <w:tab/>
      </w:r>
      <w:r>
        <w:tab/>
      </w:r>
      <w:r w:rsidR="00C73F6E">
        <w:t>16−17</w:t>
      </w:r>
      <w:r>
        <w:tab/>
      </w:r>
      <w:r w:rsidR="0053098E">
        <w:t>8</w:t>
      </w:r>
    </w:p>
    <w:p w:rsidR="005D4C44" w:rsidRDefault="005D4C44" w:rsidP="005D4C44">
      <w:pPr>
        <w:tabs>
          <w:tab w:val="right" w:leader="dot" w:pos="7654"/>
          <w:tab w:val="right" w:pos="8929"/>
          <w:tab w:val="right" w:pos="9638"/>
        </w:tabs>
        <w:spacing w:after="120"/>
        <w:ind w:left="1984" w:hanging="425"/>
      </w:pPr>
      <w:r w:rsidRPr="000A1E00">
        <w:t>1.</w:t>
      </w:r>
      <w:r w:rsidRPr="000A1E00">
        <w:tab/>
      </w:r>
      <w:r w:rsidR="00AA16F9" w:rsidRPr="000A1E00">
        <w:rPr>
          <w:lang w:val="fr-FR"/>
        </w:rPr>
        <w:t>Amélioration de l</w:t>
      </w:r>
      <w:r w:rsidR="00AA16F9">
        <w:rPr>
          <w:lang w:val="fr-FR"/>
        </w:rPr>
        <w:t>’</w:t>
      </w:r>
      <w:r w:rsidR="00AA16F9" w:rsidRPr="000A1E00">
        <w:rPr>
          <w:lang w:val="fr-FR"/>
        </w:rPr>
        <w:t xml:space="preserve">épreuve 8 c) pour les émulsions à base de nitrate </w:t>
      </w:r>
      <w:r w:rsidR="00AA16F9">
        <w:rPr>
          <w:lang w:val="fr-FR"/>
        </w:rPr>
        <w:br/>
      </w:r>
      <w:r w:rsidR="00AA16F9" w:rsidRPr="000A1E00">
        <w:rPr>
          <w:lang w:val="fr-FR"/>
        </w:rPr>
        <w:t>d</w:t>
      </w:r>
      <w:r w:rsidR="00AA16F9">
        <w:rPr>
          <w:lang w:val="fr-FR"/>
        </w:rPr>
        <w:t>’</w:t>
      </w:r>
      <w:r w:rsidR="00AA16F9" w:rsidRPr="000A1E00">
        <w:rPr>
          <w:lang w:val="fr-FR"/>
        </w:rPr>
        <w:t>ammonium (</w:t>
      </w:r>
      <w:r w:rsidR="00AA16F9" w:rsidRPr="000A1E00">
        <w:rPr>
          <w:rFonts w:eastAsia="MS Mincho"/>
          <w:szCs w:val="22"/>
          <w:lang w:val="fr-FR"/>
        </w:rPr>
        <w:t>No</w:t>
      </w:r>
      <w:r w:rsidR="00AA16F9" w:rsidRPr="000A1E00">
        <w:rPr>
          <w:lang w:val="fr-FR"/>
        </w:rPr>
        <w:t> ONU 3375)</w:t>
      </w:r>
      <w:r w:rsidRPr="000A1E00">
        <w:tab/>
      </w:r>
      <w:r w:rsidRPr="000A1E00">
        <w:tab/>
      </w:r>
      <w:r w:rsidR="00C73F6E">
        <w:t>16</w:t>
      </w:r>
      <w:r w:rsidRPr="000A1E00">
        <w:tab/>
      </w:r>
      <w:r w:rsidR="0053098E">
        <w:t>8</w:t>
      </w:r>
    </w:p>
    <w:p w:rsidR="00EB0B1C" w:rsidRDefault="00EB0B1C" w:rsidP="005D4C44">
      <w:pPr>
        <w:tabs>
          <w:tab w:val="right" w:leader="dot" w:pos="7654"/>
          <w:tab w:val="right" w:pos="8929"/>
          <w:tab w:val="right" w:pos="9638"/>
        </w:tabs>
        <w:spacing w:after="120"/>
        <w:ind w:left="1984" w:hanging="425"/>
      </w:pPr>
      <w:r>
        <w:t>2.</w:t>
      </w:r>
      <w:r>
        <w:tab/>
      </w:r>
      <w:r w:rsidR="00AA16F9" w:rsidRPr="000A1E00">
        <w:rPr>
          <w:lang w:val="fr-FR"/>
        </w:rPr>
        <w:t>Utilisation de l</w:t>
      </w:r>
      <w:r w:rsidR="00AA16F9">
        <w:rPr>
          <w:lang w:val="fr-FR"/>
        </w:rPr>
        <w:t>’</w:t>
      </w:r>
      <w:r w:rsidR="00AA16F9" w:rsidRPr="000A1E00">
        <w:rPr>
          <w:lang w:val="fr-FR"/>
        </w:rPr>
        <w:t xml:space="preserve">expression « effet pratique explosif </w:t>
      </w:r>
      <w:r w:rsidR="00AA16F9">
        <w:rPr>
          <w:lang w:val="fr-FR"/>
        </w:rPr>
        <w:br/>
      </w:r>
      <w:r w:rsidR="00AA16F9" w:rsidRPr="000A1E00">
        <w:rPr>
          <w:lang w:val="fr-FR"/>
        </w:rPr>
        <w:t>ou pyrotechnique »</w:t>
      </w:r>
      <w:r>
        <w:tab/>
      </w:r>
      <w:r>
        <w:tab/>
      </w:r>
      <w:r w:rsidR="00C73F6E">
        <w:t>17</w:t>
      </w:r>
      <w:r>
        <w:tab/>
      </w:r>
      <w:r w:rsidR="0053098E">
        <w:t>8</w:t>
      </w:r>
    </w:p>
    <w:p w:rsidR="00EB0B1C" w:rsidRDefault="00EB0B1C" w:rsidP="00EB0B1C">
      <w:pPr>
        <w:tabs>
          <w:tab w:val="right" w:leader="dot" w:pos="7654"/>
          <w:tab w:val="right" w:pos="8929"/>
          <w:tab w:val="right" w:pos="9638"/>
        </w:tabs>
        <w:spacing w:after="120"/>
        <w:ind w:left="1559" w:hanging="425"/>
      </w:pPr>
      <w:r>
        <w:t>C</w:t>
      </w:r>
      <w:r w:rsidRPr="000A1E00">
        <w:t>.</w:t>
      </w:r>
      <w:r w:rsidRPr="000A1E00">
        <w:tab/>
      </w:r>
      <w:r w:rsidR="00AA16F9" w:rsidRPr="000A1E00">
        <w:rPr>
          <w:lang w:val="fr-FR"/>
        </w:rPr>
        <w:t>Détonateurs électroniques</w:t>
      </w:r>
      <w:r w:rsidRPr="000A1E00">
        <w:tab/>
      </w:r>
      <w:r w:rsidRPr="000A1E00">
        <w:tab/>
      </w:r>
      <w:r w:rsidR="00C73F6E">
        <w:t>18</w:t>
      </w:r>
      <w:r w:rsidRPr="000A1E00">
        <w:tab/>
      </w:r>
      <w:r w:rsidR="0053098E">
        <w:t>8</w:t>
      </w:r>
    </w:p>
    <w:p w:rsidR="00EB0B1C" w:rsidRDefault="00EB0B1C" w:rsidP="00EB0B1C">
      <w:pPr>
        <w:tabs>
          <w:tab w:val="right" w:leader="dot" w:pos="7654"/>
          <w:tab w:val="right" w:pos="8929"/>
          <w:tab w:val="right" w:pos="9638"/>
        </w:tabs>
        <w:spacing w:after="120"/>
        <w:ind w:left="1559" w:hanging="425"/>
      </w:pPr>
      <w:r>
        <w:t>D.</w:t>
      </w:r>
      <w:r>
        <w:tab/>
      </w:r>
      <w:r w:rsidR="00AA16F9" w:rsidRPr="000A1E00">
        <w:rPr>
          <w:lang w:val="fr-FR"/>
        </w:rPr>
        <w:t>Directives pour l</w:t>
      </w:r>
      <w:r w:rsidR="00AA16F9">
        <w:rPr>
          <w:lang w:val="fr-FR"/>
        </w:rPr>
        <w:t>’</w:t>
      </w:r>
      <w:r w:rsidR="00AA16F9" w:rsidRPr="000A1E00">
        <w:rPr>
          <w:lang w:val="fr-FR"/>
        </w:rPr>
        <w:t>application des épreuves des séries 3 et 4</w:t>
      </w:r>
      <w:r>
        <w:tab/>
      </w:r>
      <w:r>
        <w:tab/>
      </w:r>
      <w:r w:rsidR="00C73F6E">
        <w:t>19</w:t>
      </w:r>
      <w:r>
        <w:tab/>
      </w:r>
      <w:r w:rsidR="0053098E">
        <w:t>8</w:t>
      </w:r>
    </w:p>
    <w:p w:rsidR="00EB0B1C" w:rsidRPr="000A1E00" w:rsidRDefault="00EB0B1C" w:rsidP="00EB0B1C">
      <w:pPr>
        <w:tabs>
          <w:tab w:val="right" w:leader="dot" w:pos="7654"/>
          <w:tab w:val="right" w:pos="8929"/>
          <w:tab w:val="right" w:pos="9638"/>
        </w:tabs>
        <w:spacing w:after="120"/>
        <w:ind w:left="1559" w:hanging="425"/>
      </w:pPr>
      <w:r>
        <w:t>E.</w:t>
      </w:r>
      <w:r>
        <w:tab/>
      </w:r>
      <w:r w:rsidR="00AA16F9" w:rsidRPr="000A1E00">
        <w:rPr>
          <w:lang w:val="fr-FR"/>
        </w:rPr>
        <w:t>Épreuves de stabilité pour la nitrocellulose industrielle</w:t>
      </w:r>
      <w:r>
        <w:tab/>
      </w:r>
      <w:r>
        <w:tab/>
      </w:r>
      <w:r w:rsidR="00C73F6E">
        <w:t>20−21</w:t>
      </w:r>
      <w:r>
        <w:tab/>
      </w:r>
      <w:r w:rsidR="0053098E">
        <w:t>8</w:t>
      </w:r>
    </w:p>
    <w:p w:rsidR="00EB0B1C" w:rsidRDefault="00EB0B1C" w:rsidP="00EB0B1C">
      <w:pPr>
        <w:tabs>
          <w:tab w:val="right" w:leader="dot" w:pos="7654"/>
          <w:tab w:val="right" w:pos="8929"/>
          <w:tab w:val="right" w:pos="9638"/>
        </w:tabs>
        <w:spacing w:after="120"/>
        <w:ind w:left="1984" w:hanging="425"/>
      </w:pPr>
      <w:r w:rsidRPr="000A1E00">
        <w:t>1.</w:t>
      </w:r>
      <w:r w:rsidRPr="000A1E00">
        <w:tab/>
      </w:r>
      <w:r w:rsidR="00AA16F9" w:rsidRPr="000A1E00">
        <w:rPr>
          <w:lang w:val="fr-FR"/>
        </w:rPr>
        <w:t>Épreuves de stabilité pour les mélanges de nitrocellulose</w:t>
      </w:r>
      <w:r w:rsidRPr="000A1E00">
        <w:tab/>
      </w:r>
      <w:r w:rsidRPr="000A1E00">
        <w:tab/>
      </w:r>
      <w:r w:rsidR="00C73F6E">
        <w:t>20</w:t>
      </w:r>
      <w:r w:rsidRPr="000A1E00">
        <w:tab/>
      </w:r>
      <w:r w:rsidR="0053098E">
        <w:t>8</w:t>
      </w:r>
    </w:p>
    <w:p w:rsidR="00EB0B1C" w:rsidRDefault="00EB0B1C" w:rsidP="00EB0B1C">
      <w:pPr>
        <w:tabs>
          <w:tab w:val="right" w:leader="dot" w:pos="7654"/>
          <w:tab w:val="right" w:pos="8929"/>
          <w:tab w:val="right" w:pos="9638"/>
        </w:tabs>
        <w:spacing w:after="120"/>
        <w:ind w:left="1984" w:hanging="425"/>
      </w:pPr>
      <w:r>
        <w:t>2.</w:t>
      </w:r>
      <w:r>
        <w:tab/>
      </w:r>
      <w:r w:rsidR="00AA16F9" w:rsidRPr="000A1E00">
        <w:rPr>
          <w:bCs/>
          <w:lang w:val="fr-FR"/>
        </w:rPr>
        <w:t xml:space="preserve">Classement des explosifs désensibilisés conformément </w:t>
      </w:r>
      <w:r w:rsidR="0053098E">
        <w:rPr>
          <w:bCs/>
          <w:lang w:val="fr-FR"/>
        </w:rPr>
        <w:t>8</w:t>
      </w:r>
      <w:r w:rsidR="00B824F7">
        <w:rPr>
          <w:bCs/>
          <w:lang w:val="fr-FR"/>
        </w:rPr>
        <w:br/>
      </w:r>
      <w:r w:rsidR="00AA16F9" w:rsidRPr="000A1E00">
        <w:rPr>
          <w:bCs/>
          <w:lang w:val="fr-FR"/>
        </w:rPr>
        <w:t>au chapitre 2.17 du SGH</w:t>
      </w:r>
      <w:r>
        <w:tab/>
      </w:r>
      <w:r>
        <w:tab/>
      </w:r>
      <w:r w:rsidR="00C73F6E">
        <w:t>21</w:t>
      </w:r>
      <w:r>
        <w:tab/>
      </w:r>
      <w:r w:rsidR="0053098E">
        <w:t>8</w:t>
      </w:r>
    </w:p>
    <w:p w:rsidR="00EB0B1C" w:rsidRDefault="00EB0B1C" w:rsidP="00EB0B1C">
      <w:pPr>
        <w:tabs>
          <w:tab w:val="right" w:leader="dot" w:pos="7654"/>
          <w:tab w:val="right" w:pos="8929"/>
          <w:tab w:val="right" w:pos="9638"/>
        </w:tabs>
        <w:spacing w:after="120"/>
        <w:ind w:left="1559" w:hanging="425"/>
      </w:pPr>
      <w:r>
        <w:t>F.</w:t>
      </w:r>
      <w:r>
        <w:tab/>
      </w:r>
      <w:r w:rsidR="00362AC3" w:rsidRPr="00622FA2">
        <w:rPr>
          <w:lang w:val="fr-FR"/>
        </w:rPr>
        <w:t xml:space="preserve">Application aux explosifs relevant de rubriques n.s.a. des dispositions </w:t>
      </w:r>
      <w:r w:rsidR="00362AC3">
        <w:rPr>
          <w:lang w:val="fr-FR"/>
        </w:rPr>
        <w:br/>
      </w:r>
      <w:r w:rsidR="00362AC3" w:rsidRPr="00622FA2">
        <w:rPr>
          <w:lang w:val="fr-FR"/>
        </w:rPr>
        <w:t>relatives à la sûreté</w:t>
      </w:r>
      <w:r>
        <w:tab/>
      </w:r>
      <w:r>
        <w:tab/>
      </w:r>
      <w:r w:rsidR="00C73F6E">
        <w:t>22</w:t>
      </w:r>
      <w:r>
        <w:tab/>
      </w:r>
      <w:r w:rsidR="0053098E">
        <w:t>9</w:t>
      </w:r>
    </w:p>
    <w:p w:rsidR="00EB0B1C" w:rsidRPr="000A1E00" w:rsidRDefault="00EB0B1C" w:rsidP="00EB0B1C">
      <w:pPr>
        <w:tabs>
          <w:tab w:val="right" w:leader="dot" w:pos="7654"/>
          <w:tab w:val="right" w:pos="8929"/>
          <w:tab w:val="right" w:pos="9638"/>
        </w:tabs>
        <w:spacing w:after="120"/>
        <w:ind w:left="1559" w:hanging="425"/>
      </w:pPr>
      <w:r>
        <w:t>G.</w:t>
      </w:r>
      <w:r>
        <w:tab/>
      </w:r>
      <w:r w:rsidR="00362AC3" w:rsidRPr="00622FA2">
        <w:rPr>
          <w:lang w:val="fr-FR"/>
        </w:rPr>
        <w:t>Révision des instructions d’emballage pour les explosifs</w:t>
      </w:r>
      <w:r>
        <w:tab/>
      </w:r>
      <w:r>
        <w:tab/>
      </w:r>
      <w:r w:rsidR="00C73F6E">
        <w:t>23</w:t>
      </w:r>
      <w:r>
        <w:tab/>
      </w:r>
      <w:r w:rsidR="0053098E">
        <w:t>9</w:t>
      </w:r>
    </w:p>
    <w:p w:rsidR="00EB0B1C" w:rsidRDefault="00C57EB7" w:rsidP="00EB0B1C">
      <w:pPr>
        <w:tabs>
          <w:tab w:val="right" w:leader="dot" w:pos="7654"/>
          <w:tab w:val="right" w:pos="8929"/>
          <w:tab w:val="right" w:pos="9638"/>
        </w:tabs>
        <w:spacing w:after="120"/>
        <w:ind w:left="1559" w:hanging="425"/>
      </w:pPr>
      <w:r>
        <w:t>H</w:t>
      </w:r>
      <w:r w:rsidR="00EB0B1C">
        <w:t>.</w:t>
      </w:r>
      <w:r w:rsidR="00EB0B1C">
        <w:tab/>
      </w:r>
      <w:r w:rsidR="00362AC3" w:rsidRPr="00622FA2">
        <w:rPr>
          <w:lang w:val="fr-FR"/>
        </w:rPr>
        <w:t>Classement des articles sous le No ONU 0349</w:t>
      </w:r>
      <w:r w:rsidR="00EB0B1C">
        <w:tab/>
      </w:r>
      <w:r w:rsidR="00EB0B1C">
        <w:tab/>
      </w:r>
      <w:r w:rsidR="00C73F6E">
        <w:t>24</w:t>
      </w:r>
      <w:r w:rsidR="00EB0B1C">
        <w:tab/>
      </w:r>
      <w:r w:rsidR="0053098E">
        <w:t>9</w:t>
      </w:r>
    </w:p>
    <w:p w:rsidR="00EB0B1C" w:rsidRPr="000A1E00" w:rsidRDefault="00C57EB7" w:rsidP="00EB0B1C">
      <w:pPr>
        <w:tabs>
          <w:tab w:val="right" w:leader="dot" w:pos="7654"/>
          <w:tab w:val="right" w:pos="8929"/>
          <w:tab w:val="right" w:pos="9638"/>
        </w:tabs>
        <w:spacing w:after="120"/>
        <w:ind w:left="1559" w:hanging="425"/>
      </w:pPr>
      <w:r>
        <w:t>I</w:t>
      </w:r>
      <w:r w:rsidR="00EB0B1C">
        <w:t>.</w:t>
      </w:r>
      <w:r w:rsidR="00EB0B1C">
        <w:tab/>
      </w:r>
      <w:r w:rsidR="00362AC3" w:rsidRPr="00622FA2">
        <w:rPr>
          <w:lang w:val="fr-FR"/>
        </w:rPr>
        <w:t>Révision du chapitre 2.1 du SGH</w:t>
      </w:r>
      <w:r w:rsidR="00EB0B1C">
        <w:tab/>
      </w:r>
      <w:r w:rsidR="00EB0B1C">
        <w:tab/>
      </w:r>
      <w:r w:rsidR="00C73F6E">
        <w:t>25−27</w:t>
      </w:r>
      <w:r w:rsidR="00EB0B1C">
        <w:tab/>
      </w:r>
      <w:r w:rsidR="0053098E">
        <w:t>9</w:t>
      </w:r>
    </w:p>
    <w:p w:rsidR="00EB0B1C" w:rsidRDefault="00C57EB7" w:rsidP="00EB0B1C">
      <w:pPr>
        <w:tabs>
          <w:tab w:val="right" w:leader="dot" w:pos="7654"/>
          <w:tab w:val="right" w:pos="8929"/>
          <w:tab w:val="right" w:pos="9638"/>
        </w:tabs>
        <w:spacing w:after="120"/>
        <w:ind w:left="1559" w:hanging="425"/>
      </w:pPr>
      <w:r>
        <w:lastRenderedPageBreak/>
        <w:t>J</w:t>
      </w:r>
      <w:r w:rsidR="00EB0B1C">
        <w:t>.</w:t>
      </w:r>
      <w:r w:rsidR="00EB0B1C">
        <w:tab/>
      </w:r>
      <w:r w:rsidR="00362AC3" w:rsidRPr="00622FA2">
        <w:rPr>
          <w:lang w:val="fr-FR"/>
        </w:rPr>
        <w:t>Divers</w:t>
      </w:r>
      <w:r w:rsidR="00EB0B1C">
        <w:tab/>
      </w:r>
      <w:r w:rsidR="00EB0B1C">
        <w:tab/>
      </w:r>
      <w:r w:rsidR="00C73F6E">
        <w:t>28−37</w:t>
      </w:r>
      <w:r w:rsidR="00EB0B1C">
        <w:tab/>
      </w:r>
      <w:r w:rsidR="0053098E">
        <w:t>9</w:t>
      </w:r>
    </w:p>
    <w:p w:rsidR="00C57EB7" w:rsidRDefault="00C57EB7" w:rsidP="00C57EB7">
      <w:pPr>
        <w:tabs>
          <w:tab w:val="right" w:leader="dot" w:pos="7654"/>
          <w:tab w:val="right" w:pos="8929"/>
          <w:tab w:val="right" w:pos="9638"/>
        </w:tabs>
        <w:spacing w:after="120"/>
        <w:ind w:left="1984" w:hanging="425"/>
      </w:pPr>
      <w:r w:rsidRPr="000A1E00">
        <w:t>1.</w:t>
      </w:r>
      <w:r w:rsidRPr="000A1E00">
        <w:tab/>
      </w:r>
      <w:r w:rsidR="00362AC3" w:rsidRPr="00622FA2">
        <w:rPr>
          <w:lang w:val="fr-FR"/>
        </w:rPr>
        <w:t>Référence à la norme ISO 12097 au paragraphe 2.1.3.6.4</w:t>
      </w:r>
      <w:r w:rsidRPr="000A1E00">
        <w:tab/>
      </w:r>
      <w:r w:rsidRPr="000A1E00">
        <w:tab/>
      </w:r>
      <w:r w:rsidR="00C73F6E">
        <w:t>28</w:t>
      </w:r>
      <w:r w:rsidRPr="000A1E00">
        <w:tab/>
      </w:r>
      <w:r w:rsidR="0053098E">
        <w:t>9</w:t>
      </w:r>
    </w:p>
    <w:p w:rsidR="00C57EB7" w:rsidRDefault="00C57EB7" w:rsidP="00C57EB7">
      <w:pPr>
        <w:tabs>
          <w:tab w:val="right" w:leader="dot" w:pos="7654"/>
          <w:tab w:val="right" w:pos="8929"/>
          <w:tab w:val="right" w:pos="9638"/>
        </w:tabs>
        <w:spacing w:after="120"/>
        <w:ind w:left="1984" w:hanging="425"/>
      </w:pPr>
      <w:r>
        <w:t>2.</w:t>
      </w:r>
      <w:r>
        <w:tab/>
      </w:r>
      <w:r w:rsidR="00362AC3" w:rsidRPr="00622FA2">
        <w:rPr>
          <w:lang w:val="fr-FR"/>
        </w:rPr>
        <w:t>Classement du No ONU 0431</w:t>
      </w:r>
      <w:r>
        <w:tab/>
      </w:r>
      <w:r>
        <w:tab/>
      </w:r>
      <w:r w:rsidR="00C73F6E">
        <w:t>2</w:t>
      </w:r>
      <w:r w:rsidR="00D23349">
        <w:t>9</w:t>
      </w:r>
      <w:r>
        <w:tab/>
      </w:r>
      <w:r w:rsidR="0053098E">
        <w:t>10</w:t>
      </w:r>
    </w:p>
    <w:p w:rsidR="00C57EB7" w:rsidRDefault="00C57EB7" w:rsidP="00C57EB7">
      <w:pPr>
        <w:tabs>
          <w:tab w:val="right" w:leader="dot" w:pos="7654"/>
          <w:tab w:val="right" w:pos="8929"/>
          <w:tab w:val="right" w:pos="9638"/>
        </w:tabs>
        <w:spacing w:after="120"/>
        <w:ind w:left="1984" w:hanging="425"/>
      </w:pPr>
      <w:r>
        <w:t>3</w:t>
      </w:r>
      <w:r w:rsidRPr="000A1E00">
        <w:t>.</w:t>
      </w:r>
      <w:r w:rsidRPr="000A1E00">
        <w:tab/>
      </w:r>
      <w:r w:rsidR="00362AC3" w:rsidRPr="00622FA2">
        <w:rPr>
          <w:lang w:val="fr-FR"/>
        </w:rPr>
        <w:t>Détermination de la sensibilité à une décharge électrostatique</w:t>
      </w:r>
      <w:r w:rsidRPr="000A1E00">
        <w:tab/>
      </w:r>
      <w:r w:rsidRPr="000A1E00">
        <w:tab/>
      </w:r>
      <w:r w:rsidR="00C73F6E">
        <w:t>30</w:t>
      </w:r>
      <w:r w:rsidRPr="000A1E00">
        <w:tab/>
      </w:r>
      <w:r w:rsidR="0053098E">
        <w:t>10</w:t>
      </w:r>
    </w:p>
    <w:p w:rsidR="00C57EB7" w:rsidRDefault="00C57EB7" w:rsidP="00C57EB7">
      <w:pPr>
        <w:tabs>
          <w:tab w:val="right" w:leader="dot" w:pos="7654"/>
          <w:tab w:val="right" w:pos="8929"/>
          <w:tab w:val="right" w:pos="9638"/>
        </w:tabs>
        <w:spacing w:after="120"/>
        <w:ind w:left="1984" w:hanging="425"/>
      </w:pPr>
      <w:r>
        <w:t>4.</w:t>
      </w:r>
      <w:r>
        <w:tab/>
      </w:r>
      <w:r w:rsidR="00362AC3" w:rsidRPr="00622FA2">
        <w:rPr>
          <w:bCs/>
          <w:lang w:val="fr-FR"/>
        </w:rPr>
        <w:t>Transport d’expéditions contrôlées d’explosifs (≤</w:t>
      </w:r>
      <w:r w:rsidR="00362AC3">
        <w:rPr>
          <w:bCs/>
          <w:lang w:val="fr-FR"/>
        </w:rPr>
        <w:t> </w:t>
      </w:r>
      <w:r w:rsidR="00362AC3" w:rsidRPr="00622FA2">
        <w:rPr>
          <w:bCs/>
          <w:lang w:val="fr-FR"/>
        </w:rPr>
        <w:t>25</w:t>
      </w:r>
      <w:r w:rsidR="00362AC3">
        <w:rPr>
          <w:bCs/>
          <w:lang w:val="fr-FR"/>
        </w:rPr>
        <w:t> </w:t>
      </w:r>
      <w:r w:rsidR="00362AC3" w:rsidRPr="00622FA2">
        <w:rPr>
          <w:bCs/>
          <w:lang w:val="fr-FR"/>
        </w:rPr>
        <w:t xml:space="preserve">g) non encore </w:t>
      </w:r>
      <w:r w:rsidR="0053098E">
        <w:rPr>
          <w:bCs/>
          <w:lang w:val="fr-FR"/>
        </w:rPr>
        <w:br/>
      </w:r>
      <w:r w:rsidR="00362AC3" w:rsidRPr="00622FA2">
        <w:rPr>
          <w:bCs/>
          <w:lang w:val="fr-FR"/>
        </w:rPr>
        <w:t>classés</w:t>
      </w:r>
      <w:r>
        <w:tab/>
      </w:r>
      <w:r w:rsidR="0053098E">
        <w:tab/>
      </w:r>
      <w:r w:rsidR="00FD100B">
        <w:t>31</w:t>
      </w:r>
      <w:r w:rsidR="0053098E">
        <w:tab/>
        <w:t>10</w:t>
      </w:r>
    </w:p>
    <w:p w:rsidR="00C57EB7" w:rsidRDefault="00C57EB7" w:rsidP="00C57EB7">
      <w:pPr>
        <w:tabs>
          <w:tab w:val="right" w:leader="dot" w:pos="7654"/>
          <w:tab w:val="right" w:pos="8929"/>
          <w:tab w:val="right" w:pos="9638"/>
        </w:tabs>
        <w:spacing w:after="120"/>
        <w:ind w:left="1984" w:hanging="425"/>
      </w:pPr>
      <w:r>
        <w:t>5</w:t>
      </w:r>
      <w:r w:rsidRPr="000A1E00">
        <w:t>.</w:t>
      </w:r>
      <w:r w:rsidRPr="000A1E00">
        <w:tab/>
      </w:r>
      <w:r w:rsidR="00362AC3" w:rsidRPr="00622FA2">
        <w:rPr>
          <w:bCs/>
          <w:lang w:val="fr-FR"/>
        </w:rPr>
        <w:t xml:space="preserve">Transport d’échantillons énergétiques en vue d’essais </w:t>
      </w:r>
      <w:r w:rsidR="0053098E">
        <w:rPr>
          <w:bCs/>
          <w:lang w:val="fr-FR"/>
        </w:rPr>
        <w:br/>
      </w:r>
      <w:r w:rsidR="00362AC3" w:rsidRPr="00622FA2">
        <w:rPr>
          <w:bCs/>
          <w:lang w:val="fr-FR"/>
        </w:rPr>
        <w:t>complémentaires</w:t>
      </w:r>
      <w:r w:rsidRPr="000A1E00">
        <w:tab/>
      </w:r>
      <w:r w:rsidRPr="000A1E00">
        <w:tab/>
      </w:r>
      <w:r w:rsidR="0053098E">
        <w:t>32</w:t>
      </w:r>
      <w:r w:rsidRPr="000A1E00">
        <w:tab/>
      </w:r>
      <w:r w:rsidR="0053098E">
        <w:t>10</w:t>
      </w:r>
    </w:p>
    <w:p w:rsidR="00C57EB7" w:rsidRDefault="00C57EB7" w:rsidP="00C57EB7">
      <w:pPr>
        <w:tabs>
          <w:tab w:val="right" w:leader="dot" w:pos="7654"/>
          <w:tab w:val="right" w:pos="8929"/>
          <w:tab w:val="right" w:pos="9638"/>
        </w:tabs>
        <w:spacing w:after="120"/>
        <w:ind w:left="1984" w:hanging="425"/>
      </w:pPr>
      <w:r>
        <w:t>6.</w:t>
      </w:r>
      <w:r>
        <w:tab/>
      </w:r>
      <w:r w:rsidR="00362AC3" w:rsidRPr="00622FA2">
        <w:rPr>
          <w:bCs/>
          <w:lang w:val="fr-FR"/>
        </w:rPr>
        <w:t>No ONU 0222 Nitrate d’ammonium</w:t>
      </w:r>
      <w:r>
        <w:tab/>
      </w:r>
      <w:r>
        <w:tab/>
      </w:r>
      <w:r w:rsidR="00FD100B">
        <w:t>33</w:t>
      </w:r>
      <w:r>
        <w:tab/>
      </w:r>
      <w:r w:rsidR="0053098E">
        <w:t>10</w:t>
      </w:r>
    </w:p>
    <w:p w:rsidR="00C57EB7" w:rsidRDefault="00C57EB7" w:rsidP="00C57EB7">
      <w:pPr>
        <w:tabs>
          <w:tab w:val="right" w:leader="dot" w:pos="7654"/>
          <w:tab w:val="right" w:pos="8929"/>
          <w:tab w:val="right" w:pos="9638"/>
        </w:tabs>
        <w:spacing w:after="120"/>
        <w:ind w:left="1984" w:hanging="425"/>
      </w:pPr>
      <w:r>
        <w:t>7</w:t>
      </w:r>
      <w:r w:rsidRPr="000A1E00">
        <w:t>.</w:t>
      </w:r>
      <w:r w:rsidRPr="000A1E00">
        <w:tab/>
      </w:r>
      <w:r w:rsidR="00362AC3" w:rsidRPr="00622FA2">
        <w:rPr>
          <w:bCs/>
          <w:lang w:val="fr-FR"/>
        </w:rPr>
        <w:t xml:space="preserve">Ajout à la liste des marchandises dangereuses des rubriques </w:t>
      </w:r>
      <w:r w:rsidR="00362AC3">
        <w:rPr>
          <w:bCs/>
          <w:lang w:val="fr-FR"/>
        </w:rPr>
        <w:br/>
      </w:r>
      <w:r w:rsidR="00362AC3" w:rsidRPr="00622FA2">
        <w:rPr>
          <w:bCs/>
          <w:lang w:val="fr-FR"/>
        </w:rPr>
        <w:t>correspondant à l’instruction d’emballage LP101</w:t>
      </w:r>
      <w:r w:rsidRPr="000A1E00">
        <w:tab/>
      </w:r>
      <w:r w:rsidRPr="000A1E00">
        <w:tab/>
      </w:r>
      <w:r w:rsidR="00FD100B">
        <w:t>34</w:t>
      </w:r>
      <w:r w:rsidRPr="000A1E00">
        <w:tab/>
      </w:r>
      <w:r w:rsidR="0053098E">
        <w:t>10</w:t>
      </w:r>
    </w:p>
    <w:p w:rsidR="00C57EB7" w:rsidRDefault="00C57EB7" w:rsidP="00C57EB7">
      <w:pPr>
        <w:tabs>
          <w:tab w:val="right" w:leader="dot" w:pos="7654"/>
          <w:tab w:val="right" w:pos="8929"/>
          <w:tab w:val="right" w:pos="9638"/>
        </w:tabs>
        <w:spacing w:after="120"/>
        <w:ind w:left="1984" w:hanging="425"/>
      </w:pPr>
      <w:r>
        <w:t>8.</w:t>
      </w:r>
      <w:r>
        <w:tab/>
      </w:r>
      <w:r w:rsidR="00362AC3" w:rsidRPr="00622FA2">
        <w:rPr>
          <w:lang w:val="fr-FR"/>
        </w:rPr>
        <w:t>Désignations officielles de transport en espagnol pour les explosifs</w:t>
      </w:r>
      <w:r>
        <w:tab/>
      </w:r>
      <w:r>
        <w:tab/>
      </w:r>
      <w:r w:rsidR="00FD100B">
        <w:t>35</w:t>
      </w:r>
      <w:r>
        <w:tab/>
      </w:r>
      <w:r w:rsidR="0053098E">
        <w:t>11</w:t>
      </w:r>
    </w:p>
    <w:p w:rsidR="00C57EB7" w:rsidRDefault="00C57EB7" w:rsidP="00C57EB7">
      <w:pPr>
        <w:tabs>
          <w:tab w:val="right" w:leader="dot" w:pos="7654"/>
          <w:tab w:val="right" w:pos="8929"/>
          <w:tab w:val="right" w:pos="9638"/>
        </w:tabs>
        <w:spacing w:after="120"/>
        <w:ind w:left="1984" w:hanging="425"/>
      </w:pPr>
      <w:r>
        <w:t>9</w:t>
      </w:r>
      <w:r w:rsidRPr="000A1E00">
        <w:t>.</w:t>
      </w:r>
      <w:r w:rsidRPr="000A1E00">
        <w:tab/>
      </w:r>
      <w:r w:rsidR="00362AC3" w:rsidRPr="00622FA2">
        <w:rPr>
          <w:bCs/>
          <w:lang w:val="fr-FR"/>
        </w:rPr>
        <w:t xml:space="preserve">Utilisation du Manuel d’épreuves et de critères dans le contexte </w:t>
      </w:r>
      <w:r w:rsidR="00362AC3">
        <w:rPr>
          <w:bCs/>
          <w:lang w:val="fr-FR"/>
        </w:rPr>
        <w:br/>
      </w:r>
      <w:r w:rsidR="00362AC3" w:rsidRPr="00622FA2">
        <w:rPr>
          <w:bCs/>
          <w:lang w:val="fr-FR"/>
        </w:rPr>
        <w:t>du SGH</w:t>
      </w:r>
      <w:r w:rsidRPr="000A1E00">
        <w:tab/>
      </w:r>
      <w:r w:rsidRPr="000A1E00">
        <w:tab/>
      </w:r>
      <w:r w:rsidR="00FD100B">
        <w:t>36−37</w:t>
      </w:r>
      <w:r w:rsidRPr="000A1E00">
        <w:tab/>
      </w:r>
      <w:r w:rsidR="0053098E">
        <w:t>11</w:t>
      </w:r>
    </w:p>
    <w:p w:rsidR="00C57EB7" w:rsidRDefault="00C57EB7" w:rsidP="00C57EB7">
      <w:pPr>
        <w:tabs>
          <w:tab w:val="right" w:pos="850"/>
          <w:tab w:val="right" w:leader="dot" w:pos="7654"/>
          <w:tab w:val="right" w:pos="8929"/>
          <w:tab w:val="right" w:pos="9638"/>
        </w:tabs>
        <w:spacing w:after="120"/>
        <w:ind w:left="1134" w:hanging="1134"/>
      </w:pPr>
      <w:r>
        <w:tab/>
        <w:t>V.</w:t>
      </w:r>
      <w:r>
        <w:tab/>
      </w:r>
      <w:r w:rsidR="00362AC3" w:rsidRPr="00622FA2">
        <w:rPr>
          <w:bCs/>
          <w:lang w:val="fr-FR"/>
        </w:rPr>
        <w:t>Inscription, classement et emballage (point 3 de l’ordre du jour)</w:t>
      </w:r>
      <w:r>
        <w:tab/>
      </w:r>
      <w:r>
        <w:tab/>
      </w:r>
      <w:r w:rsidR="00FD100B">
        <w:t>38−69</w:t>
      </w:r>
      <w:r>
        <w:tab/>
      </w:r>
      <w:r w:rsidR="0053098E">
        <w:t>11</w:t>
      </w:r>
    </w:p>
    <w:p w:rsidR="00C57EB7" w:rsidRPr="000A1E00" w:rsidRDefault="00C57EB7" w:rsidP="00C57EB7">
      <w:pPr>
        <w:tabs>
          <w:tab w:val="right" w:leader="dot" w:pos="7654"/>
          <w:tab w:val="right" w:pos="8929"/>
          <w:tab w:val="right" w:pos="9638"/>
        </w:tabs>
        <w:spacing w:after="120"/>
        <w:ind w:left="1559" w:hanging="425"/>
      </w:pPr>
      <w:r>
        <w:t>A.</w:t>
      </w:r>
      <w:r>
        <w:tab/>
      </w:r>
      <w:r w:rsidR="00362AC3" w:rsidRPr="00622FA2">
        <w:rPr>
          <w:bCs/>
          <w:lang w:val="fr-FR"/>
        </w:rPr>
        <w:t>Liquides visqueux non soumis au Règlement</w:t>
      </w:r>
      <w:r>
        <w:tab/>
      </w:r>
      <w:r>
        <w:tab/>
      </w:r>
      <w:r w:rsidR="00FD100B">
        <w:t>38−40</w:t>
      </w:r>
      <w:r>
        <w:tab/>
      </w:r>
      <w:r w:rsidR="0053098E">
        <w:t>11</w:t>
      </w:r>
    </w:p>
    <w:p w:rsidR="00C57EB7" w:rsidRDefault="00C57EB7" w:rsidP="00C57EB7">
      <w:pPr>
        <w:tabs>
          <w:tab w:val="right" w:leader="dot" w:pos="7654"/>
          <w:tab w:val="right" w:pos="8929"/>
          <w:tab w:val="right" w:pos="9638"/>
        </w:tabs>
        <w:spacing w:after="120"/>
        <w:ind w:left="1559" w:hanging="425"/>
      </w:pPr>
      <w:r>
        <w:t>B.</w:t>
      </w:r>
      <w:r>
        <w:tab/>
      </w:r>
      <w:r w:rsidR="00362AC3" w:rsidRPr="00622FA2">
        <w:rPr>
          <w:bCs/>
          <w:lang w:val="fr-FR"/>
        </w:rPr>
        <w:t>Nom et description du No ONU 3363</w:t>
      </w:r>
      <w:r>
        <w:tab/>
      </w:r>
      <w:r>
        <w:tab/>
      </w:r>
      <w:r w:rsidR="00FD100B">
        <w:t>41</w:t>
      </w:r>
      <w:r>
        <w:tab/>
      </w:r>
      <w:r w:rsidR="0053098E">
        <w:t>11</w:t>
      </w:r>
    </w:p>
    <w:p w:rsidR="00C57EB7" w:rsidRPr="000A1E00" w:rsidRDefault="00C57EB7" w:rsidP="00C57EB7">
      <w:pPr>
        <w:tabs>
          <w:tab w:val="right" w:leader="dot" w:pos="7654"/>
          <w:tab w:val="right" w:pos="8929"/>
          <w:tab w:val="right" w:pos="9638"/>
        </w:tabs>
        <w:spacing w:after="120"/>
        <w:ind w:left="1559" w:hanging="425"/>
      </w:pPr>
      <w:r>
        <w:t>C.</w:t>
      </w:r>
      <w:r>
        <w:tab/>
      </w:r>
      <w:r w:rsidR="00362AC3" w:rsidRPr="00622FA2">
        <w:rPr>
          <w:lang w:val="fr-FR"/>
        </w:rPr>
        <w:t>Corrections apportées aux noms de plusieurs numéros ONU</w:t>
      </w:r>
      <w:r>
        <w:tab/>
      </w:r>
      <w:r>
        <w:tab/>
      </w:r>
      <w:r w:rsidR="00FD100B">
        <w:t>42</w:t>
      </w:r>
      <w:r>
        <w:tab/>
      </w:r>
      <w:r w:rsidR="0053098E">
        <w:t>12</w:t>
      </w:r>
    </w:p>
    <w:p w:rsidR="00C57EB7" w:rsidRDefault="00C57EB7" w:rsidP="00C57EB7">
      <w:pPr>
        <w:tabs>
          <w:tab w:val="right" w:leader="dot" w:pos="7654"/>
          <w:tab w:val="right" w:pos="8929"/>
          <w:tab w:val="right" w:pos="9638"/>
        </w:tabs>
        <w:spacing w:after="120"/>
        <w:ind w:left="1559" w:hanging="425"/>
      </w:pPr>
      <w:r>
        <w:t>D.</w:t>
      </w:r>
      <w:r>
        <w:tab/>
      </w:r>
      <w:r w:rsidR="00362AC3" w:rsidRPr="00622FA2">
        <w:rPr>
          <w:lang w:val="fr-FR"/>
        </w:rPr>
        <w:t>Classification des dispositifs de récupération autogonflables</w:t>
      </w:r>
      <w:r>
        <w:tab/>
      </w:r>
      <w:r>
        <w:tab/>
      </w:r>
      <w:r w:rsidR="00FD100B">
        <w:t>43−45</w:t>
      </w:r>
      <w:r>
        <w:tab/>
      </w:r>
      <w:r w:rsidR="0053098E">
        <w:t>12</w:t>
      </w:r>
    </w:p>
    <w:p w:rsidR="00C57EB7" w:rsidRPr="000A1E00" w:rsidRDefault="00C57EB7" w:rsidP="00C57EB7">
      <w:pPr>
        <w:tabs>
          <w:tab w:val="right" w:leader="dot" w:pos="7654"/>
          <w:tab w:val="right" w:pos="8929"/>
          <w:tab w:val="right" w:pos="9638"/>
        </w:tabs>
        <w:spacing w:after="120"/>
        <w:ind w:left="1559" w:hanging="425"/>
      </w:pPr>
      <w:r>
        <w:t>E.</w:t>
      </w:r>
      <w:r>
        <w:tab/>
      </w:r>
      <w:r w:rsidR="00362AC3" w:rsidRPr="00622FA2">
        <w:rPr>
          <w:lang w:val="fr-FR"/>
        </w:rPr>
        <w:t>Objets auxquels s’appliquent les dispositions spéciales 117 et 123</w:t>
      </w:r>
      <w:r>
        <w:tab/>
      </w:r>
      <w:r>
        <w:tab/>
      </w:r>
      <w:r w:rsidR="00FD100B">
        <w:t>46−47</w:t>
      </w:r>
      <w:r>
        <w:tab/>
      </w:r>
      <w:r w:rsidR="0053098E">
        <w:t>12</w:t>
      </w:r>
    </w:p>
    <w:p w:rsidR="00C57EB7" w:rsidRDefault="00C57EB7" w:rsidP="00C57EB7">
      <w:pPr>
        <w:tabs>
          <w:tab w:val="right" w:leader="dot" w:pos="7654"/>
          <w:tab w:val="right" w:pos="8929"/>
          <w:tab w:val="right" w:pos="9638"/>
        </w:tabs>
        <w:spacing w:after="120"/>
        <w:ind w:left="1559" w:hanging="425"/>
      </w:pPr>
      <w:r>
        <w:t>F.</w:t>
      </w:r>
      <w:r>
        <w:tab/>
      </w:r>
      <w:r w:rsidR="00362AC3" w:rsidRPr="00622FA2">
        <w:rPr>
          <w:lang w:val="fr-FR"/>
        </w:rPr>
        <w:t>Peroxydes organiques : nouvelles</w:t>
      </w:r>
      <w:r w:rsidR="00362AC3">
        <w:rPr>
          <w:lang w:val="fr-FR"/>
        </w:rPr>
        <w:t xml:space="preserve"> préparations devant figurer </w:t>
      </w:r>
      <w:r w:rsidR="00362AC3">
        <w:rPr>
          <w:lang w:val="fr-FR"/>
        </w:rPr>
        <w:br/>
        <w:t xml:space="preserve">au </w:t>
      </w:r>
      <w:r w:rsidR="00362AC3" w:rsidRPr="00622FA2">
        <w:rPr>
          <w:lang w:val="fr-FR"/>
        </w:rPr>
        <w:t>paragraphe 2.5.3.2.4 et dans l’instruction IBC 520</w:t>
      </w:r>
      <w:r>
        <w:tab/>
      </w:r>
      <w:r>
        <w:tab/>
      </w:r>
      <w:r w:rsidR="00FD100B">
        <w:t>48</w:t>
      </w:r>
      <w:r>
        <w:tab/>
      </w:r>
      <w:r w:rsidR="0053098E">
        <w:t>12</w:t>
      </w:r>
    </w:p>
    <w:p w:rsidR="00C57EB7" w:rsidRPr="000A1E00" w:rsidRDefault="00C57EB7" w:rsidP="00C57EB7">
      <w:pPr>
        <w:tabs>
          <w:tab w:val="right" w:leader="dot" w:pos="7654"/>
          <w:tab w:val="right" w:pos="8929"/>
          <w:tab w:val="right" w:pos="9638"/>
        </w:tabs>
        <w:spacing w:after="120"/>
        <w:ind w:left="1559" w:hanging="425"/>
      </w:pPr>
      <w:r>
        <w:t>G.</w:t>
      </w:r>
      <w:r>
        <w:tab/>
      </w:r>
      <w:r w:rsidR="009D6706" w:rsidRPr="00622FA2">
        <w:rPr>
          <w:lang w:val="fr-FR"/>
        </w:rPr>
        <w:t xml:space="preserve">Corrections d’ordre rédactionnel à apporter aux versions française </w:t>
      </w:r>
      <w:r w:rsidR="009D6706">
        <w:rPr>
          <w:lang w:val="fr-FR"/>
        </w:rPr>
        <w:br/>
      </w:r>
      <w:r w:rsidR="009D6706" w:rsidRPr="00622FA2">
        <w:rPr>
          <w:lang w:val="fr-FR"/>
        </w:rPr>
        <w:t>et anglaise du texte du Règlement type</w:t>
      </w:r>
      <w:r>
        <w:tab/>
      </w:r>
      <w:r>
        <w:tab/>
      </w:r>
      <w:r w:rsidR="00FD100B">
        <w:t>49−50</w:t>
      </w:r>
      <w:r>
        <w:tab/>
      </w:r>
      <w:r w:rsidR="0053098E">
        <w:t>13</w:t>
      </w:r>
    </w:p>
    <w:p w:rsidR="00C57EB7" w:rsidRDefault="00C57EB7" w:rsidP="00C57EB7">
      <w:pPr>
        <w:tabs>
          <w:tab w:val="right" w:leader="dot" w:pos="7654"/>
          <w:tab w:val="right" w:pos="8929"/>
          <w:tab w:val="right" w:pos="9638"/>
        </w:tabs>
        <w:spacing w:after="120"/>
        <w:ind w:left="1559" w:hanging="425"/>
      </w:pPr>
      <w:r>
        <w:t>H.</w:t>
      </w:r>
      <w:r>
        <w:tab/>
      </w:r>
      <w:r w:rsidR="009D6706" w:rsidRPr="00622FA2">
        <w:rPr>
          <w:lang w:val="fr-FR"/>
        </w:rPr>
        <w:t xml:space="preserve">Proposition visant à modifier la disposition spéciale 375 concernant </w:t>
      </w:r>
      <w:r w:rsidR="009D6706">
        <w:rPr>
          <w:lang w:val="fr-FR"/>
        </w:rPr>
        <w:br/>
      </w:r>
      <w:r w:rsidR="009D6706" w:rsidRPr="00622FA2">
        <w:rPr>
          <w:lang w:val="fr-FR"/>
        </w:rPr>
        <w:t>les Nos ONU 3077 et 3082</w:t>
      </w:r>
      <w:r>
        <w:tab/>
      </w:r>
      <w:r>
        <w:tab/>
      </w:r>
      <w:r w:rsidR="00FD100B">
        <w:t>51−52</w:t>
      </w:r>
      <w:r>
        <w:tab/>
      </w:r>
      <w:r w:rsidR="0053098E">
        <w:t>13</w:t>
      </w:r>
    </w:p>
    <w:p w:rsidR="00C57EB7" w:rsidRPr="000A1E00" w:rsidRDefault="00C57EB7" w:rsidP="00C57EB7">
      <w:pPr>
        <w:tabs>
          <w:tab w:val="right" w:leader="dot" w:pos="7654"/>
          <w:tab w:val="right" w:pos="8929"/>
          <w:tab w:val="right" w:pos="9638"/>
        </w:tabs>
        <w:spacing w:after="120"/>
        <w:ind w:left="1559" w:hanging="425"/>
      </w:pPr>
      <w:r>
        <w:t>I.</w:t>
      </w:r>
      <w:r>
        <w:tab/>
      </w:r>
      <w:r w:rsidR="009D6706" w:rsidRPr="00622FA2">
        <w:rPr>
          <w:lang w:val="fr-FR"/>
        </w:rPr>
        <w:t>Classification du strontium et danger</w:t>
      </w:r>
      <w:r w:rsidR="009D6706">
        <w:rPr>
          <w:lang w:val="fr-FR"/>
        </w:rPr>
        <w:t xml:space="preserve"> subsidiaire de corrosivité </w:t>
      </w:r>
      <w:r w:rsidR="009D6706">
        <w:rPr>
          <w:lang w:val="fr-FR"/>
        </w:rPr>
        <w:br/>
        <w:t xml:space="preserve">des </w:t>
      </w:r>
      <w:r w:rsidR="009D6706" w:rsidRPr="00622FA2">
        <w:rPr>
          <w:lang w:val="fr-FR"/>
        </w:rPr>
        <w:t>métaux alcalins et alcalino-terreux</w:t>
      </w:r>
      <w:r>
        <w:tab/>
      </w:r>
      <w:r>
        <w:tab/>
      </w:r>
      <w:r w:rsidR="00FD100B">
        <w:t>53−54</w:t>
      </w:r>
      <w:r>
        <w:tab/>
      </w:r>
      <w:r w:rsidR="0053098E">
        <w:t>13</w:t>
      </w:r>
    </w:p>
    <w:p w:rsidR="00C57EB7" w:rsidRDefault="00C57EB7" w:rsidP="00C57EB7">
      <w:pPr>
        <w:tabs>
          <w:tab w:val="right" w:leader="dot" w:pos="7654"/>
          <w:tab w:val="right" w:pos="8929"/>
          <w:tab w:val="right" w:pos="9638"/>
        </w:tabs>
        <w:spacing w:after="120"/>
        <w:ind w:left="1559" w:hanging="425"/>
      </w:pPr>
      <w:r>
        <w:t>J.</w:t>
      </w:r>
      <w:r>
        <w:tab/>
      </w:r>
      <w:r w:rsidR="009D6706" w:rsidRPr="00622FA2">
        <w:rPr>
          <w:lang w:val="fr-FR"/>
        </w:rPr>
        <w:t>Affectation de la disposition spéciale 356 au No ONU 3529</w:t>
      </w:r>
      <w:r>
        <w:tab/>
      </w:r>
      <w:r>
        <w:tab/>
      </w:r>
      <w:r w:rsidR="00FD100B">
        <w:t>55</w:t>
      </w:r>
      <w:r>
        <w:tab/>
      </w:r>
      <w:r w:rsidR="0053098E">
        <w:t>14</w:t>
      </w:r>
    </w:p>
    <w:p w:rsidR="00C57EB7" w:rsidRPr="000A1E00" w:rsidRDefault="00C57EB7" w:rsidP="00C57EB7">
      <w:pPr>
        <w:tabs>
          <w:tab w:val="right" w:leader="dot" w:pos="7654"/>
          <w:tab w:val="right" w:pos="8929"/>
          <w:tab w:val="right" w:pos="9638"/>
        </w:tabs>
        <w:spacing w:after="120"/>
        <w:ind w:left="1559" w:hanging="425"/>
      </w:pPr>
      <w:r>
        <w:t>K.</w:t>
      </w:r>
      <w:r>
        <w:tab/>
      </w:r>
      <w:r w:rsidR="009D6706" w:rsidRPr="00622FA2">
        <w:rPr>
          <w:lang w:val="fr-FR"/>
        </w:rPr>
        <w:t>Modification de l’instruction d’emballage P404</w:t>
      </w:r>
      <w:r>
        <w:tab/>
      </w:r>
      <w:r>
        <w:tab/>
      </w:r>
      <w:r w:rsidR="00FD100B">
        <w:t>56</w:t>
      </w:r>
      <w:r>
        <w:tab/>
      </w:r>
      <w:r w:rsidR="0053098E">
        <w:t>14</w:t>
      </w:r>
    </w:p>
    <w:p w:rsidR="00C57EB7" w:rsidRDefault="00C57EB7" w:rsidP="00C57EB7">
      <w:pPr>
        <w:tabs>
          <w:tab w:val="right" w:leader="dot" w:pos="7654"/>
          <w:tab w:val="right" w:pos="8929"/>
          <w:tab w:val="right" w:pos="9638"/>
        </w:tabs>
        <w:spacing w:after="120"/>
        <w:ind w:left="1559" w:hanging="425"/>
      </w:pPr>
      <w:r>
        <w:t>L.</w:t>
      </w:r>
      <w:r>
        <w:tab/>
      </w:r>
      <w:r w:rsidR="009D6706" w:rsidRPr="00622FA2">
        <w:rPr>
          <w:lang w:val="fr-FR"/>
        </w:rPr>
        <w:t xml:space="preserve">Noms techniques des marchandises dangereuses pour l’environnement </w:t>
      </w:r>
      <w:r w:rsidR="009D6706">
        <w:rPr>
          <w:lang w:val="fr-FR"/>
        </w:rPr>
        <w:br/>
      </w:r>
      <w:r w:rsidR="009D6706" w:rsidRPr="00622FA2">
        <w:rPr>
          <w:lang w:val="fr-FR"/>
        </w:rPr>
        <w:t>de la classe 9 (Nos ONU 3077 et 3082)</w:t>
      </w:r>
      <w:r>
        <w:tab/>
      </w:r>
      <w:r>
        <w:tab/>
      </w:r>
      <w:r w:rsidR="00FD100B">
        <w:t>57−59</w:t>
      </w:r>
      <w:r>
        <w:tab/>
      </w:r>
      <w:r w:rsidR="0053098E">
        <w:t>14</w:t>
      </w:r>
    </w:p>
    <w:p w:rsidR="00C57EB7" w:rsidRPr="000A1E00" w:rsidRDefault="00C57EB7" w:rsidP="00C57EB7">
      <w:pPr>
        <w:tabs>
          <w:tab w:val="right" w:leader="dot" w:pos="7654"/>
          <w:tab w:val="right" w:pos="8929"/>
          <w:tab w:val="right" w:pos="9638"/>
        </w:tabs>
        <w:spacing w:after="120"/>
        <w:ind w:left="1559" w:hanging="425"/>
      </w:pPr>
      <w:r>
        <w:t>M.</w:t>
      </w:r>
      <w:r>
        <w:tab/>
      </w:r>
      <w:r w:rsidR="009D6706" w:rsidRPr="00622FA2">
        <w:rPr>
          <w:lang w:val="fr-FR"/>
        </w:rPr>
        <w:t xml:space="preserve">Transport du carbonate de baryum en tant que marchandise </w:t>
      </w:r>
      <w:r w:rsidR="009D6706">
        <w:rPr>
          <w:lang w:val="fr-FR"/>
        </w:rPr>
        <w:br/>
      </w:r>
      <w:r w:rsidR="009D6706" w:rsidRPr="00622FA2">
        <w:rPr>
          <w:lang w:val="fr-FR"/>
        </w:rPr>
        <w:t>non</w:t>
      </w:r>
      <w:r w:rsidR="009D6706">
        <w:rPr>
          <w:lang w:val="fr-FR"/>
        </w:rPr>
        <w:t xml:space="preserve"> </w:t>
      </w:r>
      <w:r w:rsidR="009D6706" w:rsidRPr="00622FA2">
        <w:rPr>
          <w:lang w:val="fr-FR"/>
        </w:rPr>
        <w:t>dangereuse</w:t>
      </w:r>
      <w:r>
        <w:tab/>
      </w:r>
      <w:r>
        <w:tab/>
      </w:r>
      <w:r w:rsidR="00FD100B">
        <w:t>60−62</w:t>
      </w:r>
      <w:r>
        <w:tab/>
      </w:r>
      <w:r w:rsidR="0053098E">
        <w:t>14</w:t>
      </w:r>
    </w:p>
    <w:p w:rsidR="00C57EB7" w:rsidRDefault="00C57EB7" w:rsidP="00C57EB7">
      <w:pPr>
        <w:tabs>
          <w:tab w:val="right" w:leader="dot" w:pos="7654"/>
          <w:tab w:val="right" w:pos="8929"/>
          <w:tab w:val="right" w:pos="9638"/>
        </w:tabs>
        <w:spacing w:after="120"/>
        <w:ind w:left="1559" w:hanging="425"/>
      </w:pPr>
      <w:r>
        <w:t>N.</w:t>
      </w:r>
      <w:r>
        <w:tab/>
      </w:r>
      <w:r w:rsidR="009D6706" w:rsidRPr="00622FA2">
        <w:rPr>
          <w:lang w:val="fr-FR"/>
        </w:rPr>
        <w:t>Exemptions pour les matières qui polymérisent</w:t>
      </w:r>
      <w:r>
        <w:tab/>
      </w:r>
      <w:r>
        <w:tab/>
      </w:r>
      <w:r w:rsidR="00FD100B">
        <w:t>63−64</w:t>
      </w:r>
      <w:r>
        <w:tab/>
      </w:r>
      <w:r w:rsidR="0053098E">
        <w:t>15</w:t>
      </w:r>
    </w:p>
    <w:p w:rsidR="00C57EB7" w:rsidRPr="000A1E00" w:rsidRDefault="00C57EB7" w:rsidP="00C57EB7">
      <w:pPr>
        <w:tabs>
          <w:tab w:val="right" w:leader="dot" w:pos="7654"/>
          <w:tab w:val="right" w:pos="8929"/>
          <w:tab w:val="right" w:pos="9638"/>
        </w:tabs>
        <w:spacing w:after="120"/>
        <w:ind w:left="1559" w:hanging="425"/>
      </w:pPr>
      <w:r>
        <w:t>O.</w:t>
      </w:r>
      <w:r>
        <w:tab/>
      </w:r>
      <w:r w:rsidR="009D6706" w:rsidRPr="00622FA2">
        <w:rPr>
          <w:lang w:val="fr-FR"/>
        </w:rPr>
        <w:t>Noms des explosifs en espagnol</w:t>
      </w:r>
      <w:r>
        <w:tab/>
      </w:r>
      <w:r>
        <w:tab/>
      </w:r>
      <w:r w:rsidR="00FD100B">
        <w:t>65</w:t>
      </w:r>
      <w:r>
        <w:tab/>
      </w:r>
      <w:r w:rsidR="0053098E">
        <w:t>15</w:t>
      </w:r>
    </w:p>
    <w:p w:rsidR="00C57EB7" w:rsidRDefault="00C57EB7" w:rsidP="00C57EB7">
      <w:pPr>
        <w:tabs>
          <w:tab w:val="right" w:leader="dot" w:pos="7654"/>
          <w:tab w:val="right" w:pos="8929"/>
          <w:tab w:val="right" w:pos="9638"/>
        </w:tabs>
        <w:spacing w:after="120"/>
        <w:ind w:left="1559" w:hanging="425"/>
      </w:pPr>
      <w:r>
        <w:t>P.</w:t>
      </w:r>
      <w:r>
        <w:tab/>
      </w:r>
      <w:r w:rsidR="009D6706" w:rsidRPr="00622FA2">
        <w:rPr>
          <w:bCs/>
          <w:lang w:val="fr-FR"/>
        </w:rPr>
        <w:t xml:space="preserve">Précisions à propos des prescriptions du chapitre 6.3 relatives à l’épreuve </w:t>
      </w:r>
      <w:r w:rsidR="009D6706">
        <w:rPr>
          <w:bCs/>
          <w:lang w:val="fr-FR"/>
        </w:rPr>
        <w:br/>
      </w:r>
      <w:r w:rsidR="009D6706" w:rsidRPr="00622FA2">
        <w:rPr>
          <w:bCs/>
          <w:lang w:val="fr-FR"/>
        </w:rPr>
        <w:t>de résistance des emballages de matières infectieuses</w:t>
      </w:r>
      <w:r>
        <w:tab/>
      </w:r>
      <w:r>
        <w:tab/>
      </w:r>
      <w:r w:rsidR="00FD100B">
        <w:t>66</w:t>
      </w:r>
      <w:r>
        <w:tab/>
      </w:r>
      <w:r w:rsidR="0053098E">
        <w:t>15</w:t>
      </w:r>
    </w:p>
    <w:p w:rsidR="00C57EB7" w:rsidRPr="000A1E00" w:rsidRDefault="00C57EB7" w:rsidP="00C57EB7">
      <w:pPr>
        <w:tabs>
          <w:tab w:val="right" w:leader="dot" w:pos="7654"/>
          <w:tab w:val="right" w:pos="8929"/>
          <w:tab w:val="right" w:pos="9638"/>
        </w:tabs>
        <w:spacing w:after="120"/>
        <w:ind w:left="1559" w:hanging="425"/>
      </w:pPr>
      <w:r>
        <w:t>Q.</w:t>
      </w:r>
      <w:r>
        <w:tab/>
      </w:r>
      <w:r w:rsidR="009D6706" w:rsidRPr="00622FA2">
        <w:rPr>
          <w:lang w:val="fr-FR"/>
        </w:rPr>
        <w:t>Révision de l’instruction d’emballage P801</w:t>
      </w:r>
      <w:r>
        <w:tab/>
      </w:r>
      <w:r>
        <w:tab/>
      </w:r>
      <w:r w:rsidR="00FD100B">
        <w:t>67</w:t>
      </w:r>
      <w:r>
        <w:tab/>
      </w:r>
      <w:r w:rsidR="0053098E">
        <w:t>15</w:t>
      </w:r>
    </w:p>
    <w:p w:rsidR="00C57EB7" w:rsidRDefault="00C57EB7" w:rsidP="00C57EB7">
      <w:pPr>
        <w:tabs>
          <w:tab w:val="right" w:leader="dot" w:pos="7654"/>
          <w:tab w:val="right" w:pos="8929"/>
          <w:tab w:val="right" w:pos="9638"/>
        </w:tabs>
        <w:spacing w:after="120"/>
        <w:ind w:left="1559" w:hanging="425"/>
      </w:pPr>
      <w:r>
        <w:t>R.</w:t>
      </w:r>
      <w:r>
        <w:tab/>
      </w:r>
      <w:r w:rsidR="009D6706" w:rsidRPr="00622FA2">
        <w:rPr>
          <w:lang w:val="fr-FR"/>
        </w:rPr>
        <w:t>Classification et emballage des déchets infectieux de la catégorie A</w:t>
      </w:r>
      <w:r>
        <w:tab/>
      </w:r>
      <w:r>
        <w:tab/>
      </w:r>
      <w:r w:rsidR="00FD100B">
        <w:t>68</w:t>
      </w:r>
      <w:r>
        <w:tab/>
      </w:r>
      <w:r w:rsidR="0053098E">
        <w:t>15</w:t>
      </w:r>
    </w:p>
    <w:p w:rsidR="00C57EB7" w:rsidRPr="000A1E00" w:rsidRDefault="00C57EB7" w:rsidP="00C57EB7">
      <w:pPr>
        <w:tabs>
          <w:tab w:val="right" w:leader="dot" w:pos="7654"/>
          <w:tab w:val="right" w:pos="8929"/>
          <w:tab w:val="right" w:pos="9638"/>
        </w:tabs>
        <w:spacing w:after="120"/>
        <w:ind w:left="1559" w:hanging="425"/>
      </w:pPr>
      <w:r>
        <w:t>S.</w:t>
      </w:r>
      <w:r>
        <w:tab/>
      </w:r>
      <w:r w:rsidR="009D6706" w:rsidRPr="00622FA2">
        <w:rPr>
          <w:bCs/>
          <w:lang w:val="fr-FR"/>
        </w:rPr>
        <w:t xml:space="preserve">Révision de </w:t>
      </w:r>
      <w:r w:rsidR="009D6706" w:rsidRPr="00622FA2">
        <w:rPr>
          <w:rStyle w:val="SingleTxtGChar"/>
        </w:rPr>
        <w:t>l</w:t>
      </w:r>
      <w:r w:rsidR="009D6706" w:rsidRPr="00622FA2">
        <w:rPr>
          <w:bCs/>
          <w:lang w:val="fr-FR"/>
        </w:rPr>
        <w:t xml:space="preserve">a définition des matières infectieuses et du tableau </w:t>
      </w:r>
      <w:r w:rsidR="009D6706">
        <w:rPr>
          <w:bCs/>
          <w:lang w:val="fr-FR"/>
        </w:rPr>
        <w:br/>
      </w:r>
      <w:r w:rsidR="009D6706" w:rsidRPr="00622FA2">
        <w:rPr>
          <w:bCs/>
          <w:lang w:val="fr-FR"/>
        </w:rPr>
        <w:t>du paragraphe 2.6.3.2.2.1</w:t>
      </w:r>
      <w:r>
        <w:tab/>
      </w:r>
      <w:r>
        <w:tab/>
      </w:r>
      <w:r w:rsidR="00FD100B">
        <w:t>69</w:t>
      </w:r>
      <w:r>
        <w:tab/>
      </w:r>
      <w:r w:rsidR="0053098E">
        <w:t>16</w:t>
      </w:r>
    </w:p>
    <w:p w:rsidR="00C57EB7" w:rsidRDefault="00C57EB7" w:rsidP="00C57EB7">
      <w:pPr>
        <w:tabs>
          <w:tab w:val="right" w:pos="850"/>
          <w:tab w:val="right" w:leader="dot" w:pos="7654"/>
          <w:tab w:val="right" w:pos="8929"/>
          <w:tab w:val="right" w:pos="9638"/>
        </w:tabs>
        <w:spacing w:after="120"/>
        <w:ind w:left="1134" w:hanging="1134"/>
      </w:pPr>
      <w:r>
        <w:tab/>
        <w:t>VI.</w:t>
      </w:r>
      <w:r>
        <w:tab/>
      </w:r>
      <w:r w:rsidR="00423168" w:rsidRPr="00622FA2">
        <w:rPr>
          <w:lang w:val="fr-FR"/>
        </w:rPr>
        <w:t>Systèmes de stockage de l’électricité (point 4 de l’ordre du jour)</w:t>
      </w:r>
      <w:r>
        <w:tab/>
      </w:r>
      <w:r>
        <w:tab/>
      </w:r>
      <w:r w:rsidR="00FD100B">
        <w:t>70−85</w:t>
      </w:r>
      <w:r>
        <w:tab/>
      </w:r>
      <w:r w:rsidR="0053098E">
        <w:t>16</w:t>
      </w:r>
    </w:p>
    <w:p w:rsidR="00C57EB7" w:rsidRPr="000A1E00" w:rsidRDefault="00C57EB7" w:rsidP="00C57EB7">
      <w:pPr>
        <w:tabs>
          <w:tab w:val="right" w:leader="dot" w:pos="7654"/>
          <w:tab w:val="right" w:pos="8929"/>
          <w:tab w:val="right" w:pos="9638"/>
        </w:tabs>
        <w:spacing w:after="120"/>
        <w:ind w:left="1559" w:hanging="425"/>
      </w:pPr>
      <w:r>
        <w:t>A.</w:t>
      </w:r>
      <w:r>
        <w:tab/>
      </w:r>
      <w:r w:rsidR="00423168" w:rsidRPr="00622FA2">
        <w:rPr>
          <w:lang w:val="fr-FR"/>
        </w:rPr>
        <w:t>Épreuves des batteries au lithium</w:t>
      </w:r>
      <w:r>
        <w:tab/>
      </w:r>
      <w:r>
        <w:tab/>
      </w:r>
      <w:r w:rsidR="00FD100B">
        <w:t>70−71</w:t>
      </w:r>
      <w:r>
        <w:tab/>
      </w:r>
      <w:r w:rsidR="0053098E">
        <w:t>16</w:t>
      </w:r>
    </w:p>
    <w:p w:rsidR="00C57EB7" w:rsidRDefault="00C57EB7" w:rsidP="00C57EB7">
      <w:pPr>
        <w:tabs>
          <w:tab w:val="right" w:leader="dot" w:pos="7654"/>
          <w:tab w:val="right" w:pos="8929"/>
          <w:tab w:val="right" w:pos="9638"/>
        </w:tabs>
        <w:spacing w:after="120"/>
        <w:ind w:left="1559" w:hanging="425"/>
      </w:pPr>
      <w:r>
        <w:lastRenderedPageBreak/>
        <w:t>B.</w:t>
      </w:r>
      <w:r>
        <w:tab/>
      </w:r>
      <w:r w:rsidR="00423168" w:rsidRPr="00622FA2">
        <w:rPr>
          <w:lang w:val="fr-FR"/>
        </w:rPr>
        <w:t>Système de classification des piles au lithium en fonction du danger</w:t>
      </w:r>
      <w:r>
        <w:tab/>
      </w:r>
      <w:r>
        <w:tab/>
      </w:r>
      <w:r w:rsidR="00FD100B">
        <w:t>72−73</w:t>
      </w:r>
      <w:r>
        <w:tab/>
      </w:r>
      <w:r w:rsidR="0053098E">
        <w:t>16</w:t>
      </w:r>
    </w:p>
    <w:p w:rsidR="00C57EB7" w:rsidRDefault="00C57EB7" w:rsidP="00C57EB7">
      <w:pPr>
        <w:tabs>
          <w:tab w:val="right" w:leader="dot" w:pos="7654"/>
          <w:tab w:val="right" w:pos="8929"/>
          <w:tab w:val="right" w:pos="9638"/>
        </w:tabs>
        <w:spacing w:after="120"/>
        <w:ind w:left="1559" w:hanging="425"/>
      </w:pPr>
      <w:r>
        <w:t>C.</w:t>
      </w:r>
      <w:r>
        <w:tab/>
      </w:r>
      <w:r w:rsidR="00423168" w:rsidRPr="00622FA2">
        <w:rPr>
          <w:lang w:val="fr-FR"/>
        </w:rPr>
        <w:t>Dispositions relatives au transport</w:t>
      </w:r>
      <w:r>
        <w:tab/>
      </w:r>
      <w:r>
        <w:tab/>
      </w:r>
      <w:r w:rsidR="00FD100B">
        <w:t>74</w:t>
      </w:r>
      <w:r>
        <w:tab/>
      </w:r>
      <w:r w:rsidR="0053098E">
        <w:t>17</w:t>
      </w:r>
    </w:p>
    <w:p w:rsidR="00423168" w:rsidRPr="000A1E00" w:rsidRDefault="00423168" w:rsidP="00C57EB7">
      <w:pPr>
        <w:tabs>
          <w:tab w:val="right" w:leader="dot" w:pos="7654"/>
          <w:tab w:val="right" w:pos="8929"/>
          <w:tab w:val="right" w:pos="9638"/>
        </w:tabs>
        <w:spacing w:after="120"/>
        <w:ind w:left="1559" w:hanging="425"/>
      </w:pPr>
      <w:r>
        <w:tab/>
      </w:r>
      <w:r w:rsidRPr="00622FA2">
        <w:rPr>
          <w:lang w:val="fr-FR"/>
        </w:rPr>
        <w:t xml:space="preserve">Harmonisation des désignations officielles de transport </w:t>
      </w:r>
      <w:r>
        <w:rPr>
          <w:lang w:val="fr-FR"/>
        </w:rPr>
        <w:br/>
      </w:r>
      <w:r w:rsidRPr="00622FA2">
        <w:rPr>
          <w:lang w:val="fr-FR"/>
        </w:rPr>
        <w:t>des N</w:t>
      </w:r>
      <w:r w:rsidR="00637BB4">
        <w:rPr>
          <w:lang w:val="fr-FR"/>
        </w:rPr>
        <w:t>os </w:t>
      </w:r>
      <w:r w:rsidRPr="00622FA2">
        <w:rPr>
          <w:lang w:val="fr-FR"/>
        </w:rPr>
        <w:t>ONU 3481 et 3091</w:t>
      </w:r>
      <w:r>
        <w:rPr>
          <w:lang w:val="fr-FR"/>
        </w:rPr>
        <w:tab/>
      </w:r>
      <w:r>
        <w:rPr>
          <w:lang w:val="fr-FR"/>
        </w:rPr>
        <w:tab/>
      </w:r>
      <w:r w:rsidR="00FD100B">
        <w:rPr>
          <w:lang w:val="fr-FR"/>
        </w:rPr>
        <w:t>74</w:t>
      </w:r>
      <w:r>
        <w:rPr>
          <w:lang w:val="fr-FR"/>
        </w:rPr>
        <w:tab/>
      </w:r>
      <w:r w:rsidR="0053098E">
        <w:rPr>
          <w:lang w:val="fr-FR"/>
        </w:rPr>
        <w:t>17</w:t>
      </w:r>
    </w:p>
    <w:p w:rsidR="00C57EB7" w:rsidRDefault="00C57EB7" w:rsidP="00C57EB7">
      <w:pPr>
        <w:tabs>
          <w:tab w:val="right" w:leader="dot" w:pos="7654"/>
          <w:tab w:val="right" w:pos="8929"/>
          <w:tab w:val="right" w:pos="9638"/>
        </w:tabs>
        <w:spacing w:after="120"/>
        <w:ind w:left="1559" w:hanging="425"/>
      </w:pPr>
      <w:r>
        <w:t>D.</w:t>
      </w:r>
      <w:r>
        <w:tab/>
      </w:r>
      <w:r w:rsidR="00423168" w:rsidRPr="00622FA2">
        <w:rPr>
          <w:lang w:val="fr-FR"/>
        </w:rPr>
        <w:t>Batteries au lithium endommagées ou défectueuses</w:t>
      </w:r>
      <w:r>
        <w:tab/>
      </w:r>
      <w:r>
        <w:tab/>
      </w:r>
      <w:r w:rsidR="00FD100B">
        <w:t>75</w:t>
      </w:r>
      <w:r>
        <w:tab/>
      </w:r>
      <w:r w:rsidR="0053098E">
        <w:t>17</w:t>
      </w:r>
    </w:p>
    <w:p w:rsidR="00C57EB7" w:rsidRPr="000A1E00" w:rsidRDefault="00C57EB7" w:rsidP="00C57EB7">
      <w:pPr>
        <w:tabs>
          <w:tab w:val="right" w:leader="dot" w:pos="7654"/>
          <w:tab w:val="right" w:pos="8929"/>
          <w:tab w:val="right" w:pos="9638"/>
        </w:tabs>
        <w:spacing w:after="120"/>
        <w:ind w:left="1559" w:hanging="425"/>
      </w:pPr>
      <w:r>
        <w:t>E.</w:t>
      </w:r>
      <w:r>
        <w:tab/>
      </w:r>
      <w:r w:rsidR="00423168" w:rsidRPr="00622FA2">
        <w:rPr>
          <w:lang w:val="fr-FR"/>
        </w:rPr>
        <w:t>Batteries au sodium ionique</w:t>
      </w:r>
      <w:r>
        <w:tab/>
      </w:r>
      <w:r>
        <w:tab/>
      </w:r>
      <w:r w:rsidR="00FD100B">
        <w:t>76−77</w:t>
      </w:r>
      <w:r>
        <w:tab/>
      </w:r>
      <w:r w:rsidR="0053098E">
        <w:t>17</w:t>
      </w:r>
    </w:p>
    <w:p w:rsidR="00C57EB7" w:rsidRDefault="00C57EB7" w:rsidP="00C57EB7">
      <w:pPr>
        <w:tabs>
          <w:tab w:val="right" w:leader="dot" w:pos="7654"/>
          <w:tab w:val="right" w:pos="8929"/>
          <w:tab w:val="right" w:pos="9638"/>
        </w:tabs>
        <w:spacing w:after="120"/>
        <w:ind w:left="1559" w:hanging="425"/>
      </w:pPr>
      <w:r>
        <w:t>F.</w:t>
      </w:r>
      <w:r>
        <w:tab/>
      </w:r>
      <w:r w:rsidR="00423168" w:rsidRPr="00622FA2">
        <w:rPr>
          <w:lang w:val="fr-FR"/>
        </w:rPr>
        <w:t>Divers</w:t>
      </w:r>
      <w:r>
        <w:tab/>
      </w:r>
      <w:r>
        <w:tab/>
      </w:r>
      <w:r w:rsidR="00FD100B">
        <w:t>78−85</w:t>
      </w:r>
      <w:r>
        <w:tab/>
      </w:r>
      <w:r w:rsidR="0053098E">
        <w:t>17</w:t>
      </w:r>
    </w:p>
    <w:p w:rsidR="00C57EB7" w:rsidRDefault="00C57EB7" w:rsidP="00C57EB7">
      <w:pPr>
        <w:tabs>
          <w:tab w:val="right" w:leader="dot" w:pos="7654"/>
          <w:tab w:val="right" w:pos="8929"/>
          <w:tab w:val="right" w:pos="9638"/>
        </w:tabs>
        <w:spacing w:after="120"/>
        <w:ind w:left="1984" w:hanging="425"/>
      </w:pPr>
      <w:r w:rsidRPr="000A1E00">
        <w:t>1.</w:t>
      </w:r>
      <w:r w:rsidRPr="000A1E00">
        <w:tab/>
      </w:r>
      <w:r w:rsidR="00423168" w:rsidRPr="00622FA2">
        <w:rPr>
          <w:lang w:val="fr-FR"/>
        </w:rPr>
        <w:t xml:space="preserve">Exemples de procès-verbal d’essai de batteries au lithium </w:t>
      </w:r>
      <w:r w:rsidR="00423168" w:rsidRPr="00622FA2">
        <w:rPr>
          <w:lang w:val="fr-FR"/>
        </w:rPr>
        <w:br/>
        <w:t>et questions et réponses complémentaires</w:t>
      </w:r>
      <w:r w:rsidRPr="000A1E00">
        <w:tab/>
      </w:r>
      <w:r w:rsidRPr="000A1E00">
        <w:tab/>
      </w:r>
      <w:r w:rsidR="00FD100B">
        <w:t>78</w:t>
      </w:r>
      <w:r w:rsidRPr="000A1E00">
        <w:tab/>
      </w:r>
      <w:r w:rsidR="0053098E">
        <w:t>17</w:t>
      </w:r>
    </w:p>
    <w:p w:rsidR="00C57EB7" w:rsidRDefault="00C57EB7" w:rsidP="00C57EB7">
      <w:pPr>
        <w:tabs>
          <w:tab w:val="right" w:leader="dot" w:pos="7654"/>
          <w:tab w:val="right" w:pos="8929"/>
          <w:tab w:val="right" w:pos="9638"/>
        </w:tabs>
        <w:spacing w:after="120"/>
        <w:ind w:left="1984" w:hanging="425"/>
      </w:pPr>
      <w:r>
        <w:t>2.</w:t>
      </w:r>
      <w:r>
        <w:tab/>
      </w:r>
      <w:r w:rsidR="00423168" w:rsidRPr="00622FA2">
        <w:rPr>
          <w:lang w:val="fr-FR"/>
        </w:rPr>
        <w:t>Dimensions de la marque pour les batteries au lithium</w:t>
      </w:r>
      <w:r>
        <w:tab/>
      </w:r>
      <w:r>
        <w:tab/>
      </w:r>
      <w:r w:rsidR="00FD100B">
        <w:t>79−82</w:t>
      </w:r>
      <w:r>
        <w:tab/>
      </w:r>
      <w:r w:rsidR="0053098E">
        <w:t>17</w:t>
      </w:r>
    </w:p>
    <w:p w:rsidR="00C57EB7" w:rsidRDefault="00C57EB7" w:rsidP="00C57EB7">
      <w:pPr>
        <w:tabs>
          <w:tab w:val="right" w:leader="dot" w:pos="7654"/>
          <w:tab w:val="right" w:pos="8929"/>
          <w:tab w:val="right" w:pos="9638"/>
        </w:tabs>
        <w:spacing w:after="120"/>
        <w:ind w:left="1984" w:hanging="425"/>
      </w:pPr>
      <w:r>
        <w:t>3</w:t>
      </w:r>
      <w:r w:rsidRPr="000A1E00">
        <w:t>.</w:t>
      </w:r>
      <w:r w:rsidRPr="000A1E00">
        <w:tab/>
      </w:r>
      <w:r w:rsidR="00423168" w:rsidRPr="00622FA2">
        <w:rPr>
          <w:lang w:val="fr-FR"/>
        </w:rPr>
        <w:t>Piles et batteries au sodium-chlorure de nickel (Na-NiCl</w:t>
      </w:r>
      <w:r w:rsidR="00423168" w:rsidRPr="00622FA2">
        <w:rPr>
          <w:vertAlign w:val="subscript"/>
          <w:lang w:val="fr-FR"/>
        </w:rPr>
        <w:t>2</w:t>
      </w:r>
      <w:r w:rsidR="00423168" w:rsidRPr="00423168">
        <w:rPr>
          <w:lang w:val="fr-FR"/>
        </w:rPr>
        <w:t>)</w:t>
      </w:r>
      <w:r w:rsidRPr="000A1E00">
        <w:tab/>
      </w:r>
      <w:r w:rsidRPr="000A1E00">
        <w:tab/>
      </w:r>
      <w:r w:rsidR="00FD100B">
        <w:t>83−85</w:t>
      </w:r>
      <w:r w:rsidRPr="000A1E00">
        <w:tab/>
      </w:r>
      <w:r w:rsidR="0053098E">
        <w:t>18</w:t>
      </w:r>
    </w:p>
    <w:p w:rsidR="00C57EB7" w:rsidRDefault="00C57EB7" w:rsidP="00C57EB7">
      <w:pPr>
        <w:tabs>
          <w:tab w:val="right" w:pos="850"/>
          <w:tab w:val="right" w:leader="dot" w:pos="7654"/>
          <w:tab w:val="right" w:pos="8929"/>
          <w:tab w:val="right" w:pos="9638"/>
        </w:tabs>
        <w:spacing w:after="120"/>
        <w:ind w:left="1134" w:hanging="1134"/>
      </w:pPr>
      <w:r>
        <w:tab/>
        <w:t>VII.</w:t>
      </w:r>
      <w:r>
        <w:tab/>
      </w:r>
      <w:r w:rsidR="00423168" w:rsidRPr="00622FA2">
        <w:rPr>
          <w:lang w:val="fr-FR"/>
        </w:rPr>
        <w:t>Transport de gaz (point 5 de l’ordre du jour)</w:t>
      </w:r>
      <w:r>
        <w:tab/>
      </w:r>
      <w:r>
        <w:tab/>
      </w:r>
      <w:r w:rsidR="00FD100B">
        <w:t>86−99</w:t>
      </w:r>
      <w:r>
        <w:tab/>
      </w:r>
      <w:r w:rsidR="0053098E">
        <w:t>18</w:t>
      </w:r>
    </w:p>
    <w:p w:rsidR="00C57EB7" w:rsidRPr="000A1E00" w:rsidRDefault="00C57EB7" w:rsidP="00C57EB7">
      <w:pPr>
        <w:tabs>
          <w:tab w:val="right" w:leader="dot" w:pos="7654"/>
          <w:tab w:val="right" w:pos="8929"/>
          <w:tab w:val="right" w:pos="9638"/>
        </w:tabs>
        <w:spacing w:after="120"/>
        <w:ind w:left="1559" w:hanging="425"/>
      </w:pPr>
      <w:r>
        <w:t>A.</w:t>
      </w:r>
      <w:r>
        <w:tab/>
      </w:r>
      <w:r w:rsidR="00423168" w:rsidRPr="00622FA2">
        <w:rPr>
          <w:lang w:val="fr-FR"/>
        </w:rPr>
        <w:t>Reconnaissance universelle des récipients à pression ONU et non-ONU</w:t>
      </w:r>
      <w:r>
        <w:tab/>
      </w:r>
      <w:r>
        <w:tab/>
      </w:r>
      <w:r w:rsidR="00FD100B">
        <w:t>86</w:t>
      </w:r>
      <w:r>
        <w:tab/>
      </w:r>
      <w:r w:rsidR="0053098E">
        <w:t>18</w:t>
      </w:r>
    </w:p>
    <w:p w:rsidR="00C57EB7" w:rsidRDefault="00C57EB7" w:rsidP="00C57EB7">
      <w:pPr>
        <w:tabs>
          <w:tab w:val="right" w:leader="dot" w:pos="7654"/>
          <w:tab w:val="right" w:pos="8929"/>
          <w:tab w:val="right" w:pos="9638"/>
        </w:tabs>
        <w:spacing w:after="120"/>
        <w:ind w:left="1559" w:hanging="425"/>
      </w:pPr>
      <w:r>
        <w:t>B.</w:t>
      </w:r>
      <w:r>
        <w:tab/>
      </w:r>
      <w:r w:rsidR="00423168" w:rsidRPr="00622FA2">
        <w:rPr>
          <w:lang w:val="fr-FR"/>
        </w:rPr>
        <w:t>Divers</w:t>
      </w:r>
      <w:r>
        <w:tab/>
      </w:r>
      <w:r>
        <w:tab/>
      </w:r>
      <w:r w:rsidR="00FD100B">
        <w:t>87−99</w:t>
      </w:r>
      <w:r>
        <w:tab/>
      </w:r>
      <w:r w:rsidR="0053098E">
        <w:t>18</w:t>
      </w:r>
    </w:p>
    <w:p w:rsidR="00C57EB7" w:rsidRDefault="00C57EB7" w:rsidP="00C57EB7">
      <w:pPr>
        <w:tabs>
          <w:tab w:val="right" w:leader="dot" w:pos="7654"/>
          <w:tab w:val="right" w:pos="8929"/>
          <w:tab w:val="right" w:pos="9638"/>
        </w:tabs>
        <w:spacing w:after="120"/>
        <w:ind w:left="1984" w:hanging="425"/>
      </w:pPr>
      <w:r w:rsidRPr="000A1E00">
        <w:t>1.</w:t>
      </w:r>
      <w:r w:rsidRPr="000A1E00">
        <w:tab/>
      </w:r>
      <w:r w:rsidR="00423168" w:rsidRPr="00622FA2">
        <w:rPr>
          <w:lang w:val="fr-FR"/>
        </w:rPr>
        <w:t>Enveloppes pour bouteilles d’acétylène « UN »</w:t>
      </w:r>
      <w:r w:rsidRPr="000A1E00">
        <w:tab/>
      </w:r>
      <w:r w:rsidRPr="000A1E00">
        <w:tab/>
      </w:r>
      <w:r w:rsidR="00FD100B">
        <w:t>87</w:t>
      </w:r>
      <w:r w:rsidRPr="000A1E00">
        <w:tab/>
      </w:r>
      <w:r w:rsidR="0053098E">
        <w:t>18</w:t>
      </w:r>
    </w:p>
    <w:p w:rsidR="00C57EB7" w:rsidRDefault="00C57EB7" w:rsidP="00C57EB7">
      <w:pPr>
        <w:tabs>
          <w:tab w:val="right" w:leader="dot" w:pos="7654"/>
          <w:tab w:val="right" w:pos="8929"/>
          <w:tab w:val="right" w:pos="9638"/>
        </w:tabs>
        <w:spacing w:after="120"/>
        <w:ind w:left="1984" w:hanging="425"/>
      </w:pPr>
      <w:r>
        <w:t>2.</w:t>
      </w:r>
      <w:r>
        <w:tab/>
      </w:r>
      <w:r w:rsidR="00423168" w:rsidRPr="00622FA2">
        <w:rPr>
          <w:lang w:val="fr-FR"/>
        </w:rPr>
        <w:t xml:space="preserve">Clarification d’une disposition concernant le marquage </w:t>
      </w:r>
      <w:r w:rsidR="00423168">
        <w:rPr>
          <w:lang w:val="fr-FR"/>
        </w:rPr>
        <w:br/>
      </w:r>
      <w:r w:rsidR="00423168" w:rsidRPr="00622FA2">
        <w:rPr>
          <w:lang w:val="fr-FR"/>
        </w:rPr>
        <w:t>des récipients à pression « UN »</w:t>
      </w:r>
      <w:r>
        <w:tab/>
      </w:r>
      <w:r>
        <w:tab/>
      </w:r>
      <w:r w:rsidR="00FD100B">
        <w:t>88</w:t>
      </w:r>
      <w:r>
        <w:tab/>
      </w:r>
      <w:r w:rsidR="0053098E">
        <w:t>19</w:t>
      </w:r>
    </w:p>
    <w:p w:rsidR="00C57EB7" w:rsidRDefault="00C57EB7" w:rsidP="00C57EB7">
      <w:pPr>
        <w:tabs>
          <w:tab w:val="right" w:leader="dot" w:pos="7654"/>
          <w:tab w:val="right" w:pos="8929"/>
          <w:tab w:val="right" w:pos="9638"/>
        </w:tabs>
        <w:spacing w:after="120"/>
        <w:ind w:left="1984" w:hanging="425"/>
      </w:pPr>
      <w:r>
        <w:t>3</w:t>
      </w:r>
      <w:r w:rsidRPr="000A1E00">
        <w:t>.</w:t>
      </w:r>
      <w:r w:rsidRPr="000A1E00">
        <w:tab/>
      </w:r>
      <w:r w:rsidR="00423168" w:rsidRPr="00622FA2">
        <w:rPr>
          <w:lang w:val="fr-FR"/>
        </w:rPr>
        <w:t>Ajout de nouvelles normes ISO relatives à la classe 2 et mises à jour</w:t>
      </w:r>
      <w:r w:rsidRPr="000A1E00">
        <w:tab/>
      </w:r>
      <w:r w:rsidRPr="000A1E00">
        <w:tab/>
      </w:r>
      <w:r w:rsidR="00FD100B">
        <w:t>89−91</w:t>
      </w:r>
      <w:r w:rsidRPr="000A1E00">
        <w:tab/>
      </w:r>
      <w:r w:rsidR="0053098E">
        <w:t>19</w:t>
      </w:r>
    </w:p>
    <w:p w:rsidR="00C57EB7" w:rsidRDefault="00C57EB7" w:rsidP="00C57EB7">
      <w:pPr>
        <w:tabs>
          <w:tab w:val="right" w:leader="dot" w:pos="7654"/>
          <w:tab w:val="right" w:pos="8929"/>
          <w:tab w:val="right" w:pos="9638"/>
        </w:tabs>
        <w:spacing w:after="120"/>
        <w:ind w:left="1984" w:hanging="425"/>
      </w:pPr>
      <w:r>
        <w:t>4.</w:t>
      </w:r>
      <w:r>
        <w:tab/>
      </w:r>
      <w:r w:rsidR="00423168" w:rsidRPr="00622FA2">
        <w:rPr>
          <w:lang w:val="fr-FR"/>
        </w:rPr>
        <w:t>Mise à jour des valeurs de la CL</w:t>
      </w:r>
      <w:r w:rsidR="00423168" w:rsidRPr="00622FA2">
        <w:rPr>
          <w:vertAlign w:val="subscript"/>
          <w:lang w:val="fr-FR"/>
        </w:rPr>
        <w:t>50</w:t>
      </w:r>
      <w:r w:rsidR="00423168" w:rsidRPr="00622FA2">
        <w:rPr>
          <w:lang w:val="fr-FR"/>
        </w:rPr>
        <w:t xml:space="preserve"> dans l’instruction </w:t>
      </w:r>
      <w:r w:rsidR="00423168">
        <w:rPr>
          <w:lang w:val="fr-FR"/>
        </w:rPr>
        <w:br/>
      </w:r>
      <w:r w:rsidR="00423168" w:rsidRPr="00622FA2">
        <w:rPr>
          <w:lang w:val="fr-FR"/>
        </w:rPr>
        <w:t>d’emballage P200</w:t>
      </w:r>
      <w:r>
        <w:tab/>
      </w:r>
      <w:r>
        <w:tab/>
      </w:r>
      <w:r w:rsidR="00FD100B">
        <w:t>92−94</w:t>
      </w:r>
      <w:r>
        <w:tab/>
      </w:r>
      <w:r w:rsidR="0053098E">
        <w:t>19</w:t>
      </w:r>
    </w:p>
    <w:p w:rsidR="00C57EB7" w:rsidRDefault="00C57EB7" w:rsidP="00C57EB7">
      <w:pPr>
        <w:tabs>
          <w:tab w:val="right" w:leader="dot" w:pos="7654"/>
          <w:tab w:val="right" w:pos="8929"/>
          <w:tab w:val="right" w:pos="9638"/>
        </w:tabs>
        <w:spacing w:after="120"/>
        <w:ind w:left="1984" w:hanging="425"/>
      </w:pPr>
      <w:r>
        <w:t>5</w:t>
      </w:r>
      <w:r w:rsidRPr="000A1E00">
        <w:t>.</w:t>
      </w:r>
      <w:r w:rsidRPr="000A1E00">
        <w:tab/>
      </w:r>
      <w:r w:rsidR="00423168" w:rsidRPr="00622FA2">
        <w:rPr>
          <w:lang w:val="fr-FR"/>
        </w:rPr>
        <w:t xml:space="preserve">Disposition relative au transport des cartouches à gaz mises au rebut </w:t>
      </w:r>
      <w:r w:rsidR="00423168">
        <w:rPr>
          <w:lang w:val="fr-FR"/>
        </w:rPr>
        <w:br/>
      </w:r>
      <w:r w:rsidR="00423168" w:rsidRPr="00622FA2">
        <w:rPr>
          <w:lang w:val="fr-FR"/>
        </w:rPr>
        <w:t>(No ONU 2037)</w:t>
      </w:r>
      <w:r w:rsidRPr="000A1E00">
        <w:tab/>
      </w:r>
      <w:r w:rsidRPr="000A1E00">
        <w:tab/>
      </w:r>
      <w:r w:rsidR="00FD100B">
        <w:t>95−97</w:t>
      </w:r>
      <w:r w:rsidRPr="000A1E00">
        <w:tab/>
      </w:r>
      <w:r w:rsidR="0053098E">
        <w:t>19</w:t>
      </w:r>
    </w:p>
    <w:p w:rsidR="00C57EB7" w:rsidRDefault="00C57EB7" w:rsidP="00C57EB7">
      <w:pPr>
        <w:tabs>
          <w:tab w:val="right" w:leader="dot" w:pos="7654"/>
          <w:tab w:val="right" w:pos="8929"/>
          <w:tab w:val="right" w:pos="9638"/>
        </w:tabs>
        <w:spacing w:after="120"/>
        <w:ind w:left="1984" w:hanging="425"/>
      </w:pPr>
      <w:r>
        <w:t>6.</w:t>
      </w:r>
      <w:r>
        <w:tab/>
      </w:r>
      <w:r w:rsidR="00423168" w:rsidRPr="00622FA2">
        <w:rPr>
          <w:lang w:val="fr-FR"/>
        </w:rPr>
        <w:t xml:space="preserve">Incidents concernant des bouteilles composites sans liner fabriquées </w:t>
      </w:r>
      <w:r w:rsidR="00423168" w:rsidRPr="00622FA2">
        <w:rPr>
          <w:lang w:val="fr-FR"/>
        </w:rPr>
        <w:br/>
        <w:t>à partir de deux pièces jointes</w:t>
      </w:r>
      <w:r>
        <w:tab/>
      </w:r>
      <w:r>
        <w:tab/>
      </w:r>
      <w:r w:rsidR="00FD100B">
        <w:t>98</w:t>
      </w:r>
      <w:r>
        <w:tab/>
      </w:r>
      <w:r w:rsidR="0053098E">
        <w:t>20</w:t>
      </w:r>
    </w:p>
    <w:p w:rsidR="00C57EB7" w:rsidRDefault="00C57EB7" w:rsidP="00C57EB7">
      <w:pPr>
        <w:tabs>
          <w:tab w:val="right" w:leader="dot" w:pos="7654"/>
          <w:tab w:val="right" w:pos="8929"/>
          <w:tab w:val="right" w:pos="9638"/>
        </w:tabs>
        <w:spacing w:after="120"/>
        <w:ind w:left="1984" w:hanging="425"/>
      </w:pPr>
      <w:r>
        <w:t>7</w:t>
      </w:r>
      <w:r w:rsidRPr="000A1E00">
        <w:t>.</w:t>
      </w:r>
      <w:r w:rsidRPr="000A1E00">
        <w:tab/>
      </w:r>
      <w:r w:rsidR="00423168" w:rsidRPr="00622FA2">
        <w:rPr>
          <w:lang w:val="fr-FR"/>
        </w:rPr>
        <w:t xml:space="preserve">Modification de l’instruction d’emballage P206 relative </w:t>
      </w:r>
      <w:r w:rsidR="00423168">
        <w:rPr>
          <w:lang w:val="fr-FR"/>
        </w:rPr>
        <w:br/>
      </w:r>
      <w:r w:rsidR="00423168" w:rsidRPr="00622FA2">
        <w:rPr>
          <w:lang w:val="fr-FR"/>
        </w:rPr>
        <w:t>aux systèmes d’extinction de feu par gaz</w:t>
      </w:r>
      <w:r w:rsidRPr="000A1E00">
        <w:tab/>
      </w:r>
      <w:r w:rsidRPr="000A1E00">
        <w:tab/>
      </w:r>
      <w:r w:rsidR="00FD100B">
        <w:t>99</w:t>
      </w:r>
      <w:r w:rsidRPr="000A1E00">
        <w:tab/>
      </w:r>
      <w:r w:rsidR="0053098E">
        <w:t>20</w:t>
      </w:r>
    </w:p>
    <w:p w:rsidR="00C57EB7" w:rsidRDefault="00C57EB7" w:rsidP="00C57EB7">
      <w:pPr>
        <w:tabs>
          <w:tab w:val="right" w:pos="850"/>
          <w:tab w:val="right" w:leader="dot" w:pos="7654"/>
          <w:tab w:val="right" w:pos="8929"/>
          <w:tab w:val="right" w:pos="9638"/>
        </w:tabs>
        <w:spacing w:after="120"/>
        <w:ind w:left="1134" w:hanging="1134"/>
      </w:pPr>
      <w:r>
        <w:tab/>
        <w:t>VIII.</w:t>
      </w:r>
      <w:r>
        <w:tab/>
      </w:r>
      <w:r w:rsidR="00423168" w:rsidRPr="00622FA2">
        <w:rPr>
          <w:lang w:val="fr-FR"/>
        </w:rPr>
        <w:t xml:space="preserve">Propositions diverses d’amendements au Règlement type pour le transport </w:t>
      </w:r>
      <w:r w:rsidR="00423168">
        <w:rPr>
          <w:lang w:val="fr-FR"/>
        </w:rPr>
        <w:br/>
      </w:r>
      <w:r w:rsidR="00423168" w:rsidRPr="00622FA2">
        <w:rPr>
          <w:lang w:val="fr-FR"/>
        </w:rPr>
        <w:t>des marchandises dangereuses (point 6 de l’ordre du jour)</w:t>
      </w:r>
      <w:r>
        <w:tab/>
      </w:r>
      <w:r>
        <w:tab/>
      </w:r>
      <w:r w:rsidR="00FD100B">
        <w:rPr>
          <w:lang w:val="fr-FR"/>
        </w:rPr>
        <w:t>100−138</w:t>
      </w:r>
      <w:r>
        <w:tab/>
      </w:r>
      <w:r w:rsidR="0053098E">
        <w:t>20</w:t>
      </w:r>
    </w:p>
    <w:p w:rsidR="00C57EB7" w:rsidRPr="000A1E00" w:rsidRDefault="00C57EB7" w:rsidP="00C57EB7">
      <w:pPr>
        <w:tabs>
          <w:tab w:val="right" w:leader="dot" w:pos="7654"/>
          <w:tab w:val="right" w:pos="8929"/>
          <w:tab w:val="right" w:pos="9638"/>
        </w:tabs>
        <w:spacing w:after="120"/>
        <w:ind w:left="1559" w:hanging="425"/>
      </w:pPr>
      <w:r>
        <w:t>A.</w:t>
      </w:r>
      <w:r>
        <w:tab/>
      </w:r>
      <w:r w:rsidR="00423168" w:rsidRPr="00622FA2">
        <w:rPr>
          <w:lang w:val="fr-FR"/>
        </w:rPr>
        <w:t>Marquage et étiquetage</w:t>
      </w:r>
      <w:r>
        <w:tab/>
      </w:r>
      <w:r>
        <w:tab/>
      </w:r>
      <w:r w:rsidR="00FD100B">
        <w:t>100−104</w:t>
      </w:r>
      <w:r>
        <w:tab/>
      </w:r>
      <w:r w:rsidR="0053098E">
        <w:t>20</w:t>
      </w:r>
    </w:p>
    <w:p w:rsidR="00C57EB7" w:rsidRDefault="00C57EB7" w:rsidP="00C57EB7">
      <w:pPr>
        <w:tabs>
          <w:tab w:val="right" w:leader="dot" w:pos="7654"/>
          <w:tab w:val="right" w:pos="8929"/>
          <w:tab w:val="right" w:pos="9638"/>
        </w:tabs>
        <w:spacing w:after="120"/>
        <w:ind w:left="1984" w:hanging="425"/>
      </w:pPr>
      <w:r w:rsidRPr="000A1E00">
        <w:t>1.</w:t>
      </w:r>
      <w:r w:rsidRPr="000A1E00">
        <w:tab/>
      </w:r>
      <w:r w:rsidR="00423168" w:rsidRPr="00622FA2">
        <w:rPr>
          <w:lang w:val="fr-FR"/>
        </w:rPr>
        <w:t xml:space="preserve">Couleur de la marque pour les matières transportées à chaud </w:t>
      </w:r>
      <w:r w:rsidR="00423168">
        <w:rPr>
          <w:lang w:val="fr-FR"/>
        </w:rPr>
        <w:br/>
      </w:r>
      <w:r w:rsidR="00423168" w:rsidRPr="00622FA2">
        <w:rPr>
          <w:lang w:val="fr-FR"/>
        </w:rPr>
        <w:t>selon le 5.3.2.2</w:t>
      </w:r>
      <w:r w:rsidRPr="000A1E00">
        <w:tab/>
      </w:r>
      <w:r w:rsidRPr="000A1E00">
        <w:tab/>
      </w:r>
      <w:r w:rsidR="00FD100B">
        <w:t>100</w:t>
      </w:r>
      <w:r w:rsidRPr="000A1E00">
        <w:tab/>
      </w:r>
      <w:r w:rsidR="0053098E">
        <w:t>20</w:t>
      </w:r>
    </w:p>
    <w:p w:rsidR="00C57EB7" w:rsidRDefault="00C57EB7" w:rsidP="00C57EB7">
      <w:pPr>
        <w:tabs>
          <w:tab w:val="right" w:leader="dot" w:pos="7654"/>
          <w:tab w:val="right" w:pos="8929"/>
          <w:tab w:val="right" w:pos="9638"/>
        </w:tabs>
        <w:spacing w:after="120"/>
        <w:ind w:left="1984" w:hanging="425"/>
      </w:pPr>
      <w:r>
        <w:t>2.</w:t>
      </w:r>
      <w:r>
        <w:tab/>
      </w:r>
      <w:r w:rsidR="00423168" w:rsidRPr="00622FA2">
        <w:rPr>
          <w:lang w:val="fr-FR"/>
        </w:rPr>
        <w:t>Modifications à la disposition spéciale 363</w:t>
      </w:r>
      <w:r>
        <w:tab/>
      </w:r>
      <w:r>
        <w:tab/>
      </w:r>
      <w:r w:rsidR="00FD100B">
        <w:t>101</w:t>
      </w:r>
      <w:r>
        <w:tab/>
      </w:r>
      <w:r w:rsidR="0053098E">
        <w:t>20</w:t>
      </w:r>
    </w:p>
    <w:p w:rsidR="00C57EB7" w:rsidRDefault="00C57EB7" w:rsidP="00C57EB7">
      <w:pPr>
        <w:tabs>
          <w:tab w:val="right" w:leader="dot" w:pos="7654"/>
          <w:tab w:val="right" w:pos="8929"/>
          <w:tab w:val="right" w:pos="9638"/>
        </w:tabs>
        <w:spacing w:after="120"/>
        <w:ind w:left="1984" w:hanging="425"/>
      </w:pPr>
      <w:r>
        <w:t>3</w:t>
      </w:r>
      <w:r w:rsidRPr="000A1E00">
        <w:t>.</w:t>
      </w:r>
      <w:r w:rsidRPr="000A1E00">
        <w:tab/>
      </w:r>
      <w:r w:rsidR="00423168" w:rsidRPr="00622FA2">
        <w:rPr>
          <w:lang w:val="fr-FR"/>
        </w:rPr>
        <w:t>Description de l’</w:t>
      </w:r>
      <w:r w:rsidR="00423168">
        <w:rPr>
          <w:lang w:val="fr-FR"/>
        </w:rPr>
        <w:t xml:space="preserve">étiquette </w:t>
      </w:r>
      <w:r w:rsidR="00423168" w:rsidRPr="00423168">
        <w:rPr>
          <w:rFonts w:eastAsia="MS Mincho"/>
          <w:szCs w:val="22"/>
          <w:lang w:val="fr-FR"/>
        </w:rPr>
        <w:t>n</w:t>
      </w:r>
      <w:r w:rsidR="00423168" w:rsidRPr="00423168">
        <w:rPr>
          <w:rFonts w:eastAsia="MS Mincho"/>
          <w:szCs w:val="22"/>
          <w:vertAlign w:val="superscript"/>
          <w:lang w:val="fr-FR"/>
        </w:rPr>
        <w:t>o</w:t>
      </w:r>
      <w:r w:rsidR="00423168">
        <w:rPr>
          <w:lang w:val="fr-FR"/>
        </w:rPr>
        <w:t> </w:t>
      </w:r>
      <w:r w:rsidR="00423168" w:rsidRPr="00622FA2">
        <w:rPr>
          <w:lang w:val="fr-FR"/>
        </w:rPr>
        <w:t>9A</w:t>
      </w:r>
      <w:r w:rsidRPr="000A1E00">
        <w:tab/>
      </w:r>
      <w:r w:rsidRPr="000A1E00">
        <w:tab/>
      </w:r>
      <w:r w:rsidR="00FD100B">
        <w:t>102−103</w:t>
      </w:r>
      <w:r w:rsidRPr="000A1E00">
        <w:tab/>
      </w:r>
      <w:r w:rsidR="0053098E">
        <w:t>20</w:t>
      </w:r>
    </w:p>
    <w:p w:rsidR="00C57EB7" w:rsidRDefault="00C57EB7" w:rsidP="00C57EB7">
      <w:pPr>
        <w:tabs>
          <w:tab w:val="right" w:leader="dot" w:pos="7654"/>
          <w:tab w:val="right" w:pos="8929"/>
          <w:tab w:val="right" w:pos="9638"/>
        </w:tabs>
        <w:spacing w:after="120"/>
        <w:ind w:left="1984" w:hanging="425"/>
      </w:pPr>
      <w:r>
        <w:t>4.</w:t>
      </w:r>
      <w:r>
        <w:tab/>
      </w:r>
      <w:r w:rsidR="00423168" w:rsidRPr="00622FA2">
        <w:rPr>
          <w:lang w:val="fr-FR"/>
        </w:rPr>
        <w:t>Emploi du terme «</w:t>
      </w:r>
      <w:r w:rsidR="00423168">
        <w:rPr>
          <w:lang w:val="fr-FR"/>
        </w:rPr>
        <w:t> </w:t>
      </w:r>
      <w:r w:rsidR="00423168" w:rsidRPr="00622FA2">
        <w:rPr>
          <w:lang w:val="fr-FR"/>
        </w:rPr>
        <w:t>placard</w:t>
      </w:r>
      <w:r w:rsidR="00423168">
        <w:rPr>
          <w:lang w:val="fr-FR"/>
        </w:rPr>
        <w:t> </w:t>
      </w:r>
      <w:r w:rsidR="00423168" w:rsidRPr="00622FA2">
        <w:rPr>
          <w:lang w:val="fr-FR"/>
        </w:rPr>
        <w:t>» («</w:t>
      </w:r>
      <w:r w:rsidR="00423168">
        <w:rPr>
          <w:lang w:val="fr-FR"/>
        </w:rPr>
        <w:t> </w:t>
      </w:r>
      <w:r w:rsidR="00423168" w:rsidRPr="00622FA2">
        <w:rPr>
          <w:lang w:val="fr-FR"/>
        </w:rPr>
        <w:t>plaque-étiquette</w:t>
      </w:r>
      <w:r w:rsidR="00423168">
        <w:rPr>
          <w:lang w:val="fr-FR"/>
        </w:rPr>
        <w:t> </w:t>
      </w:r>
      <w:r w:rsidR="00423168" w:rsidRPr="00622FA2">
        <w:rPr>
          <w:lang w:val="fr-FR"/>
        </w:rPr>
        <w:t xml:space="preserve">») </w:t>
      </w:r>
      <w:r w:rsidR="00423168">
        <w:rPr>
          <w:lang w:val="fr-FR"/>
        </w:rPr>
        <w:br/>
      </w:r>
      <w:r w:rsidR="00423168" w:rsidRPr="00622FA2">
        <w:rPr>
          <w:lang w:val="fr-FR"/>
        </w:rPr>
        <w:t>dans le Règlement type</w:t>
      </w:r>
      <w:r>
        <w:tab/>
      </w:r>
      <w:r>
        <w:tab/>
      </w:r>
      <w:r w:rsidR="00FD100B">
        <w:t>104</w:t>
      </w:r>
      <w:r>
        <w:tab/>
      </w:r>
      <w:r w:rsidR="0053098E">
        <w:t>20</w:t>
      </w:r>
    </w:p>
    <w:p w:rsidR="00C57EB7" w:rsidRDefault="00C57EB7" w:rsidP="00C57EB7">
      <w:pPr>
        <w:tabs>
          <w:tab w:val="right" w:leader="dot" w:pos="7654"/>
          <w:tab w:val="right" w:pos="8929"/>
          <w:tab w:val="right" w:pos="9638"/>
        </w:tabs>
        <w:spacing w:after="120"/>
        <w:ind w:left="1559" w:hanging="425"/>
      </w:pPr>
      <w:r>
        <w:t>B.</w:t>
      </w:r>
      <w:r>
        <w:tab/>
      </w:r>
      <w:r w:rsidR="00423168" w:rsidRPr="00622FA2">
        <w:rPr>
          <w:lang w:val="fr-FR"/>
        </w:rPr>
        <w:t>Emballages</w:t>
      </w:r>
      <w:r>
        <w:tab/>
      </w:r>
      <w:r>
        <w:tab/>
      </w:r>
      <w:r w:rsidR="00FD100B">
        <w:t>105−120</w:t>
      </w:r>
      <w:r>
        <w:tab/>
      </w:r>
      <w:r w:rsidR="0053098E">
        <w:t>21</w:t>
      </w:r>
    </w:p>
    <w:p w:rsidR="00C57EB7" w:rsidRDefault="00C57EB7" w:rsidP="00C57EB7">
      <w:pPr>
        <w:tabs>
          <w:tab w:val="right" w:leader="dot" w:pos="7654"/>
          <w:tab w:val="right" w:pos="8929"/>
          <w:tab w:val="right" w:pos="9638"/>
        </w:tabs>
        <w:spacing w:after="120"/>
        <w:ind w:left="1984" w:hanging="425"/>
      </w:pPr>
      <w:r w:rsidRPr="000A1E00">
        <w:t>1.</w:t>
      </w:r>
      <w:r w:rsidRPr="000A1E00">
        <w:tab/>
      </w:r>
      <w:r w:rsidR="00423168" w:rsidRPr="00622FA2">
        <w:rPr>
          <w:lang w:val="fr-FR"/>
        </w:rPr>
        <w:t>Charge de gerbage maximale autorisée des GRV</w:t>
      </w:r>
      <w:r w:rsidRPr="000A1E00">
        <w:tab/>
      </w:r>
      <w:r w:rsidRPr="000A1E00">
        <w:tab/>
      </w:r>
      <w:r w:rsidR="00FD100B">
        <w:t>105−106</w:t>
      </w:r>
      <w:r w:rsidRPr="000A1E00">
        <w:tab/>
      </w:r>
      <w:r w:rsidR="0053098E">
        <w:t>21</w:t>
      </w:r>
    </w:p>
    <w:p w:rsidR="00C57EB7" w:rsidRDefault="00C57EB7" w:rsidP="00C57EB7">
      <w:pPr>
        <w:tabs>
          <w:tab w:val="right" w:leader="dot" w:pos="7654"/>
          <w:tab w:val="right" w:pos="8929"/>
          <w:tab w:val="right" w:pos="9638"/>
        </w:tabs>
        <w:spacing w:after="120"/>
        <w:ind w:left="1984" w:hanging="425"/>
      </w:pPr>
      <w:r>
        <w:t>2.</w:t>
      </w:r>
      <w:r>
        <w:tab/>
      </w:r>
      <w:r w:rsidR="00423168" w:rsidRPr="00622FA2">
        <w:rPr>
          <w:lang w:val="fr-FR"/>
        </w:rPr>
        <w:t>Entretien régulier des grands récipients pour vrac (GRV)</w:t>
      </w:r>
      <w:r>
        <w:tab/>
      </w:r>
      <w:r>
        <w:tab/>
      </w:r>
      <w:r w:rsidR="00FD100B">
        <w:t>107−108</w:t>
      </w:r>
      <w:r>
        <w:tab/>
      </w:r>
      <w:r w:rsidR="0053098E">
        <w:t>21</w:t>
      </w:r>
    </w:p>
    <w:p w:rsidR="00C57EB7" w:rsidRDefault="00C57EB7" w:rsidP="00C57EB7">
      <w:pPr>
        <w:tabs>
          <w:tab w:val="right" w:leader="dot" w:pos="7654"/>
          <w:tab w:val="right" w:pos="8929"/>
          <w:tab w:val="right" w:pos="9638"/>
        </w:tabs>
        <w:spacing w:after="120"/>
        <w:ind w:left="1984" w:hanging="425"/>
      </w:pPr>
      <w:r>
        <w:t>3</w:t>
      </w:r>
      <w:r w:rsidRPr="000A1E00">
        <w:t>.</w:t>
      </w:r>
      <w:r w:rsidRPr="000A1E00">
        <w:tab/>
      </w:r>
      <w:r w:rsidR="00423168" w:rsidRPr="00622FA2">
        <w:rPr>
          <w:lang w:val="fr-FR"/>
        </w:rPr>
        <w:t xml:space="preserve">Grands récipients pour vrac (GRV) composites : marquage </w:t>
      </w:r>
      <w:r w:rsidR="00423168">
        <w:rPr>
          <w:lang w:val="fr-FR"/>
        </w:rPr>
        <w:br/>
      </w:r>
      <w:r w:rsidR="00423168" w:rsidRPr="00622FA2">
        <w:rPr>
          <w:lang w:val="fr-FR"/>
        </w:rPr>
        <w:t>des récipients intérieurs</w:t>
      </w:r>
      <w:r w:rsidRPr="000A1E00">
        <w:tab/>
      </w:r>
      <w:r w:rsidRPr="000A1E00">
        <w:tab/>
      </w:r>
      <w:r w:rsidR="00FD100B">
        <w:t>109</w:t>
      </w:r>
      <w:r w:rsidRPr="000A1E00">
        <w:tab/>
      </w:r>
      <w:r w:rsidR="0053098E">
        <w:t>21</w:t>
      </w:r>
    </w:p>
    <w:p w:rsidR="00C57EB7" w:rsidRDefault="00C57EB7" w:rsidP="00C57EB7">
      <w:pPr>
        <w:tabs>
          <w:tab w:val="right" w:leader="dot" w:pos="7654"/>
          <w:tab w:val="right" w:pos="8929"/>
          <w:tab w:val="right" w:pos="9638"/>
        </w:tabs>
        <w:spacing w:after="120"/>
        <w:ind w:left="1984" w:hanging="425"/>
      </w:pPr>
      <w:r>
        <w:t>4.</w:t>
      </w:r>
      <w:r>
        <w:tab/>
      </w:r>
      <w:r w:rsidR="00423168" w:rsidRPr="00622FA2">
        <w:rPr>
          <w:lang w:val="fr-FR"/>
        </w:rPr>
        <w:t>Fûts en aluminium</w:t>
      </w:r>
      <w:r>
        <w:tab/>
      </w:r>
      <w:r>
        <w:tab/>
      </w:r>
      <w:r w:rsidR="00FD100B">
        <w:t>110−113</w:t>
      </w:r>
      <w:r>
        <w:tab/>
      </w:r>
      <w:r w:rsidR="0053098E">
        <w:t>21</w:t>
      </w:r>
    </w:p>
    <w:p w:rsidR="00C57EB7" w:rsidRDefault="00C57EB7" w:rsidP="00C57EB7">
      <w:pPr>
        <w:tabs>
          <w:tab w:val="right" w:leader="dot" w:pos="7654"/>
          <w:tab w:val="right" w:pos="8929"/>
          <w:tab w:val="right" w:pos="9638"/>
        </w:tabs>
        <w:spacing w:after="120"/>
        <w:ind w:left="1984" w:hanging="425"/>
      </w:pPr>
      <w:r>
        <w:t>5</w:t>
      </w:r>
      <w:r w:rsidRPr="000A1E00">
        <w:t>.</w:t>
      </w:r>
      <w:r w:rsidRPr="000A1E00">
        <w:tab/>
      </w:r>
      <w:r w:rsidR="00423168" w:rsidRPr="00622FA2">
        <w:rPr>
          <w:lang w:val="fr-FR"/>
        </w:rPr>
        <w:t>Proposition relative à un groupe de travail informel pour les GRV</w:t>
      </w:r>
      <w:r w:rsidRPr="000A1E00">
        <w:tab/>
      </w:r>
      <w:r w:rsidRPr="000A1E00">
        <w:tab/>
      </w:r>
      <w:r w:rsidR="00FD100B">
        <w:t>114−115</w:t>
      </w:r>
      <w:r w:rsidRPr="000A1E00">
        <w:tab/>
      </w:r>
      <w:r w:rsidR="0053098E">
        <w:t>22</w:t>
      </w:r>
    </w:p>
    <w:p w:rsidR="00C57EB7" w:rsidRDefault="00C57EB7" w:rsidP="00C57EB7">
      <w:pPr>
        <w:tabs>
          <w:tab w:val="right" w:leader="dot" w:pos="7654"/>
          <w:tab w:val="right" w:pos="8929"/>
          <w:tab w:val="right" w:pos="9638"/>
        </w:tabs>
        <w:spacing w:after="120"/>
        <w:ind w:left="1984" w:hanging="425"/>
      </w:pPr>
      <w:r>
        <w:lastRenderedPageBreak/>
        <w:t>6.</w:t>
      </w:r>
      <w:r>
        <w:tab/>
      </w:r>
      <w:r w:rsidR="00423168" w:rsidRPr="00622FA2">
        <w:t xml:space="preserve">Marquage multiple des emballages (y compris les grands récipients </w:t>
      </w:r>
      <w:r w:rsidR="00423168">
        <w:br/>
      </w:r>
      <w:r w:rsidR="00423168" w:rsidRPr="00622FA2">
        <w:t>pour vrac et les gr</w:t>
      </w:r>
      <w:r w:rsidR="00423168" w:rsidRPr="00622FA2">
        <w:rPr>
          <w:bCs/>
          <w:lang w:val="fr-FR"/>
        </w:rPr>
        <w:t xml:space="preserve">ands emballages), indiquant la conformité avec </w:t>
      </w:r>
      <w:r w:rsidR="00423168">
        <w:rPr>
          <w:bCs/>
          <w:lang w:val="fr-FR"/>
        </w:rPr>
        <w:br/>
      </w:r>
      <w:r w:rsidR="00423168" w:rsidRPr="00622FA2">
        <w:rPr>
          <w:bCs/>
          <w:lang w:val="fr-FR"/>
        </w:rPr>
        <w:t>plus d’un modèle type éprouvé avec succès</w:t>
      </w:r>
      <w:r>
        <w:tab/>
      </w:r>
      <w:r>
        <w:tab/>
      </w:r>
      <w:r w:rsidR="00FD100B">
        <w:t>116−117</w:t>
      </w:r>
      <w:r>
        <w:tab/>
      </w:r>
      <w:r w:rsidR="0053098E">
        <w:t>22</w:t>
      </w:r>
    </w:p>
    <w:p w:rsidR="00C57EB7" w:rsidRDefault="00C57EB7" w:rsidP="00C57EB7">
      <w:pPr>
        <w:tabs>
          <w:tab w:val="right" w:leader="dot" w:pos="7654"/>
          <w:tab w:val="right" w:pos="8929"/>
          <w:tab w:val="right" w:pos="9638"/>
        </w:tabs>
        <w:spacing w:after="120"/>
        <w:ind w:left="1984" w:hanging="425"/>
      </w:pPr>
      <w:r>
        <w:t>7</w:t>
      </w:r>
      <w:r w:rsidRPr="000A1E00">
        <w:t>.</w:t>
      </w:r>
      <w:r w:rsidRPr="000A1E00">
        <w:tab/>
      </w:r>
      <w:r w:rsidR="00423168" w:rsidRPr="00622FA2">
        <w:rPr>
          <w:lang w:val="fr-FR"/>
        </w:rPr>
        <w:t xml:space="preserve">Épaisseur minimale de la paroi des grands récipients pour vrac </w:t>
      </w:r>
      <w:r w:rsidR="007F07ED">
        <w:rPr>
          <w:lang w:val="fr-FR"/>
        </w:rPr>
        <w:br/>
      </w:r>
      <w:r w:rsidR="00423168" w:rsidRPr="00622FA2">
        <w:rPr>
          <w:lang w:val="fr-FR"/>
        </w:rPr>
        <w:t>en métal</w:t>
      </w:r>
      <w:r w:rsidRPr="000A1E00">
        <w:tab/>
      </w:r>
      <w:r w:rsidRPr="000A1E00">
        <w:tab/>
      </w:r>
      <w:r w:rsidR="00FD100B">
        <w:t>118−119</w:t>
      </w:r>
      <w:r w:rsidRPr="000A1E00">
        <w:tab/>
      </w:r>
      <w:r w:rsidR="0053098E">
        <w:t>22</w:t>
      </w:r>
    </w:p>
    <w:p w:rsidR="00C57EB7" w:rsidRDefault="00C57EB7" w:rsidP="00C57EB7">
      <w:pPr>
        <w:tabs>
          <w:tab w:val="right" w:leader="dot" w:pos="7654"/>
          <w:tab w:val="right" w:pos="8929"/>
          <w:tab w:val="right" w:pos="9638"/>
        </w:tabs>
        <w:spacing w:after="120"/>
        <w:ind w:left="1984" w:hanging="425"/>
      </w:pPr>
      <w:r>
        <w:t>8.</w:t>
      </w:r>
      <w:r>
        <w:tab/>
      </w:r>
      <w:r w:rsidR="007F07ED" w:rsidRPr="000A1E00">
        <w:rPr>
          <w:lang w:val="fr-FR"/>
        </w:rPr>
        <w:t xml:space="preserve">Inscription de la date de fabrication sur les emballages des types 1H </w:t>
      </w:r>
      <w:r w:rsidR="007F07ED">
        <w:rPr>
          <w:lang w:val="fr-FR"/>
        </w:rPr>
        <w:br/>
      </w:r>
      <w:r w:rsidR="007F07ED" w:rsidRPr="000A1E00">
        <w:rPr>
          <w:lang w:val="fr-FR"/>
        </w:rPr>
        <w:t xml:space="preserve">et 3H et sur les récipients intérieurs de type grand récipient pour </w:t>
      </w:r>
      <w:r w:rsidR="007F07ED">
        <w:rPr>
          <w:lang w:val="fr-FR"/>
        </w:rPr>
        <w:br/>
      </w:r>
      <w:r w:rsidR="007F07ED" w:rsidRPr="000A1E00">
        <w:rPr>
          <w:lang w:val="fr-FR"/>
        </w:rPr>
        <w:t>vrac (GRV) composite</w:t>
      </w:r>
      <w:r>
        <w:tab/>
      </w:r>
      <w:r>
        <w:tab/>
      </w:r>
      <w:r w:rsidR="00FD100B">
        <w:t>120</w:t>
      </w:r>
      <w:r>
        <w:tab/>
      </w:r>
      <w:r w:rsidR="0053098E">
        <w:t>22</w:t>
      </w:r>
    </w:p>
    <w:p w:rsidR="00C57EB7" w:rsidRDefault="00C57EB7" w:rsidP="00C57EB7">
      <w:pPr>
        <w:tabs>
          <w:tab w:val="right" w:leader="dot" w:pos="7654"/>
          <w:tab w:val="right" w:pos="8929"/>
          <w:tab w:val="right" w:pos="9638"/>
        </w:tabs>
        <w:spacing w:after="120"/>
        <w:ind w:left="1559" w:hanging="425"/>
      </w:pPr>
      <w:r>
        <w:t>C.</w:t>
      </w:r>
      <w:r>
        <w:tab/>
      </w:r>
      <w:r w:rsidR="002503E7" w:rsidRPr="000A1E00">
        <w:rPr>
          <w:lang w:val="fr-FR"/>
        </w:rPr>
        <w:t>Citernes mobiles</w:t>
      </w:r>
      <w:r>
        <w:tab/>
      </w:r>
      <w:r>
        <w:tab/>
      </w:r>
      <w:r w:rsidR="00FD100B">
        <w:t>121−130</w:t>
      </w:r>
      <w:r>
        <w:tab/>
      </w:r>
      <w:r w:rsidR="0053098E">
        <w:t>23</w:t>
      </w:r>
    </w:p>
    <w:p w:rsidR="00C57EB7" w:rsidRDefault="00C57EB7" w:rsidP="00C57EB7">
      <w:pPr>
        <w:tabs>
          <w:tab w:val="right" w:leader="dot" w:pos="7654"/>
          <w:tab w:val="right" w:pos="8929"/>
          <w:tab w:val="right" w:pos="9638"/>
        </w:tabs>
        <w:spacing w:after="120"/>
        <w:ind w:left="1984" w:hanging="425"/>
      </w:pPr>
      <w:r w:rsidRPr="000A1E00">
        <w:t>1.</w:t>
      </w:r>
      <w:r w:rsidRPr="000A1E00">
        <w:tab/>
      </w:r>
      <w:r w:rsidR="00AE4A05" w:rsidRPr="000A1E00">
        <w:rPr>
          <w:lang w:val="fr-FR"/>
        </w:rPr>
        <w:t xml:space="preserve">Dispositions supplémentaires applicables au transport de matières </w:t>
      </w:r>
      <w:r w:rsidR="00AE4A05">
        <w:rPr>
          <w:lang w:val="fr-FR"/>
        </w:rPr>
        <w:br/>
      </w:r>
      <w:r w:rsidR="00AE4A05" w:rsidRPr="000A1E00">
        <w:rPr>
          <w:lang w:val="fr-FR"/>
        </w:rPr>
        <w:t>de la classe 8 en citernes mobiles</w:t>
      </w:r>
      <w:r w:rsidRPr="000A1E00">
        <w:tab/>
      </w:r>
      <w:r w:rsidRPr="000A1E00">
        <w:tab/>
      </w:r>
      <w:r w:rsidR="00FD100B">
        <w:t>121−122</w:t>
      </w:r>
      <w:r w:rsidRPr="000A1E00">
        <w:tab/>
      </w:r>
      <w:r w:rsidR="0053098E">
        <w:t>23</w:t>
      </w:r>
    </w:p>
    <w:p w:rsidR="00C57EB7" w:rsidRDefault="00C57EB7" w:rsidP="00C57EB7">
      <w:pPr>
        <w:tabs>
          <w:tab w:val="right" w:leader="dot" w:pos="7654"/>
          <w:tab w:val="right" w:pos="8929"/>
          <w:tab w:val="right" w:pos="9638"/>
        </w:tabs>
        <w:spacing w:after="120"/>
        <w:ind w:left="1984" w:hanging="425"/>
      </w:pPr>
      <w:r>
        <w:t>2.</w:t>
      </w:r>
      <w:r>
        <w:tab/>
      </w:r>
      <w:r w:rsidR="00AE4A05" w:rsidRPr="000A1E00">
        <w:rPr>
          <w:lang w:val="fr-FR"/>
        </w:rPr>
        <w:t xml:space="preserve">Temps de retenue – informations contenues dans le document </w:t>
      </w:r>
      <w:r w:rsidR="00AE4A05">
        <w:rPr>
          <w:lang w:val="fr-FR"/>
        </w:rPr>
        <w:br/>
      </w:r>
      <w:r w:rsidR="00AE4A05" w:rsidRPr="000A1E00">
        <w:rPr>
          <w:lang w:val="fr-FR"/>
        </w:rPr>
        <w:t>de transport</w:t>
      </w:r>
      <w:r>
        <w:tab/>
      </w:r>
      <w:r>
        <w:tab/>
      </w:r>
      <w:r w:rsidR="00FD100B">
        <w:t>123</w:t>
      </w:r>
      <w:r>
        <w:tab/>
      </w:r>
      <w:r w:rsidR="0053098E">
        <w:t>23</w:t>
      </w:r>
    </w:p>
    <w:p w:rsidR="00C57EB7" w:rsidRDefault="00C57EB7" w:rsidP="00C57EB7">
      <w:pPr>
        <w:tabs>
          <w:tab w:val="right" w:leader="dot" w:pos="7654"/>
          <w:tab w:val="right" w:pos="8929"/>
          <w:tab w:val="right" w:pos="9638"/>
        </w:tabs>
        <w:spacing w:after="120"/>
        <w:ind w:left="1984" w:hanging="425"/>
      </w:pPr>
      <w:r>
        <w:t>3</w:t>
      </w:r>
      <w:r w:rsidRPr="000A1E00">
        <w:t>.</w:t>
      </w:r>
      <w:r w:rsidRPr="000A1E00">
        <w:tab/>
      </w:r>
      <w:r w:rsidR="00AE4A05" w:rsidRPr="000A1E00">
        <w:rPr>
          <w:lang w:val="fr-FR"/>
        </w:rPr>
        <w:t xml:space="preserve">Éclaircissements au sujet de la disposition spéciale TP19 applicable </w:t>
      </w:r>
      <w:r w:rsidR="00AE4A05">
        <w:rPr>
          <w:lang w:val="fr-FR"/>
        </w:rPr>
        <w:br/>
      </w:r>
      <w:r w:rsidR="00AE4A05" w:rsidRPr="000A1E00">
        <w:rPr>
          <w:lang w:val="fr-FR"/>
        </w:rPr>
        <w:t>au transport en citernes mobiles</w:t>
      </w:r>
      <w:r w:rsidRPr="000A1E00">
        <w:tab/>
      </w:r>
      <w:r w:rsidRPr="000A1E00">
        <w:tab/>
      </w:r>
      <w:r w:rsidR="00FD100B">
        <w:t>124</w:t>
      </w:r>
      <w:r w:rsidRPr="000A1E00">
        <w:tab/>
      </w:r>
      <w:r w:rsidR="0053098E">
        <w:t>23</w:t>
      </w:r>
    </w:p>
    <w:p w:rsidR="00C57EB7" w:rsidRDefault="00C57EB7" w:rsidP="00C57EB7">
      <w:pPr>
        <w:tabs>
          <w:tab w:val="right" w:leader="dot" w:pos="7654"/>
          <w:tab w:val="right" w:pos="8929"/>
          <w:tab w:val="right" w:pos="9638"/>
        </w:tabs>
        <w:spacing w:after="120"/>
        <w:ind w:left="1984" w:hanging="425"/>
      </w:pPr>
      <w:r>
        <w:t>4.</w:t>
      </w:r>
      <w:r>
        <w:tab/>
      </w:r>
      <w:r w:rsidR="00AE4A05" w:rsidRPr="000A1E00">
        <w:rPr>
          <w:lang w:val="fr-FR"/>
        </w:rPr>
        <w:t>Citernes mobiles pour lesquelles la date d</w:t>
      </w:r>
      <w:r w:rsidR="00AE4A05">
        <w:rPr>
          <w:lang w:val="fr-FR"/>
        </w:rPr>
        <w:t>’</w:t>
      </w:r>
      <w:r w:rsidR="00AE4A05" w:rsidRPr="000A1E00">
        <w:rPr>
          <w:lang w:val="fr-FR"/>
        </w:rPr>
        <w:t xml:space="preserve">inspection est dépassée </w:t>
      </w:r>
      <w:r w:rsidR="00AE4A05">
        <w:rPr>
          <w:lang w:val="fr-FR"/>
        </w:rPr>
        <w:br/>
      </w:r>
      <w:r w:rsidR="00AE4A05" w:rsidRPr="000A1E00">
        <w:rPr>
          <w:lang w:val="fr-FR"/>
        </w:rPr>
        <w:t xml:space="preserve">et citernes mobiles transportant des marchandises dangereuses après </w:t>
      </w:r>
      <w:r w:rsidR="00AE4A05">
        <w:rPr>
          <w:lang w:val="fr-FR"/>
        </w:rPr>
        <w:br/>
      </w:r>
      <w:r w:rsidR="00AE4A05" w:rsidRPr="000A1E00">
        <w:rPr>
          <w:lang w:val="fr-FR"/>
        </w:rPr>
        <w:t>avoir transporté des marchandises diverses</w:t>
      </w:r>
      <w:r>
        <w:tab/>
      </w:r>
      <w:r>
        <w:tab/>
      </w:r>
      <w:r w:rsidR="00FD100B">
        <w:t>125−126</w:t>
      </w:r>
      <w:r>
        <w:tab/>
      </w:r>
      <w:r w:rsidR="0053098E">
        <w:t>23</w:t>
      </w:r>
    </w:p>
    <w:p w:rsidR="00C57EB7" w:rsidRDefault="00C57EB7" w:rsidP="00C57EB7">
      <w:pPr>
        <w:tabs>
          <w:tab w:val="right" w:leader="dot" w:pos="7654"/>
          <w:tab w:val="right" w:pos="8929"/>
          <w:tab w:val="right" w:pos="9638"/>
        </w:tabs>
        <w:spacing w:after="120"/>
        <w:ind w:left="1984" w:hanging="425"/>
      </w:pPr>
      <w:r>
        <w:t>5</w:t>
      </w:r>
      <w:r w:rsidRPr="000A1E00">
        <w:t>.</w:t>
      </w:r>
      <w:r w:rsidRPr="000A1E00">
        <w:tab/>
      </w:r>
      <w:r w:rsidR="00AE4A05" w:rsidRPr="000A1E00">
        <w:rPr>
          <w:lang w:val="fr-FR"/>
        </w:rPr>
        <w:t>Calculs de la pression nominale</w:t>
      </w:r>
      <w:r w:rsidRPr="000A1E00">
        <w:tab/>
      </w:r>
      <w:r w:rsidRPr="000A1E00">
        <w:tab/>
      </w:r>
      <w:r w:rsidR="00FD100B">
        <w:t>127</w:t>
      </w:r>
      <w:r w:rsidRPr="000A1E00">
        <w:tab/>
      </w:r>
      <w:r w:rsidR="0053098E">
        <w:t>23</w:t>
      </w:r>
    </w:p>
    <w:p w:rsidR="00C57EB7" w:rsidRDefault="00C57EB7" w:rsidP="00C57EB7">
      <w:pPr>
        <w:tabs>
          <w:tab w:val="right" w:leader="dot" w:pos="7654"/>
          <w:tab w:val="right" w:pos="8929"/>
          <w:tab w:val="right" w:pos="9638"/>
        </w:tabs>
        <w:spacing w:after="120"/>
        <w:ind w:left="1984" w:hanging="425"/>
      </w:pPr>
      <w:r>
        <w:t>6.</w:t>
      </w:r>
      <w:r>
        <w:tab/>
      </w:r>
      <w:r w:rsidR="00AE4A05" w:rsidRPr="000A1E00">
        <w:rPr>
          <w:lang w:val="fr-FR"/>
        </w:rPr>
        <w:t>Proposition relative à un nouveau chapitre 6.10</w:t>
      </w:r>
      <w:r>
        <w:tab/>
      </w:r>
      <w:r>
        <w:tab/>
      </w:r>
      <w:r w:rsidR="00FD100B">
        <w:t>128−129</w:t>
      </w:r>
      <w:r>
        <w:tab/>
      </w:r>
      <w:r w:rsidR="0053098E">
        <w:t>23</w:t>
      </w:r>
    </w:p>
    <w:p w:rsidR="00C57EB7" w:rsidRDefault="00C57EB7" w:rsidP="00C57EB7">
      <w:pPr>
        <w:tabs>
          <w:tab w:val="right" w:leader="dot" w:pos="7654"/>
          <w:tab w:val="right" w:pos="8929"/>
          <w:tab w:val="right" w:pos="9638"/>
        </w:tabs>
        <w:spacing w:after="120"/>
        <w:ind w:left="1984" w:hanging="425"/>
      </w:pPr>
      <w:r>
        <w:t>7</w:t>
      </w:r>
      <w:r w:rsidRPr="000A1E00">
        <w:t>.</w:t>
      </w:r>
      <w:r w:rsidRPr="000A1E00">
        <w:tab/>
      </w:r>
      <w:r w:rsidR="00AE4A05" w:rsidRPr="000A1E00">
        <w:rPr>
          <w:lang w:val="fr-FR"/>
        </w:rPr>
        <w:t xml:space="preserve">Épaisseur minimale des réservoirs de citernes mobiles utilisées </w:t>
      </w:r>
      <w:r w:rsidR="00AE4A05">
        <w:rPr>
          <w:lang w:val="fr-FR"/>
        </w:rPr>
        <w:br/>
      </w:r>
      <w:r w:rsidR="00AE4A05" w:rsidRPr="000A1E00">
        <w:rPr>
          <w:lang w:val="fr-FR"/>
        </w:rPr>
        <w:t>pour le transport de gaz liquéfiés non réfrigérés</w:t>
      </w:r>
      <w:r w:rsidRPr="000A1E00">
        <w:tab/>
      </w:r>
      <w:r w:rsidRPr="000A1E00">
        <w:tab/>
      </w:r>
      <w:r w:rsidR="00FD100B">
        <w:t>130</w:t>
      </w:r>
      <w:r w:rsidRPr="000A1E00">
        <w:tab/>
      </w:r>
      <w:r w:rsidR="0053098E">
        <w:t>24</w:t>
      </w:r>
    </w:p>
    <w:p w:rsidR="00C57EB7" w:rsidRDefault="00C57EB7" w:rsidP="00C57EB7">
      <w:pPr>
        <w:tabs>
          <w:tab w:val="right" w:leader="dot" w:pos="7654"/>
          <w:tab w:val="right" w:pos="8929"/>
          <w:tab w:val="right" w:pos="9638"/>
        </w:tabs>
        <w:spacing w:after="120"/>
        <w:ind w:left="1559" w:hanging="425"/>
      </w:pPr>
      <w:r>
        <w:t>D.</w:t>
      </w:r>
      <w:r>
        <w:tab/>
      </w:r>
      <w:r w:rsidR="00AE4A05" w:rsidRPr="000A1E00">
        <w:rPr>
          <w:lang w:val="fr-FR"/>
        </w:rPr>
        <w:t>Autres propositions diverses</w:t>
      </w:r>
      <w:r>
        <w:tab/>
      </w:r>
      <w:r>
        <w:tab/>
      </w:r>
      <w:r w:rsidR="00FD100B">
        <w:t>131−138</w:t>
      </w:r>
      <w:r>
        <w:tab/>
      </w:r>
      <w:r w:rsidR="0053098E">
        <w:t>24</w:t>
      </w:r>
    </w:p>
    <w:p w:rsidR="00C57EB7" w:rsidRDefault="00C57EB7" w:rsidP="00C57EB7">
      <w:pPr>
        <w:tabs>
          <w:tab w:val="right" w:leader="dot" w:pos="7654"/>
          <w:tab w:val="right" w:pos="8929"/>
          <w:tab w:val="right" w:pos="9638"/>
        </w:tabs>
        <w:spacing w:after="120"/>
        <w:ind w:left="1984" w:hanging="425"/>
      </w:pPr>
      <w:r w:rsidRPr="000A1E00">
        <w:t>1.</w:t>
      </w:r>
      <w:r w:rsidRPr="000A1E00">
        <w:tab/>
      </w:r>
      <w:r w:rsidR="00AE4A05" w:rsidRPr="000A1E00">
        <w:rPr>
          <w:lang w:val="fr-FR"/>
        </w:rPr>
        <w:t>Corrections à apporter au Règlement type</w:t>
      </w:r>
      <w:r w:rsidRPr="000A1E00">
        <w:tab/>
      </w:r>
      <w:r w:rsidRPr="000A1E00">
        <w:tab/>
      </w:r>
      <w:r w:rsidR="00FD100B">
        <w:t>131</w:t>
      </w:r>
      <w:r w:rsidRPr="000A1E00">
        <w:tab/>
      </w:r>
      <w:r w:rsidR="0053098E">
        <w:t>24</w:t>
      </w:r>
    </w:p>
    <w:p w:rsidR="00C57EB7" w:rsidRDefault="00C57EB7" w:rsidP="00C57EB7">
      <w:pPr>
        <w:tabs>
          <w:tab w:val="right" w:leader="dot" w:pos="7654"/>
          <w:tab w:val="right" w:pos="8929"/>
          <w:tab w:val="right" w:pos="9638"/>
        </w:tabs>
        <w:spacing w:after="120"/>
        <w:ind w:left="1984" w:hanging="425"/>
      </w:pPr>
      <w:r>
        <w:t>2.</w:t>
      </w:r>
      <w:r>
        <w:tab/>
      </w:r>
      <w:r w:rsidR="00637BB4" w:rsidRPr="008A5958">
        <w:rPr>
          <w:lang w:val="fr-FR"/>
        </w:rPr>
        <w:t>Suppression d’instructions de transport en citernes mobiles périmées</w:t>
      </w:r>
      <w:r>
        <w:tab/>
      </w:r>
      <w:r>
        <w:tab/>
      </w:r>
      <w:r w:rsidR="00FD100B">
        <w:t>132</w:t>
      </w:r>
      <w:r>
        <w:tab/>
      </w:r>
      <w:r w:rsidR="0053098E">
        <w:t>24</w:t>
      </w:r>
    </w:p>
    <w:p w:rsidR="00C57EB7" w:rsidRDefault="00C57EB7" w:rsidP="00C57EB7">
      <w:pPr>
        <w:tabs>
          <w:tab w:val="right" w:leader="dot" w:pos="7654"/>
          <w:tab w:val="right" w:pos="8929"/>
          <w:tab w:val="right" w:pos="9638"/>
        </w:tabs>
        <w:spacing w:after="120"/>
        <w:ind w:left="1984" w:hanging="425"/>
      </w:pPr>
      <w:r>
        <w:t>3</w:t>
      </w:r>
      <w:r w:rsidRPr="000A1E00">
        <w:t>.</w:t>
      </w:r>
      <w:r w:rsidRPr="000A1E00">
        <w:tab/>
      </w:r>
      <w:r w:rsidR="00637BB4" w:rsidRPr="008A5958">
        <w:rPr>
          <w:lang w:val="fr-FR"/>
        </w:rPr>
        <w:t xml:space="preserve">Incohérences entre les versions linguistiques à l’alinéa a) </w:t>
      </w:r>
      <w:r w:rsidR="00637BB4">
        <w:rPr>
          <w:lang w:val="fr-FR"/>
        </w:rPr>
        <w:br/>
      </w:r>
      <w:r w:rsidR="00637BB4" w:rsidRPr="008A5958">
        <w:rPr>
          <w:lang w:val="fr-FR"/>
        </w:rPr>
        <w:t>du paragraphe 1.1.1.2</w:t>
      </w:r>
      <w:r w:rsidRPr="000A1E00">
        <w:tab/>
      </w:r>
      <w:r w:rsidRPr="000A1E00">
        <w:tab/>
      </w:r>
      <w:r w:rsidR="00FD100B">
        <w:t>133−134</w:t>
      </w:r>
      <w:r w:rsidRPr="000A1E00">
        <w:tab/>
      </w:r>
      <w:r w:rsidR="0053098E">
        <w:t>24</w:t>
      </w:r>
    </w:p>
    <w:p w:rsidR="00C57EB7" w:rsidRDefault="00C57EB7" w:rsidP="00C57EB7">
      <w:pPr>
        <w:tabs>
          <w:tab w:val="right" w:leader="dot" w:pos="7654"/>
          <w:tab w:val="right" w:pos="8929"/>
          <w:tab w:val="right" w:pos="9638"/>
        </w:tabs>
        <w:spacing w:after="120"/>
        <w:ind w:left="1984" w:hanging="425"/>
      </w:pPr>
      <w:r>
        <w:t>4.</w:t>
      </w:r>
      <w:r>
        <w:tab/>
      </w:r>
      <w:r w:rsidR="00637BB4" w:rsidRPr="008A5958">
        <w:rPr>
          <w:lang w:val="fr-FR"/>
        </w:rPr>
        <w:t>Utilisation des termes «</w:t>
      </w:r>
      <w:r w:rsidR="00637BB4">
        <w:rPr>
          <w:lang w:val="fr-FR"/>
        </w:rPr>
        <w:t> </w:t>
      </w:r>
      <w:r w:rsidR="00637BB4" w:rsidRPr="008A5958">
        <w:rPr>
          <w:lang w:val="fr-FR"/>
        </w:rPr>
        <w:t>conductivité</w:t>
      </w:r>
      <w:r w:rsidR="00637BB4">
        <w:rPr>
          <w:lang w:val="fr-FR"/>
        </w:rPr>
        <w:t> </w:t>
      </w:r>
      <w:r w:rsidR="00637BB4" w:rsidRPr="008A5958">
        <w:rPr>
          <w:lang w:val="fr-FR"/>
        </w:rPr>
        <w:t>» et «</w:t>
      </w:r>
      <w:r w:rsidR="00637BB4">
        <w:rPr>
          <w:lang w:val="fr-FR"/>
        </w:rPr>
        <w:t> </w:t>
      </w:r>
      <w:r w:rsidR="00637BB4" w:rsidRPr="008A5958">
        <w:rPr>
          <w:lang w:val="fr-FR"/>
        </w:rPr>
        <w:t>conductance</w:t>
      </w:r>
      <w:r w:rsidR="00637BB4">
        <w:rPr>
          <w:lang w:val="fr-FR"/>
        </w:rPr>
        <w:t> </w:t>
      </w:r>
      <w:r w:rsidR="00637BB4" w:rsidRPr="008A5958">
        <w:rPr>
          <w:lang w:val="fr-FR"/>
        </w:rPr>
        <w:t xml:space="preserve">» </w:t>
      </w:r>
      <w:r w:rsidR="00637BB4">
        <w:rPr>
          <w:lang w:val="fr-FR"/>
        </w:rPr>
        <w:br/>
      </w:r>
      <w:r w:rsidR="00637BB4" w:rsidRPr="008A5958">
        <w:rPr>
          <w:lang w:val="fr-FR"/>
        </w:rPr>
        <w:t>au chapitre 6.7</w:t>
      </w:r>
      <w:r>
        <w:tab/>
      </w:r>
      <w:r>
        <w:tab/>
      </w:r>
      <w:r w:rsidR="00FD100B">
        <w:t>135</w:t>
      </w:r>
      <w:r>
        <w:tab/>
      </w:r>
      <w:r w:rsidR="0053098E">
        <w:t>24</w:t>
      </w:r>
    </w:p>
    <w:p w:rsidR="00C57EB7" w:rsidRDefault="00C57EB7" w:rsidP="00C57EB7">
      <w:pPr>
        <w:tabs>
          <w:tab w:val="right" w:leader="dot" w:pos="7654"/>
          <w:tab w:val="right" w:pos="8929"/>
          <w:tab w:val="right" w:pos="9638"/>
        </w:tabs>
        <w:spacing w:after="120"/>
        <w:ind w:left="1984" w:hanging="425"/>
      </w:pPr>
      <w:r>
        <w:t>5</w:t>
      </w:r>
      <w:r w:rsidRPr="000A1E00">
        <w:t>.</w:t>
      </w:r>
      <w:r w:rsidRPr="000A1E00">
        <w:tab/>
      </w:r>
      <w:r w:rsidR="00637BB4" w:rsidRPr="008A5958">
        <w:rPr>
          <w:lang w:val="fr-FR"/>
        </w:rPr>
        <w:t xml:space="preserve">Harmonisation de la prescription « structurellement propre </w:t>
      </w:r>
      <w:r w:rsidR="00637BB4">
        <w:rPr>
          <w:lang w:val="fr-FR"/>
        </w:rPr>
        <w:br/>
      </w:r>
      <w:r w:rsidR="00637BB4" w:rsidRPr="008A5958">
        <w:rPr>
          <w:lang w:val="fr-FR"/>
        </w:rPr>
        <w:t>à l’emploi »</w:t>
      </w:r>
      <w:r w:rsidRPr="000A1E00">
        <w:tab/>
      </w:r>
      <w:r w:rsidRPr="000A1E00">
        <w:tab/>
      </w:r>
      <w:r w:rsidR="00FD100B">
        <w:t>136−137</w:t>
      </w:r>
      <w:r w:rsidRPr="000A1E00">
        <w:tab/>
      </w:r>
      <w:r w:rsidR="0053098E">
        <w:t>24</w:t>
      </w:r>
    </w:p>
    <w:p w:rsidR="00C57EB7" w:rsidRDefault="00C57EB7" w:rsidP="00C57EB7">
      <w:pPr>
        <w:tabs>
          <w:tab w:val="right" w:leader="dot" w:pos="7654"/>
          <w:tab w:val="right" w:pos="8929"/>
          <w:tab w:val="right" w:pos="9638"/>
        </w:tabs>
        <w:spacing w:after="120"/>
        <w:ind w:left="1984" w:hanging="425"/>
      </w:pPr>
      <w:r>
        <w:t>6.</w:t>
      </w:r>
      <w:r>
        <w:tab/>
      </w:r>
      <w:r w:rsidR="00637BB4" w:rsidRPr="008A5958">
        <w:rPr>
          <w:lang w:val="fr-FR"/>
        </w:rPr>
        <w:t>Définition du « point d’éclair »</w:t>
      </w:r>
      <w:r>
        <w:tab/>
      </w:r>
      <w:r>
        <w:tab/>
      </w:r>
      <w:r w:rsidR="00FD100B">
        <w:t>138</w:t>
      </w:r>
      <w:r>
        <w:tab/>
      </w:r>
      <w:r w:rsidR="0053098E">
        <w:t>25</w:t>
      </w:r>
    </w:p>
    <w:p w:rsidR="00C57EB7" w:rsidRDefault="00C57EB7" w:rsidP="00C57EB7">
      <w:pPr>
        <w:tabs>
          <w:tab w:val="right" w:pos="850"/>
          <w:tab w:val="right" w:leader="dot" w:pos="7654"/>
          <w:tab w:val="right" w:pos="8929"/>
          <w:tab w:val="right" w:pos="9638"/>
        </w:tabs>
        <w:spacing w:after="120"/>
        <w:ind w:left="1134" w:hanging="1134"/>
      </w:pPr>
      <w:r>
        <w:tab/>
        <w:t>IX.</w:t>
      </w:r>
      <w:r>
        <w:tab/>
      </w:r>
      <w:r w:rsidR="00637BB4" w:rsidRPr="008A5958">
        <w:rPr>
          <w:lang w:val="fr-FR"/>
        </w:rPr>
        <w:t xml:space="preserve">Harmonisation générale des règlements de transport des marchandises </w:t>
      </w:r>
      <w:r w:rsidR="00637BB4">
        <w:rPr>
          <w:lang w:val="fr-FR"/>
        </w:rPr>
        <w:br/>
      </w:r>
      <w:r w:rsidR="00637BB4" w:rsidRPr="008A5958">
        <w:rPr>
          <w:lang w:val="fr-FR"/>
        </w:rPr>
        <w:t>dangereuses avec le Règlement type (point 7 de l’ordre du jour)</w:t>
      </w:r>
      <w:r>
        <w:tab/>
      </w:r>
      <w:r>
        <w:tab/>
      </w:r>
      <w:r w:rsidR="00080411">
        <w:t>139−148</w:t>
      </w:r>
      <w:r>
        <w:tab/>
      </w:r>
      <w:r w:rsidR="0053098E">
        <w:t>25</w:t>
      </w:r>
    </w:p>
    <w:p w:rsidR="00C57EB7" w:rsidRPr="000A1E00" w:rsidRDefault="00C57EB7" w:rsidP="00C57EB7">
      <w:pPr>
        <w:tabs>
          <w:tab w:val="right" w:leader="dot" w:pos="7654"/>
          <w:tab w:val="right" w:pos="8929"/>
          <w:tab w:val="right" w:pos="9638"/>
        </w:tabs>
        <w:spacing w:after="120"/>
        <w:ind w:left="1559" w:hanging="425"/>
      </w:pPr>
      <w:r>
        <w:t>A.</w:t>
      </w:r>
      <w:r>
        <w:tab/>
      </w:r>
      <w:r w:rsidR="00637BB4" w:rsidRPr="008A5958">
        <w:rPr>
          <w:lang w:val="fr-FR"/>
        </w:rPr>
        <w:t xml:space="preserve">Proposition visant à insérer la disposition spéciale 653 de l’ADR </w:t>
      </w:r>
      <w:r w:rsidR="00637BB4" w:rsidRPr="008A5958">
        <w:rPr>
          <w:lang w:val="fr-FR"/>
        </w:rPr>
        <w:br/>
        <w:t>dans le Règlement type</w:t>
      </w:r>
      <w:r>
        <w:tab/>
      </w:r>
      <w:r>
        <w:tab/>
      </w:r>
      <w:r w:rsidR="00080411">
        <w:t>139</w:t>
      </w:r>
      <w:r>
        <w:tab/>
      </w:r>
      <w:r w:rsidR="0053098E">
        <w:t>25</w:t>
      </w:r>
    </w:p>
    <w:p w:rsidR="00C57EB7" w:rsidRDefault="00C57EB7" w:rsidP="00C57EB7">
      <w:pPr>
        <w:tabs>
          <w:tab w:val="right" w:leader="dot" w:pos="7654"/>
          <w:tab w:val="right" w:pos="8929"/>
          <w:tab w:val="right" w:pos="9638"/>
        </w:tabs>
        <w:spacing w:after="120"/>
        <w:ind w:left="1559" w:hanging="425"/>
      </w:pPr>
      <w:r>
        <w:t>B.</w:t>
      </w:r>
      <w:r>
        <w:tab/>
      </w:r>
      <w:r w:rsidR="00637BB4" w:rsidRPr="008A5958">
        <w:rPr>
          <w:lang w:val="fr-FR"/>
        </w:rPr>
        <w:t xml:space="preserve">Examen des prescriptions du Canada relatives à la formation en matière </w:t>
      </w:r>
      <w:r w:rsidR="00637BB4">
        <w:rPr>
          <w:lang w:val="fr-FR"/>
        </w:rPr>
        <w:br/>
      </w:r>
      <w:r w:rsidR="00637BB4" w:rsidRPr="008A5958">
        <w:rPr>
          <w:lang w:val="fr-FR"/>
        </w:rPr>
        <w:t>de transport de marchandises dangereuses</w:t>
      </w:r>
      <w:r>
        <w:tab/>
      </w:r>
      <w:r>
        <w:tab/>
      </w:r>
      <w:r w:rsidR="00080411">
        <w:t>140−144</w:t>
      </w:r>
      <w:r>
        <w:tab/>
      </w:r>
      <w:r w:rsidR="0053098E">
        <w:t>25</w:t>
      </w:r>
    </w:p>
    <w:p w:rsidR="00C57EB7" w:rsidRPr="000A1E00" w:rsidRDefault="00C57EB7" w:rsidP="00C57EB7">
      <w:pPr>
        <w:tabs>
          <w:tab w:val="right" w:leader="dot" w:pos="7654"/>
          <w:tab w:val="right" w:pos="8929"/>
          <w:tab w:val="right" w:pos="9638"/>
        </w:tabs>
        <w:spacing w:after="120"/>
        <w:ind w:left="1559" w:hanging="425"/>
      </w:pPr>
      <w:r>
        <w:t>C.</w:t>
      </w:r>
      <w:r>
        <w:tab/>
      </w:r>
      <w:r w:rsidR="009339BF" w:rsidRPr="008A5958">
        <w:rPr>
          <w:lang w:val="fr-FR"/>
        </w:rPr>
        <w:t>Modification du 7.1.5.4.5</w:t>
      </w:r>
      <w:r>
        <w:tab/>
      </w:r>
      <w:r>
        <w:tab/>
      </w:r>
      <w:r w:rsidR="00080411">
        <w:t>145−146</w:t>
      </w:r>
      <w:r>
        <w:tab/>
      </w:r>
      <w:r w:rsidR="0053098E">
        <w:t>26</w:t>
      </w:r>
    </w:p>
    <w:p w:rsidR="00C57EB7" w:rsidRDefault="00C57EB7" w:rsidP="00C57EB7">
      <w:pPr>
        <w:tabs>
          <w:tab w:val="right" w:leader="dot" w:pos="7654"/>
          <w:tab w:val="right" w:pos="8929"/>
          <w:tab w:val="right" w:pos="9638"/>
        </w:tabs>
        <w:spacing w:after="120"/>
        <w:ind w:left="1559" w:hanging="425"/>
      </w:pPr>
      <w:r>
        <w:t>D.</w:t>
      </w:r>
      <w:r>
        <w:tab/>
      </w:r>
      <w:r w:rsidR="009339BF" w:rsidRPr="008A5958">
        <w:rPr>
          <w:lang w:val="fr-FR"/>
        </w:rPr>
        <w:t xml:space="preserve">Proposition de constitution d’un groupe de travail informel </w:t>
      </w:r>
      <w:r w:rsidR="009339BF" w:rsidRPr="008A5958">
        <w:rPr>
          <w:lang w:val="fr-FR"/>
        </w:rPr>
        <w:br/>
        <w:t>sur les initiatives de formation axée sur les compétences</w:t>
      </w:r>
      <w:r>
        <w:tab/>
      </w:r>
      <w:r>
        <w:tab/>
      </w:r>
      <w:r w:rsidR="00080411">
        <w:t>147−148</w:t>
      </w:r>
      <w:r>
        <w:tab/>
      </w:r>
      <w:r w:rsidR="0053098E">
        <w:t>26</w:t>
      </w:r>
    </w:p>
    <w:p w:rsidR="00C57EB7" w:rsidRDefault="00C57EB7" w:rsidP="00C57EB7">
      <w:pPr>
        <w:tabs>
          <w:tab w:val="right" w:pos="850"/>
          <w:tab w:val="right" w:leader="dot" w:pos="7654"/>
          <w:tab w:val="right" w:pos="8929"/>
          <w:tab w:val="right" w:pos="9638"/>
        </w:tabs>
        <w:spacing w:after="120"/>
        <w:ind w:left="1134" w:hanging="1134"/>
      </w:pPr>
      <w:r>
        <w:tab/>
        <w:t>X.</w:t>
      </w:r>
      <w:r>
        <w:tab/>
      </w:r>
      <w:r w:rsidR="009339BF" w:rsidRPr="008A5958">
        <w:rPr>
          <w:lang w:val="fr-FR"/>
        </w:rPr>
        <w:t xml:space="preserve">Coopération avec l’Agence internationale de l’énergie atomique (point 8 </w:t>
      </w:r>
      <w:r w:rsidR="009339BF">
        <w:rPr>
          <w:lang w:val="fr-FR"/>
        </w:rPr>
        <w:br/>
      </w:r>
      <w:r w:rsidR="009339BF" w:rsidRPr="008A5958">
        <w:rPr>
          <w:lang w:val="fr-FR"/>
        </w:rPr>
        <w:t>de l’ordre du jour)</w:t>
      </w:r>
      <w:r>
        <w:tab/>
      </w:r>
      <w:r>
        <w:tab/>
      </w:r>
      <w:r w:rsidR="00080411">
        <w:t>149−153</w:t>
      </w:r>
      <w:r>
        <w:tab/>
      </w:r>
      <w:r w:rsidR="0053098E">
        <w:t>27</w:t>
      </w:r>
    </w:p>
    <w:p w:rsidR="00C57EB7" w:rsidRPr="000A1E00" w:rsidRDefault="00C57EB7" w:rsidP="00C57EB7">
      <w:pPr>
        <w:tabs>
          <w:tab w:val="right" w:leader="dot" w:pos="7654"/>
          <w:tab w:val="right" w:pos="8929"/>
          <w:tab w:val="right" w:pos="9638"/>
        </w:tabs>
        <w:spacing w:after="120"/>
        <w:ind w:left="1559" w:hanging="425"/>
      </w:pPr>
      <w:r>
        <w:t>A.</w:t>
      </w:r>
      <w:r>
        <w:tab/>
      </w:r>
      <w:r w:rsidR="009339BF" w:rsidRPr="008A5958">
        <w:rPr>
          <w:lang w:val="fr-FR"/>
        </w:rPr>
        <w:t xml:space="preserve">Harmonisation entre la circulaire INFCIRC/225/Rev.5 de l’AIEA </w:t>
      </w:r>
      <w:r w:rsidR="009339BF">
        <w:rPr>
          <w:lang w:val="fr-FR"/>
        </w:rPr>
        <w:br/>
      </w:r>
      <w:r w:rsidR="009339BF" w:rsidRPr="008A5958">
        <w:rPr>
          <w:lang w:val="fr-FR"/>
        </w:rPr>
        <w:t>et le Règlement type</w:t>
      </w:r>
      <w:r>
        <w:tab/>
      </w:r>
      <w:r>
        <w:tab/>
      </w:r>
      <w:r w:rsidR="00080411">
        <w:t>149</w:t>
      </w:r>
      <w:r>
        <w:tab/>
      </w:r>
      <w:r w:rsidR="0053098E">
        <w:t>27</w:t>
      </w:r>
    </w:p>
    <w:p w:rsidR="00C57EB7" w:rsidRDefault="00C57EB7" w:rsidP="00C57EB7">
      <w:pPr>
        <w:tabs>
          <w:tab w:val="right" w:leader="dot" w:pos="7654"/>
          <w:tab w:val="right" w:pos="8929"/>
          <w:tab w:val="right" w:pos="9638"/>
        </w:tabs>
        <w:spacing w:after="120"/>
        <w:ind w:left="1559" w:hanging="425"/>
      </w:pPr>
      <w:r>
        <w:t>B.</w:t>
      </w:r>
      <w:r>
        <w:tab/>
      </w:r>
      <w:r w:rsidR="009339BF" w:rsidRPr="008A5958">
        <w:rPr>
          <w:lang w:val="fr-FR"/>
        </w:rPr>
        <w:t xml:space="preserve">Harmonisation avec le Règlement de transport des matières radioactives </w:t>
      </w:r>
      <w:r w:rsidR="009339BF">
        <w:rPr>
          <w:lang w:val="fr-FR"/>
        </w:rPr>
        <w:br/>
      </w:r>
      <w:r w:rsidR="009339BF" w:rsidRPr="008A5958">
        <w:rPr>
          <w:lang w:val="fr-FR"/>
        </w:rPr>
        <w:t>de l’AIEA</w:t>
      </w:r>
      <w:r>
        <w:tab/>
      </w:r>
      <w:r>
        <w:tab/>
      </w:r>
      <w:r w:rsidR="00080411">
        <w:t>151−153</w:t>
      </w:r>
      <w:r>
        <w:tab/>
      </w:r>
      <w:r w:rsidR="0053098E">
        <w:t>27</w:t>
      </w:r>
    </w:p>
    <w:p w:rsidR="00C57EB7" w:rsidRDefault="00C57EB7" w:rsidP="00C57EB7">
      <w:pPr>
        <w:tabs>
          <w:tab w:val="right" w:pos="850"/>
          <w:tab w:val="right" w:leader="dot" w:pos="7654"/>
          <w:tab w:val="right" w:pos="8929"/>
          <w:tab w:val="right" w:pos="9638"/>
        </w:tabs>
        <w:spacing w:after="120"/>
        <w:ind w:left="1134" w:hanging="1134"/>
      </w:pPr>
      <w:r>
        <w:tab/>
        <w:t>XI.</w:t>
      </w:r>
      <w:r>
        <w:tab/>
      </w:r>
      <w:r w:rsidR="009339BF" w:rsidRPr="008A5958">
        <w:rPr>
          <w:lang w:val="fr-FR"/>
        </w:rPr>
        <w:t>Principes directeurs du Règlement type (point 9 de l’ordre du jour)</w:t>
      </w:r>
      <w:r>
        <w:tab/>
      </w:r>
      <w:r>
        <w:tab/>
      </w:r>
      <w:r w:rsidR="00080411">
        <w:t>154</w:t>
      </w:r>
      <w:r>
        <w:tab/>
      </w:r>
      <w:r w:rsidR="0053098E">
        <w:t>27</w:t>
      </w:r>
    </w:p>
    <w:p w:rsidR="00C57EB7" w:rsidRDefault="00C57EB7" w:rsidP="00C57EB7">
      <w:pPr>
        <w:tabs>
          <w:tab w:val="right" w:pos="850"/>
          <w:tab w:val="right" w:leader="dot" w:pos="7654"/>
          <w:tab w:val="right" w:pos="8929"/>
          <w:tab w:val="right" w:pos="9638"/>
        </w:tabs>
        <w:spacing w:after="120"/>
        <w:ind w:left="1134" w:hanging="1134"/>
      </w:pPr>
      <w:r>
        <w:tab/>
        <w:t>XII.</w:t>
      </w:r>
      <w:r>
        <w:tab/>
      </w:r>
      <w:r w:rsidR="009339BF" w:rsidRPr="008A5958">
        <w:rPr>
          <w:lang w:val="fr-FR"/>
        </w:rPr>
        <w:t xml:space="preserve">Questions relatives au Système général harmonisé de classification </w:t>
      </w:r>
      <w:r w:rsidR="009339BF">
        <w:rPr>
          <w:lang w:val="fr-FR"/>
        </w:rPr>
        <w:br/>
      </w:r>
      <w:r w:rsidR="009339BF" w:rsidRPr="008A5958">
        <w:rPr>
          <w:lang w:val="fr-FR"/>
        </w:rPr>
        <w:t>et d’étiquetage des produits chimiques (SGH) (point 10 de l’ordre du jour)</w:t>
      </w:r>
      <w:r>
        <w:tab/>
      </w:r>
      <w:r>
        <w:tab/>
      </w:r>
      <w:r w:rsidR="00080411">
        <w:t>155−157</w:t>
      </w:r>
      <w:r>
        <w:tab/>
      </w:r>
      <w:r w:rsidR="0053098E">
        <w:t>28</w:t>
      </w:r>
    </w:p>
    <w:p w:rsidR="00C57EB7" w:rsidRPr="000A1E00" w:rsidRDefault="00C57EB7" w:rsidP="00C57EB7">
      <w:pPr>
        <w:tabs>
          <w:tab w:val="right" w:leader="dot" w:pos="7654"/>
          <w:tab w:val="right" w:pos="8929"/>
          <w:tab w:val="right" w:pos="9638"/>
        </w:tabs>
        <w:spacing w:after="120"/>
        <w:ind w:left="1559" w:hanging="425"/>
      </w:pPr>
      <w:r>
        <w:t>A.</w:t>
      </w:r>
      <w:r>
        <w:tab/>
      </w:r>
      <w:r w:rsidR="009339BF" w:rsidRPr="008A5958">
        <w:rPr>
          <w:lang w:val="fr-FR"/>
        </w:rPr>
        <w:t>Critères relatifs à l’hydroréactivité</w:t>
      </w:r>
      <w:r>
        <w:tab/>
      </w:r>
      <w:r>
        <w:tab/>
      </w:r>
      <w:r w:rsidR="00080411">
        <w:t>155</w:t>
      </w:r>
      <w:r>
        <w:tab/>
      </w:r>
      <w:r w:rsidR="0053098E">
        <w:t>28</w:t>
      </w:r>
    </w:p>
    <w:p w:rsidR="00C57EB7" w:rsidRDefault="00C57EB7" w:rsidP="00C57EB7">
      <w:pPr>
        <w:tabs>
          <w:tab w:val="right" w:leader="dot" w:pos="7654"/>
          <w:tab w:val="right" w:pos="8929"/>
          <w:tab w:val="right" w:pos="9638"/>
        </w:tabs>
        <w:spacing w:after="120"/>
        <w:ind w:left="1559" w:hanging="425"/>
      </w:pPr>
      <w:r>
        <w:t>B.</w:t>
      </w:r>
      <w:r>
        <w:tab/>
      </w:r>
      <w:r w:rsidR="009339BF" w:rsidRPr="008A5958">
        <w:rPr>
          <w:lang w:val="fr-FR"/>
        </w:rPr>
        <w:t>Épreuves relatives aux matières comburantes</w:t>
      </w:r>
      <w:r>
        <w:tab/>
      </w:r>
      <w:r>
        <w:tab/>
      </w:r>
      <w:r w:rsidR="00080411">
        <w:t>156−159</w:t>
      </w:r>
      <w:r>
        <w:tab/>
      </w:r>
      <w:r w:rsidR="0053098E">
        <w:t>28</w:t>
      </w:r>
    </w:p>
    <w:p w:rsidR="00C57EB7" w:rsidRPr="000A1E00" w:rsidRDefault="00C57EB7" w:rsidP="00C57EB7">
      <w:pPr>
        <w:tabs>
          <w:tab w:val="right" w:leader="dot" w:pos="7654"/>
          <w:tab w:val="right" w:pos="8929"/>
          <w:tab w:val="right" w:pos="9638"/>
        </w:tabs>
        <w:spacing w:after="120"/>
        <w:ind w:left="1559" w:hanging="425"/>
      </w:pPr>
      <w:r>
        <w:t>C.</w:t>
      </w:r>
      <w:r>
        <w:tab/>
      </w:r>
      <w:r w:rsidR="009339BF" w:rsidRPr="008A5958">
        <w:rPr>
          <w:lang w:val="fr-FR"/>
        </w:rPr>
        <w:t>Mise à jour des références aux directives de l’OCDE</w:t>
      </w:r>
      <w:r>
        <w:tab/>
      </w:r>
      <w:r>
        <w:tab/>
      </w:r>
      <w:r w:rsidR="00080411">
        <w:t>160</w:t>
      </w:r>
      <w:r>
        <w:tab/>
      </w:r>
      <w:r w:rsidR="0053098E">
        <w:t>28</w:t>
      </w:r>
    </w:p>
    <w:p w:rsidR="00C57EB7" w:rsidRDefault="00C57EB7" w:rsidP="00C57EB7">
      <w:pPr>
        <w:tabs>
          <w:tab w:val="right" w:leader="dot" w:pos="7654"/>
          <w:tab w:val="right" w:pos="8929"/>
          <w:tab w:val="right" w:pos="9638"/>
        </w:tabs>
        <w:spacing w:after="120"/>
        <w:ind w:left="1559" w:hanging="425"/>
      </w:pPr>
      <w:r>
        <w:t>D.</w:t>
      </w:r>
      <w:r>
        <w:tab/>
      </w:r>
      <w:r w:rsidR="009339BF" w:rsidRPr="008A5958">
        <w:rPr>
          <w:lang w:val="fr-FR"/>
        </w:rPr>
        <w:t>Utilisation du Manuel d’épreuves et de critères dans le contexte du SGH</w:t>
      </w:r>
      <w:r>
        <w:tab/>
      </w:r>
      <w:r>
        <w:tab/>
      </w:r>
      <w:r w:rsidR="00080411">
        <w:t>161</w:t>
      </w:r>
      <w:r>
        <w:tab/>
      </w:r>
      <w:r w:rsidR="0053098E">
        <w:t>28</w:t>
      </w:r>
    </w:p>
    <w:p w:rsidR="00C57EB7" w:rsidRPr="000A1E00" w:rsidRDefault="00C57EB7" w:rsidP="00C57EB7">
      <w:pPr>
        <w:tabs>
          <w:tab w:val="right" w:leader="dot" w:pos="7654"/>
          <w:tab w:val="right" w:pos="8929"/>
          <w:tab w:val="right" w:pos="9638"/>
        </w:tabs>
        <w:spacing w:after="120"/>
        <w:ind w:left="1559" w:hanging="425"/>
      </w:pPr>
      <w:r>
        <w:t>E.</w:t>
      </w:r>
      <w:r>
        <w:tab/>
      </w:r>
      <w:r w:rsidR="009339BF" w:rsidRPr="008A5958">
        <w:rPr>
          <w:lang w:val="fr-FR"/>
        </w:rPr>
        <w:t>Travaux à mener conjointement avec le Sous-Comité SGH</w:t>
      </w:r>
      <w:r>
        <w:tab/>
      </w:r>
      <w:r>
        <w:tab/>
      </w:r>
      <w:r w:rsidR="00080411">
        <w:t>162−176</w:t>
      </w:r>
      <w:r>
        <w:tab/>
      </w:r>
      <w:r w:rsidR="0053098E">
        <w:t>29</w:t>
      </w:r>
    </w:p>
    <w:p w:rsidR="00C57EB7" w:rsidRDefault="00C57EB7" w:rsidP="00C57EB7">
      <w:pPr>
        <w:tabs>
          <w:tab w:val="right" w:leader="dot" w:pos="7654"/>
          <w:tab w:val="right" w:pos="8929"/>
          <w:tab w:val="right" w:pos="9638"/>
        </w:tabs>
        <w:spacing w:after="120"/>
        <w:ind w:left="1984" w:hanging="425"/>
      </w:pPr>
      <w:r w:rsidRPr="000A1E00">
        <w:t>1.</w:t>
      </w:r>
      <w:r w:rsidRPr="000A1E00">
        <w:tab/>
      </w:r>
      <w:r w:rsidR="009339BF" w:rsidRPr="008A5958">
        <w:rPr>
          <w:lang w:val="fr-FR"/>
        </w:rPr>
        <w:t>Révision du chapitre 2.1</w:t>
      </w:r>
      <w:r w:rsidRPr="000A1E00">
        <w:tab/>
      </w:r>
      <w:r w:rsidRPr="000A1E00">
        <w:tab/>
      </w:r>
      <w:r w:rsidR="00080411">
        <w:t>163−165</w:t>
      </w:r>
      <w:r w:rsidRPr="000A1E00">
        <w:tab/>
      </w:r>
      <w:r w:rsidR="0053098E">
        <w:t>29</w:t>
      </w:r>
    </w:p>
    <w:p w:rsidR="00C57EB7" w:rsidRDefault="00C57EB7" w:rsidP="00C57EB7">
      <w:pPr>
        <w:tabs>
          <w:tab w:val="right" w:leader="dot" w:pos="7654"/>
          <w:tab w:val="right" w:pos="8929"/>
          <w:tab w:val="right" w:pos="9638"/>
        </w:tabs>
        <w:spacing w:after="120"/>
        <w:ind w:left="1984" w:hanging="425"/>
      </w:pPr>
      <w:r>
        <w:t>2.</w:t>
      </w:r>
      <w:r>
        <w:tab/>
      </w:r>
      <w:r w:rsidR="009339BF" w:rsidRPr="008A5958">
        <w:rPr>
          <w:lang w:val="fr-FR"/>
        </w:rPr>
        <w:t>Mise à jour des références à la norme ISO 10156</w:t>
      </w:r>
      <w:r>
        <w:tab/>
      </w:r>
      <w:r>
        <w:tab/>
      </w:r>
      <w:r w:rsidR="00080411">
        <w:t>166</w:t>
      </w:r>
      <w:r>
        <w:tab/>
      </w:r>
      <w:r w:rsidR="0053098E">
        <w:t>29</w:t>
      </w:r>
    </w:p>
    <w:p w:rsidR="00C57EB7" w:rsidRDefault="00C57EB7" w:rsidP="00C57EB7">
      <w:pPr>
        <w:tabs>
          <w:tab w:val="right" w:leader="dot" w:pos="7654"/>
          <w:tab w:val="right" w:pos="8929"/>
          <w:tab w:val="right" w:pos="9638"/>
        </w:tabs>
        <w:spacing w:after="120"/>
        <w:ind w:left="1984" w:hanging="425"/>
      </w:pPr>
      <w:r>
        <w:t>3</w:t>
      </w:r>
      <w:r w:rsidRPr="000A1E00">
        <w:t>.</w:t>
      </w:r>
      <w:r w:rsidRPr="000A1E00">
        <w:tab/>
      </w:r>
      <w:r w:rsidR="009339BF" w:rsidRPr="008A5958">
        <w:rPr>
          <w:lang w:val="fr-FR"/>
        </w:rPr>
        <w:t>Mise à jour des références aux directives de l’OCDE</w:t>
      </w:r>
      <w:r w:rsidRPr="000A1E00">
        <w:tab/>
      </w:r>
      <w:r w:rsidRPr="000A1E00">
        <w:tab/>
      </w:r>
      <w:r w:rsidR="00080411">
        <w:t>167</w:t>
      </w:r>
      <w:r w:rsidRPr="000A1E00">
        <w:tab/>
      </w:r>
      <w:r w:rsidR="0053098E">
        <w:t>29</w:t>
      </w:r>
    </w:p>
    <w:p w:rsidR="00C57EB7" w:rsidRDefault="00C57EB7" w:rsidP="00C57EB7">
      <w:pPr>
        <w:tabs>
          <w:tab w:val="right" w:leader="dot" w:pos="7654"/>
          <w:tab w:val="right" w:pos="8929"/>
          <w:tab w:val="right" w:pos="9638"/>
        </w:tabs>
        <w:spacing w:after="120"/>
        <w:ind w:left="1984" w:hanging="425"/>
      </w:pPr>
      <w:r>
        <w:t>4.</w:t>
      </w:r>
      <w:r>
        <w:tab/>
      </w:r>
      <w:r w:rsidR="009339BF" w:rsidRPr="008A5958">
        <w:rPr>
          <w:lang w:val="fr-FR"/>
        </w:rPr>
        <w:t>Classement des aérosols et des produits chimiques sous pression</w:t>
      </w:r>
      <w:r>
        <w:tab/>
      </w:r>
      <w:r>
        <w:tab/>
      </w:r>
      <w:r w:rsidR="00080411">
        <w:t>168−172</w:t>
      </w:r>
      <w:r>
        <w:tab/>
      </w:r>
      <w:r w:rsidR="0053098E">
        <w:t>30</w:t>
      </w:r>
    </w:p>
    <w:p w:rsidR="00C57EB7" w:rsidRDefault="00C57EB7" w:rsidP="00C57EB7">
      <w:pPr>
        <w:tabs>
          <w:tab w:val="right" w:leader="dot" w:pos="7654"/>
          <w:tab w:val="right" w:pos="8929"/>
          <w:tab w:val="right" w:pos="9638"/>
        </w:tabs>
        <w:spacing w:after="120"/>
        <w:ind w:left="1984" w:hanging="425"/>
      </w:pPr>
      <w:r>
        <w:t>5</w:t>
      </w:r>
      <w:r w:rsidRPr="000A1E00">
        <w:t>.</w:t>
      </w:r>
      <w:r w:rsidRPr="000A1E00">
        <w:tab/>
      </w:r>
      <w:r w:rsidR="009339BF" w:rsidRPr="008A5958">
        <w:rPr>
          <w:lang w:val="fr-FR"/>
        </w:rPr>
        <w:t>Classement des dangers physiques selon le SGH</w:t>
      </w:r>
      <w:r w:rsidRPr="000A1E00">
        <w:tab/>
      </w:r>
      <w:r w:rsidRPr="000A1E00">
        <w:tab/>
      </w:r>
      <w:r w:rsidR="00080411">
        <w:t>173−175</w:t>
      </w:r>
      <w:r w:rsidR="00080411">
        <w:tab/>
      </w:r>
      <w:r w:rsidR="0053098E">
        <w:t>30</w:t>
      </w:r>
    </w:p>
    <w:p w:rsidR="00C57EB7" w:rsidRDefault="00C57EB7" w:rsidP="00C57EB7">
      <w:pPr>
        <w:tabs>
          <w:tab w:val="right" w:leader="dot" w:pos="7654"/>
          <w:tab w:val="right" w:pos="8929"/>
          <w:tab w:val="right" w:pos="9638"/>
        </w:tabs>
        <w:spacing w:after="120"/>
        <w:ind w:left="1984" w:hanging="425"/>
      </w:pPr>
      <w:r>
        <w:t>6.</w:t>
      </w:r>
      <w:r>
        <w:tab/>
      </w:r>
      <w:r w:rsidR="009339BF" w:rsidRPr="008A5958">
        <w:rPr>
          <w:lang w:val="fr-FR"/>
        </w:rPr>
        <w:t xml:space="preserve">Utilisation du Manuel d’épreuves et de critères dans le contexte </w:t>
      </w:r>
      <w:r w:rsidR="009339BF">
        <w:rPr>
          <w:lang w:val="fr-FR"/>
        </w:rPr>
        <w:br/>
      </w:r>
      <w:r w:rsidR="009339BF" w:rsidRPr="008A5958">
        <w:rPr>
          <w:lang w:val="fr-FR"/>
        </w:rPr>
        <w:t>du SGH</w:t>
      </w:r>
      <w:r>
        <w:tab/>
      </w:r>
      <w:r>
        <w:tab/>
      </w:r>
      <w:r w:rsidR="00080411">
        <w:t>176</w:t>
      </w:r>
      <w:r>
        <w:tab/>
      </w:r>
      <w:r w:rsidR="0053098E">
        <w:t>31</w:t>
      </w:r>
    </w:p>
    <w:p w:rsidR="00C57EB7" w:rsidRPr="000A1E00" w:rsidRDefault="00C57EB7" w:rsidP="00C57EB7">
      <w:pPr>
        <w:tabs>
          <w:tab w:val="right" w:leader="dot" w:pos="7654"/>
          <w:tab w:val="right" w:pos="8929"/>
          <w:tab w:val="right" w:pos="9638"/>
        </w:tabs>
        <w:spacing w:after="120"/>
        <w:ind w:left="1559" w:hanging="425"/>
      </w:pPr>
      <w:r>
        <w:t>F.</w:t>
      </w:r>
      <w:r>
        <w:tab/>
      </w:r>
      <w:r w:rsidR="009339BF" w:rsidRPr="009339BF">
        <w:rPr>
          <w:lang w:val="fr-FR"/>
        </w:rPr>
        <w:t>Divers</w:t>
      </w:r>
      <w:r>
        <w:tab/>
      </w:r>
      <w:r>
        <w:tab/>
      </w:r>
      <w:r w:rsidR="00080411">
        <w:t>177</w:t>
      </w:r>
      <w:r>
        <w:tab/>
      </w:r>
      <w:r w:rsidR="0053098E">
        <w:t>31</w:t>
      </w:r>
    </w:p>
    <w:p w:rsidR="00C57EB7" w:rsidRDefault="00C57EB7" w:rsidP="00C57EB7">
      <w:pPr>
        <w:tabs>
          <w:tab w:val="right" w:pos="850"/>
          <w:tab w:val="right" w:leader="dot" w:pos="7654"/>
          <w:tab w:val="right" w:pos="8929"/>
          <w:tab w:val="right" w:pos="9638"/>
        </w:tabs>
        <w:spacing w:after="120"/>
        <w:ind w:left="1134" w:hanging="1134"/>
      </w:pPr>
      <w:r>
        <w:tab/>
        <w:t>XIII.</w:t>
      </w:r>
      <w:r>
        <w:tab/>
      </w:r>
      <w:r w:rsidR="009339BF" w:rsidRPr="009339BF">
        <w:rPr>
          <w:lang w:val="fr-FR"/>
        </w:rPr>
        <w:t>Questions diverses (point 11 de l’ordre du jour)</w:t>
      </w:r>
      <w:r>
        <w:tab/>
      </w:r>
      <w:r>
        <w:tab/>
      </w:r>
      <w:r w:rsidR="00080411">
        <w:t>178−185</w:t>
      </w:r>
      <w:r>
        <w:tab/>
      </w:r>
      <w:r w:rsidR="0053098E">
        <w:t>31</w:t>
      </w:r>
    </w:p>
    <w:p w:rsidR="00C57EB7" w:rsidRPr="000A1E00" w:rsidRDefault="00C57EB7" w:rsidP="00C57EB7">
      <w:pPr>
        <w:tabs>
          <w:tab w:val="right" w:leader="dot" w:pos="7654"/>
          <w:tab w:val="right" w:pos="8929"/>
          <w:tab w:val="right" w:pos="9638"/>
        </w:tabs>
        <w:spacing w:after="120"/>
        <w:ind w:left="1559" w:hanging="425"/>
      </w:pPr>
      <w:r>
        <w:t>A.</w:t>
      </w:r>
      <w:r>
        <w:tab/>
      </w:r>
      <w:r w:rsidR="009339BF" w:rsidRPr="009339BF">
        <w:rPr>
          <w:lang w:val="fr-FR"/>
        </w:rPr>
        <w:t xml:space="preserve">Résultats de la quatre-vingt-dix-neuvième session du Comité </w:t>
      </w:r>
      <w:r w:rsidR="009339BF">
        <w:rPr>
          <w:lang w:val="fr-FR"/>
        </w:rPr>
        <w:br/>
      </w:r>
      <w:r w:rsidR="009339BF" w:rsidRPr="009339BF">
        <w:rPr>
          <w:lang w:val="fr-FR"/>
        </w:rPr>
        <w:t>de la sécurité maritime de l’OMI</w:t>
      </w:r>
      <w:r>
        <w:tab/>
      </w:r>
      <w:r>
        <w:tab/>
      </w:r>
      <w:r w:rsidR="00080411">
        <w:t>178−179</w:t>
      </w:r>
      <w:r>
        <w:tab/>
      </w:r>
      <w:r w:rsidR="0053098E">
        <w:t>31</w:t>
      </w:r>
    </w:p>
    <w:p w:rsidR="00C57EB7" w:rsidRDefault="00C57EB7" w:rsidP="00C57EB7">
      <w:pPr>
        <w:tabs>
          <w:tab w:val="right" w:leader="dot" w:pos="7654"/>
          <w:tab w:val="right" w:pos="8929"/>
          <w:tab w:val="right" w:pos="9638"/>
        </w:tabs>
        <w:spacing w:after="120"/>
        <w:ind w:left="1559" w:hanging="425"/>
      </w:pPr>
      <w:r>
        <w:t>B.</w:t>
      </w:r>
      <w:r>
        <w:tab/>
      </w:r>
      <w:r w:rsidR="009339BF" w:rsidRPr="009339BF">
        <w:rPr>
          <w:lang w:val="fr-FR"/>
        </w:rPr>
        <w:t>Mise à disposition électronique des modèles d’étiquettes et marques</w:t>
      </w:r>
      <w:r>
        <w:tab/>
      </w:r>
      <w:r>
        <w:tab/>
      </w:r>
      <w:r w:rsidR="00080411">
        <w:t>180−181</w:t>
      </w:r>
      <w:r>
        <w:tab/>
      </w:r>
      <w:r w:rsidR="0053098E">
        <w:t>32</w:t>
      </w:r>
    </w:p>
    <w:p w:rsidR="00C57EB7" w:rsidRPr="000A1E00" w:rsidRDefault="00C57EB7" w:rsidP="00C57EB7">
      <w:pPr>
        <w:tabs>
          <w:tab w:val="right" w:leader="dot" w:pos="7654"/>
          <w:tab w:val="right" w:pos="8929"/>
          <w:tab w:val="right" w:pos="9638"/>
        </w:tabs>
        <w:spacing w:after="120"/>
        <w:ind w:left="1559" w:hanging="425"/>
      </w:pPr>
      <w:r>
        <w:t>C.</w:t>
      </w:r>
      <w:r>
        <w:tab/>
      </w:r>
      <w:r w:rsidR="009339BF" w:rsidRPr="009339BF">
        <w:rPr>
          <w:lang w:val="fr-FR"/>
        </w:rPr>
        <w:t>Corrections à apporter à la version française du Règlement type</w:t>
      </w:r>
      <w:r>
        <w:tab/>
      </w:r>
      <w:r>
        <w:tab/>
      </w:r>
      <w:r w:rsidR="00080411">
        <w:t>182</w:t>
      </w:r>
      <w:r>
        <w:tab/>
      </w:r>
      <w:r w:rsidR="0053098E">
        <w:t>32</w:t>
      </w:r>
    </w:p>
    <w:p w:rsidR="00C57EB7" w:rsidRDefault="00C57EB7" w:rsidP="00C57EB7">
      <w:pPr>
        <w:tabs>
          <w:tab w:val="right" w:leader="dot" w:pos="7654"/>
          <w:tab w:val="right" w:pos="8929"/>
          <w:tab w:val="right" w:pos="9638"/>
        </w:tabs>
        <w:spacing w:after="120"/>
        <w:ind w:left="1559" w:hanging="425"/>
      </w:pPr>
      <w:r>
        <w:t>D.</w:t>
      </w:r>
      <w:r>
        <w:tab/>
      </w:r>
      <w:r w:rsidR="009339BF" w:rsidRPr="009339BF">
        <w:rPr>
          <w:lang w:val="fr-FR"/>
        </w:rPr>
        <w:t>Incohérences entre les différentes versions linguistiques du 5.4.1.5.1</w:t>
      </w:r>
      <w:r>
        <w:tab/>
      </w:r>
      <w:r>
        <w:tab/>
      </w:r>
      <w:r w:rsidR="00080411">
        <w:t>183</w:t>
      </w:r>
      <w:r>
        <w:tab/>
      </w:r>
      <w:r w:rsidR="0053098E">
        <w:t>32</w:t>
      </w:r>
    </w:p>
    <w:p w:rsidR="00C57EB7" w:rsidRPr="000A1E00" w:rsidRDefault="00C57EB7" w:rsidP="00C57EB7">
      <w:pPr>
        <w:tabs>
          <w:tab w:val="right" w:leader="dot" w:pos="7654"/>
          <w:tab w:val="right" w:pos="8929"/>
          <w:tab w:val="right" w:pos="9638"/>
        </w:tabs>
        <w:spacing w:after="120"/>
        <w:ind w:left="1559" w:hanging="425"/>
      </w:pPr>
      <w:r>
        <w:t>E.</w:t>
      </w:r>
      <w:r>
        <w:tab/>
      </w:r>
      <w:r w:rsidR="009339BF" w:rsidRPr="009339BF">
        <w:rPr>
          <w:lang w:val="fr-FR"/>
        </w:rPr>
        <w:t>Champ d’application du 1.1.1.2</w:t>
      </w:r>
      <w:r>
        <w:tab/>
      </w:r>
      <w:r>
        <w:tab/>
      </w:r>
      <w:r w:rsidR="00080411">
        <w:t>184−185</w:t>
      </w:r>
      <w:r>
        <w:tab/>
      </w:r>
      <w:r w:rsidR="0053098E">
        <w:t>32</w:t>
      </w:r>
    </w:p>
    <w:p w:rsidR="00C57EB7" w:rsidRDefault="00C57EB7" w:rsidP="00C57EB7">
      <w:pPr>
        <w:tabs>
          <w:tab w:val="right" w:pos="850"/>
          <w:tab w:val="right" w:leader="dot" w:pos="7654"/>
          <w:tab w:val="right" w:pos="8929"/>
          <w:tab w:val="right" w:pos="9638"/>
        </w:tabs>
        <w:spacing w:after="120"/>
        <w:ind w:left="1134" w:hanging="1134"/>
      </w:pPr>
      <w:r>
        <w:tab/>
        <w:t>XIV.</w:t>
      </w:r>
      <w:r>
        <w:tab/>
      </w:r>
      <w:r w:rsidR="009339BF" w:rsidRPr="009339BF">
        <w:rPr>
          <w:lang w:val="fr-FR"/>
        </w:rPr>
        <w:t>Adoption du rapport (point 12 de l’ordre du jour)</w:t>
      </w:r>
      <w:r>
        <w:tab/>
      </w:r>
      <w:r>
        <w:tab/>
      </w:r>
      <w:r w:rsidR="00080411">
        <w:t>186</w:t>
      </w:r>
      <w:r>
        <w:tab/>
      </w:r>
      <w:r w:rsidR="0053098E">
        <w:t>33</w:t>
      </w:r>
    </w:p>
    <w:p w:rsidR="005D4C44" w:rsidRPr="000A1E00" w:rsidRDefault="005D4C44" w:rsidP="005D4C44">
      <w:pPr>
        <w:tabs>
          <w:tab w:val="right" w:pos="850"/>
        </w:tabs>
        <w:spacing w:after="120"/>
      </w:pPr>
      <w:r w:rsidRPr="000A1E00">
        <w:tab/>
        <w:t>Annexes</w:t>
      </w:r>
    </w:p>
    <w:p w:rsidR="005D4C44" w:rsidRDefault="005D4C44" w:rsidP="005D4C44">
      <w:pPr>
        <w:tabs>
          <w:tab w:val="right" w:pos="850"/>
          <w:tab w:val="right" w:leader="dot" w:pos="8929"/>
          <w:tab w:val="right" w:pos="9638"/>
        </w:tabs>
        <w:spacing w:after="120"/>
        <w:ind w:left="1134" w:hanging="1134"/>
      </w:pPr>
      <w:r w:rsidRPr="000A1E00">
        <w:tab/>
        <w:t>I.</w:t>
      </w:r>
      <w:r w:rsidRPr="000A1E00">
        <w:tab/>
      </w:r>
      <w:r w:rsidR="009339BF" w:rsidRPr="009339BF">
        <w:rPr>
          <w:lang w:val="fr-FR"/>
        </w:rPr>
        <w:t xml:space="preserve">Projet d’amendements à la vingtième édition révisée des Recommandations relatives </w:t>
      </w:r>
      <w:r w:rsidR="009339BF">
        <w:rPr>
          <w:lang w:val="fr-FR"/>
        </w:rPr>
        <w:br/>
      </w:r>
      <w:r w:rsidR="009339BF" w:rsidRPr="009339BF">
        <w:rPr>
          <w:lang w:val="fr-FR"/>
        </w:rPr>
        <w:t>au transport des marchandises dangereuses, Règlement type (ST/SG/AC.10/1/Rev.20)</w:t>
      </w:r>
      <w:r w:rsidR="00D23349" w:rsidRPr="0081711B">
        <w:rPr>
          <w:rStyle w:val="FootnoteReference"/>
          <w:sz w:val="20"/>
          <w:vertAlign w:val="baseline"/>
        </w:rPr>
        <w:footnoteReference w:customMarkFollows="1" w:id="2"/>
        <w:t>*</w:t>
      </w:r>
      <w:r w:rsidRPr="000A1E00">
        <w:tab/>
      </w:r>
      <w:r w:rsidRPr="000A1E00">
        <w:tab/>
      </w:r>
      <w:r w:rsidR="00AB3EFE">
        <w:t>34</w:t>
      </w:r>
    </w:p>
    <w:p w:rsidR="009339BF" w:rsidRDefault="009339BF" w:rsidP="005D4C44">
      <w:pPr>
        <w:tabs>
          <w:tab w:val="right" w:pos="850"/>
          <w:tab w:val="right" w:leader="dot" w:pos="8929"/>
          <w:tab w:val="right" w:pos="9638"/>
        </w:tabs>
        <w:spacing w:after="120"/>
        <w:ind w:left="1134" w:hanging="1134"/>
      </w:pPr>
      <w:r>
        <w:tab/>
        <w:t>II.</w:t>
      </w:r>
      <w:r>
        <w:tab/>
      </w:r>
      <w:r w:rsidRPr="009339BF">
        <w:rPr>
          <w:lang w:val="fr-FR"/>
        </w:rPr>
        <w:t xml:space="preserve">Projet d’amendements à la sixième édition révisée des Recommandations relatives </w:t>
      </w:r>
      <w:r w:rsidR="0081711B">
        <w:rPr>
          <w:lang w:val="fr-FR"/>
        </w:rPr>
        <w:br/>
      </w:r>
      <w:r w:rsidRPr="009339BF">
        <w:rPr>
          <w:lang w:val="fr-FR"/>
        </w:rPr>
        <w:t xml:space="preserve">au transport des marchandises dangereuses, Manuel d’épreuves et de critères </w:t>
      </w:r>
      <w:r w:rsidR="0081711B">
        <w:rPr>
          <w:lang w:val="fr-FR"/>
        </w:rPr>
        <w:br/>
      </w:r>
      <w:r w:rsidRPr="009339BF">
        <w:rPr>
          <w:lang w:val="fr-FR"/>
        </w:rPr>
        <w:t>ST/SG/AC.10/11/Rev.6) (tel que modifié par ST/SG/AC.10/11/Rev.6/Amend.1)</w:t>
      </w:r>
      <w:r w:rsidR="00D23349">
        <w:rPr>
          <w:lang w:val="fr-FR"/>
        </w:rPr>
        <w:t>*</w:t>
      </w:r>
      <w:r>
        <w:tab/>
      </w:r>
      <w:r>
        <w:tab/>
      </w:r>
      <w:r w:rsidR="00AB3EFE">
        <w:t>34</w:t>
      </w:r>
    </w:p>
    <w:p w:rsidR="009339BF" w:rsidRPr="000A1E00" w:rsidRDefault="009339BF" w:rsidP="005D4C44">
      <w:pPr>
        <w:tabs>
          <w:tab w:val="right" w:pos="850"/>
          <w:tab w:val="right" w:leader="dot" w:pos="8929"/>
          <w:tab w:val="right" w:pos="9638"/>
        </w:tabs>
        <w:spacing w:after="120"/>
        <w:ind w:left="1134" w:hanging="1134"/>
      </w:pPr>
      <w:r>
        <w:tab/>
        <w:t>III.</w:t>
      </w:r>
      <w:r>
        <w:tab/>
      </w:r>
      <w:r w:rsidR="0081711B" w:rsidRPr="000A1E00">
        <w:rPr>
          <w:lang w:val="fr-FR"/>
        </w:rPr>
        <w:t xml:space="preserve">Corrections à la vingtième édition révisée des Recommandations relatives au transport </w:t>
      </w:r>
      <w:r w:rsidR="0081711B">
        <w:rPr>
          <w:lang w:val="fr-FR"/>
        </w:rPr>
        <w:br/>
      </w:r>
      <w:r w:rsidR="0081711B" w:rsidRPr="000A1E00">
        <w:rPr>
          <w:lang w:val="fr-FR"/>
        </w:rPr>
        <w:t>des marchandises dangereuses, Règlement type (ST/SG/AC.10/1/Rev.20)</w:t>
      </w:r>
      <w:r w:rsidR="00D23349">
        <w:rPr>
          <w:lang w:val="fr-FR"/>
        </w:rPr>
        <w:t>*</w:t>
      </w:r>
      <w:r>
        <w:tab/>
      </w:r>
      <w:r>
        <w:tab/>
      </w:r>
      <w:r w:rsidR="00AB3EFE">
        <w:t>34</w:t>
      </w:r>
    </w:p>
    <w:p w:rsidR="00286BDC" w:rsidRPr="000A1E00" w:rsidRDefault="00286BDC" w:rsidP="005D4C44">
      <w:pPr>
        <w:pStyle w:val="HChG"/>
        <w:rPr>
          <w:lang w:val="fr-FR"/>
        </w:rPr>
      </w:pPr>
      <w:r w:rsidRPr="000A1E00">
        <w:br w:type="page"/>
      </w:r>
      <w:r w:rsidRPr="000A1E00">
        <w:tab/>
      </w:r>
      <w:r w:rsidRPr="000A1E00">
        <w:rPr>
          <w:lang w:val="fr-FR"/>
        </w:rPr>
        <w:t>I.</w:t>
      </w:r>
      <w:r w:rsidRPr="000A1E00">
        <w:rPr>
          <w:lang w:val="fr-FR"/>
        </w:rPr>
        <w:tab/>
        <w:t>Participation</w:t>
      </w:r>
    </w:p>
    <w:p w:rsidR="00286BDC" w:rsidRPr="000A1E00" w:rsidRDefault="00286BDC" w:rsidP="005D4C44">
      <w:pPr>
        <w:pStyle w:val="SingleTxtG"/>
        <w:rPr>
          <w:lang w:val="fr-FR"/>
        </w:rPr>
      </w:pPr>
      <w:r w:rsidRPr="000A1E00">
        <w:rPr>
          <w:lang w:val="fr-FR"/>
        </w:rPr>
        <w:t>1.</w:t>
      </w:r>
      <w:r w:rsidRPr="000A1E00">
        <w:rPr>
          <w:lang w:val="fr-FR"/>
        </w:rPr>
        <w:tab/>
        <w:t>Le Sous-Comité d</w:t>
      </w:r>
      <w:r w:rsidR="000A1E00">
        <w:rPr>
          <w:lang w:val="fr-FR"/>
        </w:rPr>
        <w:t>’</w:t>
      </w:r>
      <w:r w:rsidRPr="000A1E00">
        <w:rPr>
          <w:lang w:val="fr-FR"/>
        </w:rPr>
        <w:t>experts du transport des marchandises dangereuses a tenu sa cinquante-troisième session du 25</w:t>
      </w:r>
      <w:r w:rsidR="005D4C44" w:rsidRPr="000A1E00">
        <w:rPr>
          <w:lang w:val="fr-FR"/>
        </w:rPr>
        <w:t> </w:t>
      </w:r>
      <w:r w:rsidRPr="000A1E00">
        <w:rPr>
          <w:lang w:val="fr-FR"/>
        </w:rPr>
        <w:t>juin au 4</w:t>
      </w:r>
      <w:r w:rsidR="005D4C44" w:rsidRPr="000A1E00">
        <w:rPr>
          <w:lang w:val="fr-FR"/>
        </w:rPr>
        <w:t> </w:t>
      </w:r>
      <w:r w:rsidRPr="000A1E00">
        <w:rPr>
          <w:lang w:val="fr-FR"/>
        </w:rPr>
        <w:t xml:space="preserve">juillet </w:t>
      </w:r>
      <w:r w:rsidR="005D4C44" w:rsidRPr="000A1E00">
        <w:rPr>
          <w:lang w:val="fr-FR"/>
        </w:rPr>
        <w:t>2018, sous la présidence de M. D. </w:t>
      </w:r>
      <w:r w:rsidRPr="000A1E00">
        <w:rPr>
          <w:lang w:val="fr-FR"/>
        </w:rPr>
        <w:t>Pfund (États-Unis d</w:t>
      </w:r>
      <w:r w:rsidR="000A1E00">
        <w:rPr>
          <w:lang w:val="fr-FR"/>
        </w:rPr>
        <w:t>’</w:t>
      </w:r>
      <w:r w:rsidRPr="000A1E00">
        <w:rPr>
          <w:lang w:val="fr-FR"/>
        </w:rPr>
        <w:t>Amériq</w:t>
      </w:r>
      <w:r w:rsidR="005D4C44" w:rsidRPr="000A1E00">
        <w:rPr>
          <w:lang w:val="fr-FR"/>
        </w:rPr>
        <w:t>ue) et la vice-présidence de M. </w:t>
      </w:r>
      <w:r w:rsidRPr="000A1E00">
        <w:rPr>
          <w:lang w:val="fr-FR"/>
        </w:rPr>
        <w:t>C.</w:t>
      </w:r>
      <w:r w:rsidR="005D4C44" w:rsidRPr="000A1E00">
        <w:rPr>
          <w:lang w:val="fr-FR"/>
        </w:rPr>
        <w:t> </w:t>
      </w:r>
      <w:r w:rsidRPr="000A1E00">
        <w:rPr>
          <w:lang w:val="fr-FR"/>
        </w:rPr>
        <w:t xml:space="preserve">Pfauvadel (France). </w:t>
      </w:r>
    </w:p>
    <w:p w:rsidR="00286BDC" w:rsidRPr="000A1E00" w:rsidRDefault="00286BDC" w:rsidP="005D4C44">
      <w:pPr>
        <w:pStyle w:val="SingleTxtG"/>
        <w:rPr>
          <w:lang w:val="fr-FR"/>
        </w:rPr>
      </w:pPr>
      <w:r w:rsidRPr="000A1E00">
        <w:rPr>
          <w:lang w:val="fr-FR"/>
        </w:rPr>
        <w:t>2.</w:t>
      </w:r>
      <w:r w:rsidRPr="000A1E00">
        <w:rPr>
          <w:lang w:val="fr-FR"/>
        </w:rPr>
        <w:tab/>
        <w:t>Ont participé à cette session des experts des pays suivants : Allemagne, Australie, Autriche, Belgique, Brésil, Canada, Chine, Espagne, États-Unis d</w:t>
      </w:r>
      <w:r w:rsidR="000A1E00">
        <w:rPr>
          <w:lang w:val="fr-FR"/>
        </w:rPr>
        <w:t>’</w:t>
      </w:r>
      <w:r w:rsidRPr="000A1E00">
        <w:rPr>
          <w:lang w:val="fr-FR"/>
        </w:rPr>
        <w:t>Amérique, Fédération de Russie, Finlande, France, Italie, Japon, Pays-Bas, Pologne, République de Corée, Royaume-Uni, Suède et Suisse.</w:t>
      </w:r>
    </w:p>
    <w:p w:rsidR="00286BDC" w:rsidRPr="000A1E00" w:rsidRDefault="005D4C44" w:rsidP="005D4C44">
      <w:pPr>
        <w:pStyle w:val="SingleTxtG"/>
        <w:rPr>
          <w:lang w:val="fr-FR"/>
        </w:rPr>
      </w:pPr>
      <w:r w:rsidRPr="000A1E00">
        <w:rPr>
          <w:lang w:val="fr-FR"/>
        </w:rPr>
        <w:t>3.</w:t>
      </w:r>
      <w:r w:rsidR="00286BDC" w:rsidRPr="000A1E00">
        <w:rPr>
          <w:lang w:val="fr-FR"/>
        </w:rPr>
        <w:tab/>
        <w:t>En vertu de l</w:t>
      </w:r>
      <w:r w:rsidR="000A1E00">
        <w:rPr>
          <w:lang w:val="fr-FR"/>
        </w:rPr>
        <w:t>’</w:t>
      </w:r>
      <w:r w:rsidR="00286BDC" w:rsidRPr="000A1E00">
        <w:rPr>
          <w:lang w:val="fr-FR"/>
        </w:rPr>
        <w:t>article 72 du Règlement intérieur du Conseil économique et social, des observateurs de l</w:t>
      </w:r>
      <w:r w:rsidR="000A1E00">
        <w:rPr>
          <w:lang w:val="fr-FR"/>
        </w:rPr>
        <w:t>’</w:t>
      </w:r>
      <w:r w:rsidR="00286BDC" w:rsidRPr="000A1E00">
        <w:rPr>
          <w:lang w:val="fr-FR"/>
        </w:rPr>
        <w:t>Irlande, de la Nouvelle-Zélande, du Qatar et de la Slovaquie y ont également participé.</w:t>
      </w:r>
    </w:p>
    <w:p w:rsidR="00286BDC" w:rsidRPr="000A1E00" w:rsidRDefault="00286BDC" w:rsidP="005D4C44">
      <w:pPr>
        <w:pStyle w:val="SingleTxtG"/>
        <w:rPr>
          <w:lang w:val="fr-FR"/>
        </w:rPr>
      </w:pPr>
      <w:r w:rsidRPr="000A1E00">
        <w:rPr>
          <w:lang w:val="fr-FR"/>
        </w:rPr>
        <w:t>4.</w:t>
      </w:r>
      <w:r w:rsidRPr="000A1E00">
        <w:rPr>
          <w:lang w:val="fr-FR"/>
        </w:rPr>
        <w:tab/>
        <w:t>L</w:t>
      </w:r>
      <w:r w:rsidR="000A1E00">
        <w:rPr>
          <w:lang w:val="fr-FR"/>
        </w:rPr>
        <w:t>’</w:t>
      </w:r>
      <w:r w:rsidRPr="000A1E00">
        <w:rPr>
          <w:lang w:val="fr-FR"/>
        </w:rPr>
        <w:t>Organisation intergouvernementale pour les transports internationaux ferroviaires (OTIF) et l</w:t>
      </w:r>
      <w:r w:rsidR="000A1E00">
        <w:rPr>
          <w:lang w:val="fr-FR"/>
        </w:rPr>
        <w:t>’</w:t>
      </w:r>
      <w:r w:rsidRPr="000A1E00">
        <w:rPr>
          <w:lang w:val="fr-FR"/>
        </w:rPr>
        <w:t>Union européenne étaient également représentées.</w:t>
      </w:r>
    </w:p>
    <w:p w:rsidR="00286BDC" w:rsidRPr="000A1E00" w:rsidRDefault="00286BDC" w:rsidP="005D4C44">
      <w:pPr>
        <w:pStyle w:val="SingleTxtG"/>
        <w:rPr>
          <w:lang w:val="fr-FR"/>
        </w:rPr>
      </w:pPr>
      <w:r w:rsidRPr="000A1E00">
        <w:rPr>
          <w:lang w:val="fr-FR"/>
        </w:rPr>
        <w:t>5.</w:t>
      </w:r>
      <w:r w:rsidRPr="000A1E00">
        <w:rPr>
          <w:lang w:val="fr-FR"/>
        </w:rPr>
        <w:tab/>
        <w:t>Des représentants de l</w:t>
      </w:r>
      <w:r w:rsidR="000A1E00">
        <w:rPr>
          <w:lang w:val="fr-FR"/>
        </w:rPr>
        <w:t>’</w:t>
      </w:r>
      <w:r w:rsidRPr="000A1E00">
        <w:rPr>
          <w:lang w:val="fr-FR"/>
        </w:rPr>
        <w:t>Organisation pour l</w:t>
      </w:r>
      <w:r w:rsidR="000A1E00">
        <w:rPr>
          <w:lang w:val="fr-FR"/>
        </w:rPr>
        <w:t>’</w:t>
      </w:r>
      <w:r w:rsidRPr="000A1E00">
        <w:rPr>
          <w:lang w:val="fr-FR"/>
        </w:rPr>
        <w:t>alimentation et l</w:t>
      </w:r>
      <w:r w:rsidR="000A1E00">
        <w:rPr>
          <w:lang w:val="fr-FR"/>
        </w:rPr>
        <w:t>’</w:t>
      </w:r>
      <w:r w:rsidRPr="000A1E00">
        <w:rPr>
          <w:lang w:val="fr-FR"/>
        </w:rPr>
        <w:t>Agriculture (FAO), de l</w:t>
      </w:r>
      <w:r w:rsidR="000A1E00">
        <w:rPr>
          <w:lang w:val="fr-FR"/>
        </w:rPr>
        <w:t>’</w:t>
      </w:r>
      <w:r w:rsidRPr="000A1E00">
        <w:rPr>
          <w:lang w:val="fr-FR"/>
        </w:rPr>
        <w:t>Agence internationale de l</w:t>
      </w:r>
      <w:r w:rsidR="000A1E00">
        <w:rPr>
          <w:lang w:val="fr-FR"/>
        </w:rPr>
        <w:t>’</w:t>
      </w:r>
      <w:r w:rsidRPr="000A1E00">
        <w:rPr>
          <w:lang w:val="fr-FR"/>
        </w:rPr>
        <w:t>énergie atomique (AIEA), de l</w:t>
      </w:r>
      <w:r w:rsidR="000A1E00">
        <w:rPr>
          <w:lang w:val="fr-FR"/>
        </w:rPr>
        <w:t>’</w:t>
      </w:r>
      <w:r w:rsidRPr="000A1E00">
        <w:rPr>
          <w:lang w:val="fr-FR"/>
        </w:rPr>
        <w:t>Organisation de l</w:t>
      </w:r>
      <w:r w:rsidR="000A1E00">
        <w:rPr>
          <w:lang w:val="fr-FR"/>
        </w:rPr>
        <w:t>’</w:t>
      </w:r>
      <w:r w:rsidRPr="000A1E00">
        <w:rPr>
          <w:lang w:val="fr-FR"/>
        </w:rPr>
        <w:t>aviation civile internationale (OACI), de l</w:t>
      </w:r>
      <w:r w:rsidR="000A1E00">
        <w:rPr>
          <w:lang w:val="fr-FR"/>
        </w:rPr>
        <w:t>’</w:t>
      </w:r>
      <w:r w:rsidRPr="000A1E00">
        <w:rPr>
          <w:lang w:val="fr-FR"/>
        </w:rPr>
        <w:t>Organisation maritime internationale (OMI) et de l</w:t>
      </w:r>
      <w:r w:rsidR="000A1E00">
        <w:rPr>
          <w:lang w:val="fr-FR"/>
        </w:rPr>
        <w:t>’</w:t>
      </w:r>
      <w:r w:rsidRPr="000A1E00">
        <w:rPr>
          <w:lang w:val="fr-FR"/>
        </w:rPr>
        <w:t xml:space="preserve">Organisation mondiale de la Santé (OMS) étaient également présents. </w:t>
      </w:r>
    </w:p>
    <w:p w:rsidR="00286BDC" w:rsidRPr="000A1E00" w:rsidRDefault="00286BDC" w:rsidP="005D4C44">
      <w:pPr>
        <w:pStyle w:val="SingleTxtG"/>
        <w:rPr>
          <w:lang w:val="fr-FR"/>
        </w:rPr>
      </w:pPr>
      <w:r w:rsidRPr="000A1E00">
        <w:rPr>
          <w:lang w:val="fr-FR"/>
        </w:rPr>
        <w:t>6.</w:t>
      </w:r>
      <w:r w:rsidRPr="000A1E00">
        <w:rPr>
          <w:lang w:val="fr-FR"/>
        </w:rPr>
        <w:tab/>
        <w:t>Ont participé aux débats sur des points intéressant leur organisation des représentants des organisations non gouvernementales suivantes : Association des conteneurs en acier inoxydable (SSCA) ; Association du transport aérien international (IATA) ; Association européenne des équipementiers automobiles (CLEPA) ; Association européenne des gaz industriels (EIGA) ; Association internationale de la savonnerie, de la détergence et des produits d</w:t>
      </w:r>
      <w:r w:rsidR="000A1E00">
        <w:rPr>
          <w:lang w:val="fr-FR"/>
        </w:rPr>
        <w:t>’</w:t>
      </w:r>
      <w:r w:rsidRPr="000A1E00">
        <w:rPr>
          <w:lang w:val="fr-FR"/>
        </w:rPr>
        <w:t>entretien (AISE) ; Association internationale de l</w:t>
      </w:r>
      <w:r w:rsidR="000A1E00">
        <w:rPr>
          <w:lang w:val="fr-FR"/>
        </w:rPr>
        <w:t>’</w:t>
      </w:r>
      <w:r w:rsidRPr="000A1E00">
        <w:rPr>
          <w:lang w:val="fr-FR"/>
        </w:rPr>
        <w:t>industrie pétrolière pour la sauvegarde de l</w:t>
      </w:r>
      <w:r w:rsidR="000A1E00">
        <w:rPr>
          <w:lang w:val="fr-FR"/>
        </w:rPr>
        <w:t>’</w:t>
      </w:r>
      <w:r w:rsidRPr="000A1E00">
        <w:rPr>
          <w:lang w:val="fr-FR"/>
        </w:rPr>
        <w:t>environnement (IPIECA) ; Association internationale des services d</w:t>
      </w:r>
      <w:r w:rsidR="000A1E00">
        <w:rPr>
          <w:lang w:val="fr-FR"/>
        </w:rPr>
        <w:t>’</w:t>
      </w:r>
      <w:r w:rsidRPr="000A1E00">
        <w:rPr>
          <w:lang w:val="fr-FR"/>
        </w:rPr>
        <w:t>incendie et de secours (CTIF) ; Australian Explosives Industry Safety Group (AEISG) ; Comité européen de normalisation (CEN) ; Compressed Gas Association (CGA) ; Conseil européen de l</w:t>
      </w:r>
      <w:r w:rsidR="000A1E00">
        <w:rPr>
          <w:lang w:val="fr-FR"/>
        </w:rPr>
        <w:t>’</w:t>
      </w:r>
      <w:r w:rsidRPr="000A1E00">
        <w:rPr>
          <w:lang w:val="fr-FR"/>
        </w:rPr>
        <w:t>industrie chimique (CEFIC) ; Cosmetics Europe ; Council on Safe Transportation of Hazardous Articles (COSTHA) ; Dangerous Goods Advisory Council (DGAC) ; Dangerous Goods Trainers Association (DGTA) ; European Association for Advanced Rechargeable Batteries (RECHARGE) ; Fédération européenne des aérosols (FEA) ; Institute of Makers of Explosives (IME) ; International Confederation of Container Reconditioners (ICCR) ; International Confederation of Drums Manufacturers (ICDM) ; International Confederation of Intermediate Bulk Container Associations (ICIBCA) ; International Confederation of Plastics Packaging Manufacturers (ICPP) ; International Fibre Drum Institute (IFDI) ; International Paint and Printing Ink Council (IPPIC) ; Kilofarad International (KFI) ; Medical Devices Battery Transport Council (MDBTC) ; Organisation internationale de normalisation (ISO) ; Organisation internationale des constructeurs d</w:t>
      </w:r>
      <w:r w:rsidR="000A1E00">
        <w:rPr>
          <w:lang w:val="fr-FR"/>
        </w:rPr>
        <w:t>’</w:t>
      </w:r>
      <w:r w:rsidRPr="000A1E00">
        <w:rPr>
          <w:lang w:val="fr-FR"/>
        </w:rPr>
        <w:t>automobiles (OICA) ; Organisation internationale des conteneurs-citernes (ITCO) ; Portable Rechargeable Battery Association (PRBA) ; Responsible Packaging Management Association of Southern Africa (RPMASA) ; Sporting Arms and Ammunition Manufacturers</w:t>
      </w:r>
      <w:r w:rsidR="000A1E00">
        <w:rPr>
          <w:lang w:val="fr-FR"/>
        </w:rPr>
        <w:t>’</w:t>
      </w:r>
      <w:r w:rsidRPr="000A1E00">
        <w:rPr>
          <w:lang w:val="fr-FR"/>
        </w:rPr>
        <w:t xml:space="preserve"> Institute (SAAMI) et Union internationale des transports routiers (IRU).]</w:t>
      </w:r>
    </w:p>
    <w:p w:rsidR="00286BDC" w:rsidRPr="000A1E00" w:rsidRDefault="00286BDC" w:rsidP="005D4C44">
      <w:pPr>
        <w:pStyle w:val="HChG"/>
        <w:rPr>
          <w:lang w:val="fr-FR"/>
        </w:rPr>
      </w:pPr>
      <w:r w:rsidRPr="000A1E00">
        <w:rPr>
          <w:lang w:val="fr-FR"/>
        </w:rPr>
        <w:tab/>
        <w:t>II.</w:t>
      </w:r>
      <w:r w:rsidRPr="000A1E00">
        <w:rPr>
          <w:lang w:val="fr-FR"/>
        </w:rPr>
        <w:tab/>
        <w:t>Ouverture de la session</w:t>
      </w:r>
    </w:p>
    <w:p w:rsidR="00286BDC" w:rsidRPr="000A1E00" w:rsidRDefault="00286BDC" w:rsidP="005D4C44">
      <w:pPr>
        <w:pStyle w:val="SingleTxtG"/>
        <w:rPr>
          <w:lang w:val="fr-FR"/>
        </w:rPr>
      </w:pPr>
      <w:r w:rsidRPr="000A1E00">
        <w:rPr>
          <w:lang w:val="fr-FR"/>
        </w:rPr>
        <w:t>7.</w:t>
      </w:r>
      <w:r w:rsidRPr="000A1E00">
        <w:rPr>
          <w:lang w:val="fr-FR"/>
        </w:rPr>
        <w:tab/>
        <w:t>M. Yuwei Li, Directeur de la Division des transports durables de la Commission économique pour l</w:t>
      </w:r>
      <w:r w:rsidR="000A1E00">
        <w:rPr>
          <w:lang w:val="fr-FR"/>
        </w:rPr>
        <w:t>’</w:t>
      </w:r>
      <w:r w:rsidRPr="000A1E00">
        <w:rPr>
          <w:lang w:val="fr-FR"/>
        </w:rPr>
        <w:t>Europe (CEE), a souhaité la bienvenue aux participants et souligné l</w:t>
      </w:r>
      <w:r w:rsidR="000A1E00">
        <w:rPr>
          <w:lang w:val="fr-FR"/>
        </w:rPr>
        <w:t>’</w:t>
      </w:r>
      <w:r w:rsidRPr="000A1E00">
        <w:rPr>
          <w:lang w:val="fr-FR"/>
        </w:rPr>
        <w:t>importance des travaux du Sous-Comité dans le cadre du Programme de développement durable et de ses objectifs, particulièrement en ce qui concernait la sécurité routière. Il a expliqué que la Division des transports durables achevait de définir la stratégie qu</w:t>
      </w:r>
      <w:r w:rsidR="000A1E00">
        <w:rPr>
          <w:lang w:val="fr-FR"/>
        </w:rPr>
        <w:t>’</w:t>
      </w:r>
      <w:r w:rsidRPr="000A1E00">
        <w:rPr>
          <w:lang w:val="fr-FR"/>
        </w:rPr>
        <w:t>elle appliquera pour appuyer la vision exprimée dans la résolution ministérielle intitulée « Embrasser l</w:t>
      </w:r>
      <w:r w:rsidR="000A1E00">
        <w:rPr>
          <w:lang w:val="fr-FR"/>
        </w:rPr>
        <w:t>’</w:t>
      </w:r>
      <w:r w:rsidRPr="000A1E00">
        <w:rPr>
          <w:lang w:val="fr-FR"/>
        </w:rPr>
        <w:t>ère nouvelle de la viabilité des transports intérieurs et de la mobilité » adoptée en février 2017 par les ministres des transports de la région de la CEE et des parties contractantes aux conventions relevant du Comité des transports intérieurs de la CEE (voir l</w:t>
      </w:r>
      <w:r w:rsidR="000A1E00">
        <w:rPr>
          <w:lang w:val="fr-FR"/>
        </w:rPr>
        <w:t>’</w:t>
      </w:r>
      <w:r w:rsidRPr="000A1E00">
        <w:rPr>
          <w:lang w:val="fr-FR"/>
        </w:rPr>
        <w:t>annexe I du document ECE/TRANS/2017/2). Faisant remarquer que la Division des transports durables de la CEE avait sous sa responsabilité 58 instruments juridiques de l</w:t>
      </w:r>
      <w:r w:rsidR="000A1E00">
        <w:rPr>
          <w:lang w:val="fr-FR"/>
        </w:rPr>
        <w:t>’</w:t>
      </w:r>
      <w:r w:rsidRPr="000A1E00">
        <w:rPr>
          <w:lang w:val="fr-FR"/>
        </w:rPr>
        <w:t>ONU relatifs aux transports, M. Li a dit estimer que cette résolution ministérielle valait reconnaissance officielle du rôle de la CEE en tant que centre mondial des transports intérieurs.</w:t>
      </w:r>
    </w:p>
    <w:p w:rsidR="00286BDC" w:rsidRPr="000A1E00" w:rsidRDefault="00286BDC" w:rsidP="005D4C44">
      <w:pPr>
        <w:pStyle w:val="SingleTxtG"/>
        <w:rPr>
          <w:lang w:val="fr-FR"/>
        </w:rPr>
      </w:pPr>
      <w:r w:rsidRPr="000A1E00">
        <w:rPr>
          <w:lang w:val="fr-FR"/>
        </w:rPr>
        <w:t>8.</w:t>
      </w:r>
      <w:r w:rsidRPr="000A1E00">
        <w:rPr>
          <w:lang w:val="fr-FR"/>
        </w:rPr>
        <w:tab/>
        <w:t>Le Sous-Comité a remercié le secrétariat de la CEE pour les services qu</w:t>
      </w:r>
      <w:r w:rsidR="000A1E00">
        <w:rPr>
          <w:lang w:val="fr-FR"/>
        </w:rPr>
        <w:t>’</w:t>
      </w:r>
      <w:r w:rsidRPr="000A1E00">
        <w:rPr>
          <w:lang w:val="fr-FR"/>
        </w:rPr>
        <w:t>il lui fournissait et pour la façon dont il appuyait ses travaux, et il a exprimé le souhait que la CEE continuerait à dispenser des ressources et une aide appropriées.</w:t>
      </w:r>
    </w:p>
    <w:p w:rsidR="00286BDC" w:rsidRPr="000A1E00" w:rsidRDefault="00286BDC" w:rsidP="005D4C44">
      <w:pPr>
        <w:pStyle w:val="HChG"/>
        <w:rPr>
          <w:lang w:val="fr-FR"/>
        </w:rPr>
      </w:pPr>
      <w:r w:rsidRPr="000A1E00">
        <w:rPr>
          <w:lang w:val="fr-FR"/>
        </w:rPr>
        <w:tab/>
        <w:t>III.</w:t>
      </w:r>
      <w:r w:rsidRPr="000A1E00">
        <w:rPr>
          <w:lang w:val="fr-FR"/>
        </w:rPr>
        <w:tab/>
        <w:t>Adoption de l</w:t>
      </w:r>
      <w:r w:rsidR="000A1E00">
        <w:rPr>
          <w:lang w:val="fr-FR"/>
        </w:rPr>
        <w:t>’</w:t>
      </w:r>
      <w:r w:rsidRPr="000A1E00">
        <w:rPr>
          <w:lang w:val="fr-FR"/>
        </w:rPr>
        <w:t>ordre du jour (point 1 de l</w:t>
      </w:r>
      <w:r w:rsidR="000A1E00">
        <w:rPr>
          <w:lang w:val="fr-FR"/>
        </w:rPr>
        <w:t>’</w:t>
      </w:r>
      <w:r w:rsidRPr="000A1E00">
        <w:rPr>
          <w:lang w:val="fr-FR"/>
        </w:rPr>
        <w:t>ordre du jour)</w:t>
      </w:r>
    </w:p>
    <w:p w:rsidR="00286BDC" w:rsidRPr="000A1E00" w:rsidRDefault="00286BDC" w:rsidP="005D4C44">
      <w:pPr>
        <w:pStyle w:val="SingleTxtG"/>
        <w:tabs>
          <w:tab w:val="left" w:pos="3119"/>
        </w:tabs>
        <w:jc w:val="left"/>
        <w:rPr>
          <w:lang w:val="fr-FR"/>
        </w:rPr>
      </w:pPr>
      <w:r w:rsidRPr="000A1E00">
        <w:rPr>
          <w:i/>
          <w:iCs/>
          <w:lang w:val="fr-FR"/>
        </w:rPr>
        <w:t>Documents </w:t>
      </w:r>
      <w:r w:rsidRPr="00D23349">
        <w:rPr>
          <w:iCs/>
          <w:lang w:val="fr-FR"/>
        </w:rPr>
        <w:t>:</w:t>
      </w:r>
      <w:r w:rsidRPr="000A1E00">
        <w:rPr>
          <w:lang w:val="fr-FR"/>
        </w:rPr>
        <w:tab/>
        <w:t xml:space="preserve">ST/SG/AC.10/C.3/105 (Ordre du jour provisoire) </w:t>
      </w:r>
      <w:r w:rsidRPr="000A1E00">
        <w:rPr>
          <w:lang w:val="fr-FR"/>
        </w:rPr>
        <w:tab/>
        <w:t>ST/SG/AC.10/C.3/105/Add.1 (Liste des documents)</w:t>
      </w:r>
    </w:p>
    <w:p w:rsidR="00286BDC" w:rsidRPr="000A1E00" w:rsidRDefault="00286BDC" w:rsidP="00286BDC">
      <w:pPr>
        <w:pStyle w:val="SingleTxtG"/>
        <w:tabs>
          <w:tab w:val="left" w:pos="3119"/>
        </w:tabs>
        <w:ind w:left="3119" w:hanging="1985"/>
        <w:jc w:val="left"/>
        <w:rPr>
          <w:lang w:val="fr-FR"/>
        </w:rPr>
      </w:pPr>
      <w:r w:rsidRPr="000A1E00">
        <w:rPr>
          <w:i/>
          <w:iCs/>
          <w:lang w:val="fr-FR"/>
        </w:rPr>
        <w:t>Documents informels </w:t>
      </w:r>
      <w:r w:rsidRPr="00D23349">
        <w:rPr>
          <w:iCs/>
          <w:lang w:val="fr-FR"/>
        </w:rPr>
        <w:t>:</w:t>
      </w:r>
      <w:r w:rsidRPr="000A1E00">
        <w:rPr>
          <w:lang w:val="fr-FR"/>
        </w:rPr>
        <w:tab/>
        <w:t>INF.1 et INF.2 (Liste des documents)</w:t>
      </w:r>
      <w:r w:rsidRPr="000A1E00">
        <w:rPr>
          <w:lang w:val="fr-FR"/>
        </w:rPr>
        <w:br/>
        <w:t>INF.12 (Calendrier provisoire)</w:t>
      </w:r>
      <w:r w:rsidRPr="000A1E00">
        <w:rPr>
          <w:lang w:val="fr-FR"/>
        </w:rPr>
        <w:br/>
        <w:t>INF.27 (Groupe de travail sur les batteries au lithium)</w:t>
      </w:r>
      <w:r w:rsidRPr="000A1E00">
        <w:rPr>
          <w:lang w:val="fr-FR"/>
        </w:rPr>
        <w:br/>
        <w:t>INF.28 (Groupe de travail sur les citernes en matière plastique renforcée de fibres)</w:t>
      </w:r>
      <w:r w:rsidRPr="000A1E00">
        <w:rPr>
          <w:lang w:val="fr-FR"/>
        </w:rPr>
        <w:br/>
        <w:t>INF.40 (Réception organisée par les ONG)</w:t>
      </w:r>
      <w:r w:rsidR="005D4C44" w:rsidRPr="000A1E00">
        <w:rPr>
          <w:lang w:val="fr-FR"/>
        </w:rPr>
        <w:t>.</w:t>
      </w:r>
    </w:p>
    <w:p w:rsidR="00286BDC" w:rsidRPr="000A1E00" w:rsidRDefault="00286BDC" w:rsidP="00286BDC">
      <w:pPr>
        <w:pStyle w:val="SingleTxtG"/>
        <w:rPr>
          <w:lang w:val="fr-FR"/>
        </w:rPr>
      </w:pPr>
      <w:r w:rsidRPr="000A1E00">
        <w:rPr>
          <w:lang w:val="fr-FR"/>
        </w:rPr>
        <w:t>9.</w:t>
      </w:r>
      <w:r w:rsidRPr="000A1E00">
        <w:rPr>
          <w:lang w:val="fr-FR"/>
        </w:rPr>
        <w:tab/>
        <w:t>Le Sous-Comité a adopté l</w:t>
      </w:r>
      <w:r w:rsidR="000A1E00">
        <w:rPr>
          <w:lang w:val="fr-FR"/>
        </w:rPr>
        <w:t>’</w:t>
      </w:r>
      <w:r w:rsidRPr="000A1E00">
        <w:rPr>
          <w:lang w:val="fr-FR"/>
        </w:rPr>
        <w:t>ordre du jour provisoire établi par le secrétariat, après l</w:t>
      </w:r>
      <w:r w:rsidR="000A1E00">
        <w:rPr>
          <w:lang w:val="fr-FR"/>
        </w:rPr>
        <w:t>’</w:t>
      </w:r>
      <w:r w:rsidRPr="000A1E00">
        <w:rPr>
          <w:lang w:val="fr-FR"/>
        </w:rPr>
        <w:t>avoir modifié afin de tenir compte des documents informels INF.1 à INF.71.</w:t>
      </w:r>
    </w:p>
    <w:p w:rsidR="00286BDC" w:rsidRPr="000A1E00" w:rsidRDefault="00286BDC" w:rsidP="005D4C44">
      <w:pPr>
        <w:pStyle w:val="SingleTxtG"/>
        <w:rPr>
          <w:lang w:val="fr-FR"/>
        </w:rPr>
      </w:pPr>
      <w:r w:rsidRPr="000A1E00">
        <w:rPr>
          <w:lang w:val="fr-FR"/>
        </w:rPr>
        <w:t>10.</w:t>
      </w:r>
      <w:r w:rsidRPr="000A1E00">
        <w:rPr>
          <w:lang w:val="fr-FR"/>
        </w:rPr>
        <w:tab/>
        <w:t>Certains experts ont regretté que l</w:t>
      </w:r>
      <w:r w:rsidR="000A1E00">
        <w:rPr>
          <w:lang w:val="fr-FR"/>
        </w:rPr>
        <w:t>’</w:t>
      </w:r>
      <w:r w:rsidRPr="000A1E00">
        <w:rPr>
          <w:lang w:val="fr-FR"/>
        </w:rPr>
        <w:t>annonce tardive de la réunion du Groupe de travail sur les citernes en matière plastique renforcée de fibres ait rendu difficile d</w:t>
      </w:r>
      <w:r w:rsidR="000A1E00">
        <w:rPr>
          <w:lang w:val="fr-FR"/>
        </w:rPr>
        <w:t>’</w:t>
      </w:r>
      <w:r w:rsidRPr="000A1E00">
        <w:rPr>
          <w:lang w:val="fr-FR"/>
        </w:rPr>
        <w:t>organiser la participation d</w:t>
      </w:r>
      <w:r w:rsidR="000A1E00">
        <w:rPr>
          <w:lang w:val="fr-FR"/>
        </w:rPr>
        <w:t>’</w:t>
      </w:r>
      <w:r w:rsidRPr="000A1E00">
        <w:rPr>
          <w:lang w:val="fr-FR"/>
        </w:rPr>
        <w:t>experts ou d</w:t>
      </w:r>
      <w:r w:rsidR="000A1E00">
        <w:rPr>
          <w:lang w:val="fr-FR"/>
        </w:rPr>
        <w:t>’</w:t>
      </w:r>
      <w:r w:rsidRPr="000A1E00">
        <w:rPr>
          <w:lang w:val="fr-FR"/>
        </w:rPr>
        <w:t>élaborer une position officielle sur cette question. Ils ont demandé que les informations relatives à l</w:t>
      </w:r>
      <w:r w:rsidR="000A1E00">
        <w:rPr>
          <w:lang w:val="fr-FR"/>
        </w:rPr>
        <w:t>’</w:t>
      </w:r>
      <w:r w:rsidRPr="000A1E00">
        <w:rPr>
          <w:lang w:val="fr-FR"/>
        </w:rPr>
        <w:t>organisation de réunions de groupes de travail parallèlement à la séance plénière soit communiquées bien avant la session afin que des mesures puissent être prises pour permettre la participation d</w:t>
      </w:r>
      <w:r w:rsidR="000A1E00">
        <w:rPr>
          <w:lang w:val="fr-FR"/>
        </w:rPr>
        <w:t>’</w:t>
      </w:r>
      <w:r w:rsidRPr="000A1E00">
        <w:rPr>
          <w:lang w:val="fr-FR"/>
        </w:rPr>
        <w:t>experts compétents.</w:t>
      </w:r>
    </w:p>
    <w:p w:rsidR="00286BDC" w:rsidRPr="000A1E00" w:rsidRDefault="00286BDC" w:rsidP="005D4C44">
      <w:pPr>
        <w:pStyle w:val="HChG"/>
        <w:rPr>
          <w:lang w:val="fr-FR"/>
        </w:rPr>
      </w:pPr>
      <w:r w:rsidRPr="000A1E00">
        <w:rPr>
          <w:lang w:val="fr-FR"/>
        </w:rPr>
        <w:tab/>
        <w:t>IV.</w:t>
      </w:r>
      <w:r w:rsidRPr="000A1E00">
        <w:rPr>
          <w:lang w:val="fr-FR"/>
        </w:rPr>
        <w:tab/>
        <w:t>Explosifs et questions connexes (point 2 de l</w:t>
      </w:r>
      <w:r w:rsidR="000A1E00">
        <w:rPr>
          <w:lang w:val="fr-FR"/>
        </w:rPr>
        <w:t>’</w:t>
      </w:r>
      <w:r w:rsidRPr="000A1E00">
        <w:rPr>
          <w:lang w:val="fr-FR"/>
        </w:rPr>
        <w:t>ordre du jour)</w:t>
      </w:r>
    </w:p>
    <w:p w:rsidR="00286BDC" w:rsidRPr="000A1E00" w:rsidRDefault="00286BDC" w:rsidP="005D4C44">
      <w:pPr>
        <w:pStyle w:val="SingleTxtG"/>
        <w:rPr>
          <w:lang w:val="fr-FR"/>
        </w:rPr>
      </w:pPr>
      <w:r w:rsidRPr="000A1E00">
        <w:rPr>
          <w:lang w:val="fr-FR"/>
        </w:rPr>
        <w:t>11.</w:t>
      </w:r>
      <w:r w:rsidRPr="000A1E00">
        <w:rPr>
          <w:lang w:val="fr-FR"/>
        </w:rPr>
        <w:tab/>
        <w:t>Après un examen préliminaire en séance plénière, l</w:t>
      </w:r>
      <w:r w:rsidR="000A1E00">
        <w:rPr>
          <w:lang w:val="fr-FR"/>
        </w:rPr>
        <w:t>’</w:t>
      </w:r>
      <w:r w:rsidRPr="000A1E00">
        <w:rPr>
          <w:lang w:val="fr-FR"/>
        </w:rPr>
        <w:t>ensemble des documents relatifs au point 2 de l</w:t>
      </w:r>
      <w:r w:rsidR="000A1E00">
        <w:rPr>
          <w:lang w:val="fr-FR"/>
        </w:rPr>
        <w:t>’</w:t>
      </w:r>
      <w:r w:rsidRPr="000A1E00">
        <w:rPr>
          <w:lang w:val="fr-FR"/>
        </w:rPr>
        <w:t>ordre du jour, ainsi que ceux portant sur l</w:t>
      </w:r>
      <w:r w:rsidR="000A1E00">
        <w:rPr>
          <w:lang w:val="fr-FR"/>
        </w:rPr>
        <w:t>’</w:t>
      </w:r>
      <w:r w:rsidRPr="000A1E00">
        <w:rPr>
          <w:lang w:val="fr-FR"/>
        </w:rPr>
        <w:t>utilisation du Manuel d</w:t>
      </w:r>
      <w:r w:rsidR="000A1E00">
        <w:rPr>
          <w:lang w:val="fr-FR"/>
        </w:rPr>
        <w:t>’</w:t>
      </w:r>
      <w:r w:rsidRPr="000A1E00">
        <w:rPr>
          <w:lang w:val="fr-FR"/>
        </w:rPr>
        <w:t>épreuves et de critères dans le contexte du SGH (point 10</w:t>
      </w:r>
      <w:r w:rsidR="005D4C44" w:rsidRPr="000A1E00">
        <w:rPr>
          <w:lang w:val="fr-FR"/>
        </w:rPr>
        <w:t> </w:t>
      </w:r>
      <w:r w:rsidRPr="000A1E00">
        <w:rPr>
          <w:lang w:val="fr-FR"/>
        </w:rPr>
        <w:t>d) de l</w:t>
      </w:r>
      <w:r w:rsidR="000A1E00">
        <w:rPr>
          <w:lang w:val="fr-FR"/>
        </w:rPr>
        <w:t>’</w:t>
      </w:r>
      <w:r w:rsidRPr="000A1E00">
        <w:rPr>
          <w:lang w:val="fr-FR"/>
        </w:rPr>
        <w:t xml:space="preserve">ordre du jour) et le document informel INF.29 sur les désignations officielles de transport des </w:t>
      </w:r>
      <w:r w:rsidR="00C94F0A" w:rsidRPr="000A1E00">
        <w:rPr>
          <w:lang w:val="fr-FR"/>
        </w:rPr>
        <w:t>Nos</w:t>
      </w:r>
      <w:r w:rsidR="005D4C44" w:rsidRPr="000A1E00">
        <w:rPr>
          <w:lang w:val="fr-FR"/>
        </w:rPr>
        <w:t> </w:t>
      </w:r>
      <w:r w:rsidRPr="000A1E00">
        <w:rPr>
          <w:lang w:val="fr-FR"/>
        </w:rPr>
        <w:t>ONU 0237 et 0288 ont été renvoyés au Groupe de travail des explosifs, qui s</w:t>
      </w:r>
      <w:r w:rsidR="000A1E00">
        <w:rPr>
          <w:lang w:val="fr-FR"/>
        </w:rPr>
        <w:t>’</w:t>
      </w:r>
      <w:r w:rsidRPr="000A1E00">
        <w:rPr>
          <w:lang w:val="fr-FR"/>
        </w:rPr>
        <w:t>est réuni du 25 au 28</w:t>
      </w:r>
      <w:r w:rsidR="005D4C44" w:rsidRPr="000A1E00">
        <w:rPr>
          <w:lang w:val="fr-FR"/>
        </w:rPr>
        <w:t> </w:t>
      </w:r>
      <w:r w:rsidRPr="000A1E00">
        <w:rPr>
          <w:lang w:val="fr-FR"/>
        </w:rPr>
        <w:t>jui</w:t>
      </w:r>
      <w:r w:rsidR="005D4C44" w:rsidRPr="000A1E00">
        <w:rPr>
          <w:lang w:val="fr-FR"/>
        </w:rPr>
        <w:t>n 2018 sous la présidence de M. E. </w:t>
      </w:r>
      <w:r w:rsidRPr="000A1E00">
        <w:rPr>
          <w:lang w:val="fr-FR"/>
        </w:rPr>
        <w:t>de Jong (Pays-Bas).</w:t>
      </w:r>
    </w:p>
    <w:p w:rsidR="00286BDC" w:rsidRPr="000A1E00" w:rsidRDefault="00286BDC" w:rsidP="005D4C44">
      <w:pPr>
        <w:pStyle w:val="SingleTxtG"/>
        <w:rPr>
          <w:lang w:val="fr-FR"/>
        </w:rPr>
      </w:pPr>
      <w:r w:rsidRPr="000A1E00">
        <w:rPr>
          <w:lang w:val="fr-FR"/>
        </w:rPr>
        <w:t>12.</w:t>
      </w:r>
      <w:r w:rsidRPr="000A1E00">
        <w:rPr>
          <w:lang w:val="fr-FR"/>
        </w:rPr>
        <w:tab/>
        <w:t>Le Sous-Comité a noté que l</w:t>
      </w:r>
      <w:r w:rsidR="000A1E00">
        <w:rPr>
          <w:lang w:val="fr-FR"/>
        </w:rPr>
        <w:t>’</w:t>
      </w:r>
      <w:r w:rsidRPr="000A1E00">
        <w:rPr>
          <w:lang w:val="fr-FR"/>
        </w:rPr>
        <w:t>ensemble des documents ayant trait à la révision d</w:t>
      </w:r>
      <w:r w:rsidR="005D4C44" w:rsidRPr="000A1E00">
        <w:rPr>
          <w:lang w:val="fr-FR"/>
        </w:rPr>
        <w:t>u chapitre 2.1 du SGH (point 10 </w:t>
      </w:r>
      <w:r w:rsidRPr="000A1E00">
        <w:rPr>
          <w:lang w:val="fr-FR"/>
        </w:rPr>
        <w:t>e) de l</w:t>
      </w:r>
      <w:r w:rsidR="000A1E00">
        <w:rPr>
          <w:lang w:val="fr-FR"/>
        </w:rPr>
        <w:t>’</w:t>
      </w:r>
      <w:r w:rsidRPr="000A1E00">
        <w:rPr>
          <w:lang w:val="fr-FR"/>
        </w:rPr>
        <w:t>ordre du jour) seraient préalablement examinés par le groupe de travail par correspondance intersessions dirigé par l</w:t>
      </w:r>
      <w:r w:rsidR="000A1E00">
        <w:rPr>
          <w:lang w:val="fr-FR"/>
        </w:rPr>
        <w:t>’</w:t>
      </w:r>
      <w:r w:rsidRPr="000A1E00">
        <w:rPr>
          <w:lang w:val="fr-FR"/>
        </w:rPr>
        <w:t>expert de la Suède, le jeudi 28 juin au matin, avec la participation d</w:t>
      </w:r>
      <w:r w:rsidR="000A1E00">
        <w:rPr>
          <w:lang w:val="fr-FR"/>
        </w:rPr>
        <w:t>’</w:t>
      </w:r>
      <w:r w:rsidRPr="000A1E00">
        <w:rPr>
          <w:lang w:val="fr-FR"/>
        </w:rPr>
        <w:t>experts du Groupe de travail des explosifs (voir les paragraphes 25 à 27). Les documents en question feraient l</w:t>
      </w:r>
      <w:r w:rsidR="000A1E00">
        <w:rPr>
          <w:lang w:val="fr-FR"/>
        </w:rPr>
        <w:t>’</w:t>
      </w:r>
      <w:r w:rsidRPr="000A1E00">
        <w:rPr>
          <w:lang w:val="fr-FR"/>
        </w:rPr>
        <w:t>objet de débats approfondis lors de la session conjointe des deux sous-comités, le mardi 3</w:t>
      </w:r>
      <w:r w:rsidR="005D4C44" w:rsidRPr="000A1E00">
        <w:rPr>
          <w:lang w:val="fr-FR"/>
        </w:rPr>
        <w:t> </w:t>
      </w:r>
      <w:r w:rsidRPr="000A1E00">
        <w:rPr>
          <w:lang w:val="fr-FR"/>
        </w:rPr>
        <w:t>juillet (voir les paragraphes 163 à 165).</w:t>
      </w:r>
    </w:p>
    <w:p w:rsidR="00286BDC" w:rsidRPr="000A1E00" w:rsidRDefault="00286BDC" w:rsidP="00286BDC">
      <w:pPr>
        <w:pStyle w:val="SingleTxtG"/>
        <w:rPr>
          <w:lang w:val="fr-FR"/>
        </w:rPr>
      </w:pPr>
      <w:r w:rsidRPr="000A1E00">
        <w:rPr>
          <w:lang w:val="fr-FR"/>
        </w:rPr>
        <w:t>13.</w:t>
      </w:r>
      <w:r w:rsidRPr="000A1E00">
        <w:rPr>
          <w:lang w:val="fr-FR"/>
        </w:rPr>
        <w:tab/>
        <w:t>Il a été souligné que le document informel INF.33 serait examiné par le Sous-Comité dans le cadre de ses travaux en tant que coordonnateur chargé des risques physiques pour le Sous-Comité SGH.</w:t>
      </w:r>
    </w:p>
    <w:p w:rsidR="00286BDC" w:rsidRPr="000A1E00" w:rsidRDefault="00286BDC" w:rsidP="005D4C44">
      <w:pPr>
        <w:pStyle w:val="H23G"/>
        <w:rPr>
          <w:lang w:val="fr-FR"/>
        </w:rPr>
      </w:pPr>
      <w:r w:rsidRPr="000A1E00">
        <w:rPr>
          <w:lang w:val="fr-FR"/>
        </w:rPr>
        <w:tab/>
      </w:r>
      <w:r w:rsidRPr="000A1E00">
        <w:rPr>
          <w:lang w:val="fr-FR"/>
        </w:rPr>
        <w:tab/>
        <w:t xml:space="preserve">Rapport du Groupe de travail des explosifs </w:t>
      </w:r>
    </w:p>
    <w:p w:rsidR="00286BDC" w:rsidRPr="000A1E00" w:rsidRDefault="00286BDC" w:rsidP="00286BDC">
      <w:pPr>
        <w:pStyle w:val="SingleTxtG"/>
        <w:tabs>
          <w:tab w:val="left" w:pos="3119"/>
        </w:tabs>
        <w:ind w:left="3594" w:hanging="2460"/>
        <w:jc w:val="left"/>
        <w:rPr>
          <w:lang w:val="fr-FR"/>
        </w:rPr>
      </w:pPr>
      <w:r w:rsidRPr="000A1E00">
        <w:rPr>
          <w:i/>
          <w:iCs/>
          <w:lang w:val="fr-FR"/>
        </w:rPr>
        <w:t>Document informel</w:t>
      </w:r>
      <w:r w:rsidRPr="00D23349">
        <w:rPr>
          <w:iCs/>
          <w:lang w:val="fr-FR"/>
        </w:rPr>
        <w:t> :</w:t>
      </w:r>
      <w:r w:rsidRPr="000A1E00">
        <w:rPr>
          <w:lang w:val="fr-FR"/>
        </w:rPr>
        <w:t xml:space="preserve"> </w:t>
      </w:r>
      <w:r w:rsidRPr="000A1E00">
        <w:rPr>
          <w:lang w:val="fr-FR"/>
        </w:rPr>
        <w:tab/>
        <w:t>INF.67 (Président du Groupe de travail</w:t>
      </w:r>
      <w:r w:rsidRPr="000A1E00">
        <w:t xml:space="preserve"> </w:t>
      </w:r>
      <w:r w:rsidRPr="000A1E00">
        <w:rPr>
          <w:lang w:val="fr-FR"/>
        </w:rPr>
        <w:t>des explosifs)</w:t>
      </w:r>
      <w:r w:rsidR="005D4C44" w:rsidRPr="000A1E00">
        <w:rPr>
          <w:lang w:val="fr-FR"/>
        </w:rPr>
        <w:t>.</w:t>
      </w:r>
    </w:p>
    <w:p w:rsidR="00286BDC" w:rsidRPr="000A1E00" w:rsidRDefault="00286BDC" w:rsidP="005D4C44">
      <w:pPr>
        <w:pStyle w:val="SingleTxtG"/>
        <w:rPr>
          <w:lang w:val="fr-FR"/>
        </w:rPr>
      </w:pPr>
      <w:r w:rsidRPr="000A1E00">
        <w:rPr>
          <w:lang w:val="fr-FR"/>
        </w:rPr>
        <w:t>14.</w:t>
      </w:r>
      <w:r w:rsidRPr="000A1E00">
        <w:rPr>
          <w:lang w:val="fr-FR"/>
        </w:rPr>
        <w:tab/>
        <w:t xml:space="preserve">Ayant examiné le rapport du Groupe de travail des explosifs et entendu les explications fournies par son </w:t>
      </w:r>
      <w:r w:rsidR="00D23349">
        <w:rPr>
          <w:lang w:val="fr-FR"/>
        </w:rPr>
        <w:t>p</w:t>
      </w:r>
      <w:r w:rsidRPr="000A1E00">
        <w:rPr>
          <w:lang w:val="fr-FR"/>
        </w:rPr>
        <w:t>résident, le Sous-Comité a pris note des conclusions ci-après pour chaque question à l</w:t>
      </w:r>
      <w:r w:rsidR="000A1E00">
        <w:rPr>
          <w:lang w:val="fr-FR"/>
        </w:rPr>
        <w:t>’</w:t>
      </w:r>
      <w:r w:rsidRPr="000A1E00">
        <w:rPr>
          <w:lang w:val="fr-FR"/>
        </w:rPr>
        <w:t>examen au titre des points 2 et 10 d) de l</w:t>
      </w:r>
      <w:r w:rsidR="000A1E00">
        <w:rPr>
          <w:lang w:val="fr-FR"/>
        </w:rPr>
        <w:t>’</w:t>
      </w:r>
      <w:r w:rsidRPr="000A1E00">
        <w:rPr>
          <w:lang w:val="fr-FR"/>
        </w:rPr>
        <w:t>ordre du jour. Les textes adoptés seraient inclus dans la liste récapitulative des projets d</w:t>
      </w:r>
      <w:r w:rsidR="000A1E00">
        <w:rPr>
          <w:lang w:val="fr-FR"/>
        </w:rPr>
        <w:t>’</w:t>
      </w:r>
      <w:r w:rsidRPr="000A1E00">
        <w:rPr>
          <w:lang w:val="fr-FR"/>
        </w:rPr>
        <w:t>amendements adoptés lors des cinquante et unième, cinquante-deuxième et cinquante-troisième sessions, pour confirmation par le Sous-Comité à sa session suivante. Étant donné que certains de ces textes ont été adoptés sur la base de documents informels disponibles uniquement en anglais, ils ne sont pas décrits dans les annexes au présent rapport.</w:t>
      </w:r>
    </w:p>
    <w:p w:rsidR="00286BDC" w:rsidRPr="000A1E00" w:rsidRDefault="00286BDC" w:rsidP="005D4C44">
      <w:pPr>
        <w:pStyle w:val="H1G"/>
        <w:rPr>
          <w:lang w:val="fr-FR"/>
        </w:rPr>
      </w:pPr>
      <w:r w:rsidRPr="000A1E00">
        <w:rPr>
          <w:lang w:val="fr-FR"/>
        </w:rPr>
        <w:tab/>
        <w:t>A.</w:t>
      </w:r>
      <w:r w:rsidRPr="000A1E00">
        <w:rPr>
          <w:lang w:val="fr-FR"/>
        </w:rPr>
        <w:tab/>
        <w:t>Révision des épreuves de la série 6</w:t>
      </w:r>
    </w:p>
    <w:p w:rsidR="00286BDC" w:rsidRPr="000A1E00" w:rsidRDefault="00286BDC" w:rsidP="005D4C44">
      <w:pPr>
        <w:pStyle w:val="SingleTxtG"/>
        <w:rPr>
          <w:lang w:val="fr-FR"/>
        </w:rPr>
      </w:pPr>
      <w:r w:rsidRPr="000A1E00">
        <w:rPr>
          <w:lang w:val="fr-FR"/>
        </w:rPr>
        <w:t>15.</w:t>
      </w:r>
      <w:r w:rsidRPr="000A1E00">
        <w:rPr>
          <w:lang w:val="fr-FR"/>
        </w:rPr>
        <w:tab/>
        <w:t>Aucun document n</w:t>
      </w:r>
      <w:r w:rsidR="000A1E00">
        <w:rPr>
          <w:lang w:val="fr-FR"/>
        </w:rPr>
        <w:t>’</w:t>
      </w:r>
      <w:r w:rsidRPr="000A1E00">
        <w:rPr>
          <w:lang w:val="fr-FR"/>
        </w:rPr>
        <w:t>ayant été soumis au titre de ce point de l</w:t>
      </w:r>
      <w:r w:rsidR="000A1E00">
        <w:rPr>
          <w:lang w:val="fr-FR"/>
        </w:rPr>
        <w:t>’</w:t>
      </w:r>
      <w:r w:rsidRPr="000A1E00">
        <w:rPr>
          <w:lang w:val="fr-FR"/>
        </w:rPr>
        <w:t>ordre du jour, cette question n</w:t>
      </w:r>
      <w:r w:rsidR="000A1E00">
        <w:rPr>
          <w:lang w:val="fr-FR"/>
        </w:rPr>
        <w:t>’</w:t>
      </w:r>
      <w:r w:rsidRPr="000A1E00">
        <w:rPr>
          <w:lang w:val="fr-FR"/>
        </w:rPr>
        <w:t>a pas été abordée.</w:t>
      </w:r>
    </w:p>
    <w:p w:rsidR="00286BDC" w:rsidRPr="000A1E00" w:rsidRDefault="00286BDC" w:rsidP="005D4C44">
      <w:pPr>
        <w:pStyle w:val="H1G"/>
        <w:rPr>
          <w:lang w:val="fr-FR"/>
        </w:rPr>
      </w:pPr>
      <w:r w:rsidRPr="000A1E00">
        <w:rPr>
          <w:lang w:val="fr-FR"/>
        </w:rPr>
        <w:tab/>
        <w:t>B.</w:t>
      </w:r>
      <w:r w:rsidRPr="000A1E00">
        <w:rPr>
          <w:lang w:val="fr-FR"/>
        </w:rPr>
        <w:tab/>
        <w:t>Révision des épreuves des parties I, II et III du Manuel d</w:t>
      </w:r>
      <w:r w:rsidR="000A1E00">
        <w:rPr>
          <w:lang w:val="fr-FR"/>
        </w:rPr>
        <w:t>’</w:t>
      </w:r>
      <w:r w:rsidRPr="000A1E00">
        <w:rPr>
          <w:lang w:val="fr-FR"/>
        </w:rPr>
        <w:t xml:space="preserve">épreuves </w:t>
      </w:r>
      <w:r w:rsidRPr="000A1E00">
        <w:rPr>
          <w:lang w:val="fr-FR"/>
        </w:rPr>
        <w:br/>
        <w:t>et de critères</w:t>
      </w:r>
    </w:p>
    <w:p w:rsidR="00286BDC" w:rsidRPr="000A1E00" w:rsidRDefault="00286BDC" w:rsidP="005D4C44">
      <w:pPr>
        <w:pStyle w:val="H23G"/>
        <w:rPr>
          <w:lang w:val="fr-FR"/>
        </w:rPr>
      </w:pPr>
      <w:r w:rsidRPr="000A1E00">
        <w:rPr>
          <w:lang w:val="fr-FR"/>
        </w:rPr>
        <w:tab/>
        <w:t>1.</w:t>
      </w:r>
      <w:r w:rsidRPr="000A1E00">
        <w:rPr>
          <w:lang w:val="fr-FR"/>
        </w:rPr>
        <w:tab/>
        <w:t>Amélioration de l</w:t>
      </w:r>
      <w:r w:rsidR="000A1E00">
        <w:rPr>
          <w:lang w:val="fr-FR"/>
        </w:rPr>
        <w:t>’</w:t>
      </w:r>
      <w:r w:rsidRPr="000A1E00">
        <w:rPr>
          <w:lang w:val="fr-FR"/>
        </w:rPr>
        <w:t>épreuve 8 c) pour les émulsions</w:t>
      </w:r>
      <w:r w:rsidR="00C94F0A" w:rsidRPr="000A1E00">
        <w:rPr>
          <w:lang w:val="fr-FR"/>
        </w:rPr>
        <w:t xml:space="preserve"> à base de nitrate d</w:t>
      </w:r>
      <w:r w:rsidR="000A1E00">
        <w:rPr>
          <w:lang w:val="fr-FR"/>
        </w:rPr>
        <w:t>’</w:t>
      </w:r>
      <w:r w:rsidR="00C94F0A" w:rsidRPr="000A1E00">
        <w:rPr>
          <w:lang w:val="fr-FR"/>
        </w:rPr>
        <w:t>ammonium (</w:t>
      </w:r>
      <w:r w:rsidR="00C94F0A" w:rsidRPr="000A1E00">
        <w:rPr>
          <w:rFonts w:eastAsia="MS Mincho"/>
          <w:szCs w:val="22"/>
          <w:lang w:val="fr-FR"/>
        </w:rPr>
        <w:t>No</w:t>
      </w:r>
      <w:r w:rsidR="00C94F0A" w:rsidRPr="000A1E00">
        <w:rPr>
          <w:lang w:val="fr-FR"/>
        </w:rPr>
        <w:t> </w:t>
      </w:r>
      <w:r w:rsidRPr="000A1E00">
        <w:rPr>
          <w:lang w:val="fr-FR"/>
        </w:rPr>
        <w:t>ONU 3375)</w:t>
      </w:r>
    </w:p>
    <w:p w:rsidR="00286BDC" w:rsidRPr="000A1E00" w:rsidRDefault="00286BDC" w:rsidP="00286BDC">
      <w:pPr>
        <w:pStyle w:val="SingleTxtG"/>
        <w:tabs>
          <w:tab w:val="left" w:pos="3119"/>
        </w:tabs>
        <w:rPr>
          <w:lang w:val="fr-FR"/>
        </w:rPr>
      </w:pPr>
      <w:r w:rsidRPr="000A1E00">
        <w:rPr>
          <w:i/>
          <w:iCs/>
          <w:lang w:val="fr-FR"/>
        </w:rPr>
        <w:t>Document informel </w:t>
      </w:r>
      <w:r w:rsidRPr="00D23349">
        <w:rPr>
          <w:iCs/>
          <w:lang w:val="fr-FR"/>
        </w:rPr>
        <w:t>:</w:t>
      </w:r>
      <w:r w:rsidRPr="000A1E00">
        <w:rPr>
          <w:lang w:val="fr-FR"/>
        </w:rPr>
        <w:t xml:space="preserve"> </w:t>
      </w:r>
      <w:r w:rsidRPr="000A1E00">
        <w:rPr>
          <w:lang w:val="fr-FR"/>
        </w:rPr>
        <w:tab/>
        <w:t>INF.22 (IME)</w:t>
      </w:r>
      <w:r w:rsidR="005D4C44" w:rsidRPr="000A1E00">
        <w:rPr>
          <w:lang w:val="fr-FR"/>
        </w:rPr>
        <w:t>.</w:t>
      </w:r>
    </w:p>
    <w:p w:rsidR="00286BDC" w:rsidRPr="000A1E00" w:rsidRDefault="00286BDC" w:rsidP="005D4C44">
      <w:pPr>
        <w:pStyle w:val="SingleTxtG"/>
        <w:rPr>
          <w:lang w:val="fr-FR"/>
        </w:rPr>
      </w:pPr>
      <w:r w:rsidRPr="000A1E00">
        <w:rPr>
          <w:lang w:val="fr-FR"/>
        </w:rPr>
        <w:t>16.</w:t>
      </w:r>
      <w:r w:rsidRPr="000A1E00">
        <w:rPr>
          <w:lang w:val="fr-FR"/>
        </w:rPr>
        <w:tab/>
        <w:t>Le Groupe de travail n</w:t>
      </w:r>
      <w:r w:rsidR="000A1E00">
        <w:rPr>
          <w:lang w:val="fr-FR"/>
        </w:rPr>
        <w:t>’</w:t>
      </w:r>
      <w:r w:rsidRPr="000A1E00">
        <w:rPr>
          <w:lang w:val="fr-FR"/>
        </w:rPr>
        <w:t>est pas parvenu à un consensus concernant la proposition d</w:t>
      </w:r>
      <w:r w:rsidR="000A1E00">
        <w:rPr>
          <w:lang w:val="fr-FR"/>
        </w:rPr>
        <w:t>’</w:t>
      </w:r>
      <w:r w:rsidRPr="000A1E00">
        <w:rPr>
          <w:lang w:val="fr-FR"/>
        </w:rPr>
        <w:t>épreuve de pression minimale de combustion pour les émulsions à base de nitrate d</w:t>
      </w:r>
      <w:r w:rsidR="000A1E00">
        <w:rPr>
          <w:lang w:val="fr-FR"/>
        </w:rPr>
        <w:t>’</w:t>
      </w:r>
      <w:r w:rsidRPr="000A1E00">
        <w:rPr>
          <w:lang w:val="fr-FR"/>
        </w:rPr>
        <w:t>ammonium. Le Sous-Comité a noté que l</w:t>
      </w:r>
      <w:r w:rsidR="000A1E00">
        <w:rPr>
          <w:lang w:val="fr-FR"/>
        </w:rPr>
        <w:t>’</w:t>
      </w:r>
      <w:r w:rsidRPr="000A1E00">
        <w:rPr>
          <w:lang w:val="fr-FR"/>
        </w:rPr>
        <w:t>expert du Canada et le représentant de l</w:t>
      </w:r>
      <w:r w:rsidR="000A1E00">
        <w:rPr>
          <w:lang w:val="fr-FR"/>
        </w:rPr>
        <w:t>’</w:t>
      </w:r>
      <w:r w:rsidRPr="000A1E00">
        <w:rPr>
          <w:lang w:val="fr-FR"/>
        </w:rPr>
        <w:t>IME soumettraient à la session suivante une proposition révisée tenant compte des observations formulées.</w:t>
      </w:r>
    </w:p>
    <w:p w:rsidR="00286BDC" w:rsidRPr="000A1E00" w:rsidRDefault="00286BDC" w:rsidP="005D4C44">
      <w:pPr>
        <w:pStyle w:val="H23G"/>
        <w:rPr>
          <w:lang w:val="fr-FR"/>
        </w:rPr>
      </w:pPr>
      <w:r w:rsidRPr="000A1E00">
        <w:rPr>
          <w:lang w:val="fr-FR"/>
        </w:rPr>
        <w:tab/>
        <w:t>2.</w:t>
      </w:r>
      <w:r w:rsidRPr="000A1E00">
        <w:rPr>
          <w:lang w:val="fr-FR"/>
        </w:rPr>
        <w:tab/>
        <w:t>Utilisation de l</w:t>
      </w:r>
      <w:r w:rsidR="000A1E00">
        <w:rPr>
          <w:lang w:val="fr-FR"/>
        </w:rPr>
        <w:t>’</w:t>
      </w:r>
      <w:r w:rsidRPr="000A1E00">
        <w:rPr>
          <w:lang w:val="fr-FR"/>
        </w:rPr>
        <w:t>expression « effet pratique explosif ou pyrotechnique »</w:t>
      </w:r>
    </w:p>
    <w:p w:rsidR="00286BDC" w:rsidRPr="000A1E00" w:rsidRDefault="00286BDC" w:rsidP="00286BDC">
      <w:pPr>
        <w:pStyle w:val="SingleTxtG"/>
        <w:tabs>
          <w:tab w:val="left" w:pos="3119"/>
        </w:tabs>
        <w:rPr>
          <w:lang w:val="fr-FR"/>
        </w:rPr>
      </w:pPr>
      <w:r w:rsidRPr="000A1E00">
        <w:rPr>
          <w:i/>
          <w:iCs/>
          <w:lang w:val="fr-FR"/>
        </w:rPr>
        <w:t>Document informel</w:t>
      </w:r>
      <w:r w:rsidRPr="000A1E00">
        <w:rPr>
          <w:iCs/>
          <w:lang w:val="fr-FR"/>
        </w:rPr>
        <w:t> :</w:t>
      </w:r>
      <w:r w:rsidRPr="000A1E00">
        <w:rPr>
          <w:lang w:val="fr-FR"/>
        </w:rPr>
        <w:t xml:space="preserve"> </w:t>
      </w:r>
      <w:r w:rsidRPr="000A1E00">
        <w:rPr>
          <w:lang w:val="fr-FR"/>
        </w:rPr>
        <w:tab/>
        <w:t>INF.39 (Suède)</w:t>
      </w:r>
      <w:r w:rsidR="00C94F0A" w:rsidRPr="000A1E00">
        <w:rPr>
          <w:lang w:val="fr-FR"/>
        </w:rPr>
        <w:t>.</w:t>
      </w:r>
    </w:p>
    <w:p w:rsidR="00286BDC" w:rsidRPr="000A1E00" w:rsidRDefault="00286BDC" w:rsidP="00C94F0A">
      <w:pPr>
        <w:pStyle w:val="SingleTxtG"/>
        <w:rPr>
          <w:lang w:val="fr-FR"/>
        </w:rPr>
      </w:pPr>
      <w:r w:rsidRPr="000A1E00">
        <w:rPr>
          <w:lang w:val="fr-FR"/>
        </w:rPr>
        <w:t>17.</w:t>
      </w:r>
      <w:r w:rsidRPr="000A1E00">
        <w:rPr>
          <w:lang w:val="fr-FR"/>
        </w:rPr>
        <w:tab/>
        <w:t>Le Sous-Comité a pris note des résultats des débats du Groupe de travail, comme indiqué au paragraphe 5 de son rapport. Il a été noté que l</w:t>
      </w:r>
      <w:r w:rsidR="000A1E00">
        <w:rPr>
          <w:lang w:val="fr-FR"/>
        </w:rPr>
        <w:t>’</w:t>
      </w:r>
      <w:r w:rsidRPr="000A1E00">
        <w:rPr>
          <w:lang w:val="fr-FR"/>
        </w:rPr>
        <w:t>expert de Suède tiendrait compte des observations faites et envisagerait de réexaminer cette question à l</w:t>
      </w:r>
      <w:r w:rsidR="000A1E00">
        <w:rPr>
          <w:lang w:val="fr-FR"/>
        </w:rPr>
        <w:t>’</w:t>
      </w:r>
      <w:r w:rsidRPr="000A1E00">
        <w:rPr>
          <w:lang w:val="fr-FR"/>
        </w:rPr>
        <w:t>avenir.</w:t>
      </w:r>
    </w:p>
    <w:p w:rsidR="00286BDC" w:rsidRPr="000A1E00" w:rsidRDefault="00286BDC" w:rsidP="00C94F0A">
      <w:pPr>
        <w:pStyle w:val="H1G"/>
        <w:rPr>
          <w:lang w:val="fr-FR"/>
        </w:rPr>
      </w:pPr>
      <w:r w:rsidRPr="000A1E00">
        <w:rPr>
          <w:lang w:val="fr-FR"/>
        </w:rPr>
        <w:tab/>
        <w:t>C.</w:t>
      </w:r>
      <w:r w:rsidRPr="000A1E00">
        <w:rPr>
          <w:lang w:val="fr-FR"/>
        </w:rPr>
        <w:tab/>
        <w:t>Détonateurs électroniques</w:t>
      </w:r>
    </w:p>
    <w:p w:rsidR="00286BDC" w:rsidRPr="000A1E00" w:rsidRDefault="00286BDC" w:rsidP="00286BDC">
      <w:pPr>
        <w:pStyle w:val="SingleTxtG"/>
        <w:tabs>
          <w:tab w:val="left" w:pos="3119"/>
        </w:tabs>
        <w:spacing w:after="240"/>
        <w:ind w:right="39"/>
        <w:jc w:val="left"/>
        <w:rPr>
          <w:i/>
          <w:lang w:val="fr-FR"/>
        </w:rPr>
      </w:pPr>
      <w:r w:rsidRPr="000A1E00">
        <w:rPr>
          <w:i/>
          <w:iCs/>
          <w:lang w:val="fr-FR"/>
        </w:rPr>
        <w:t>Document</w:t>
      </w:r>
      <w:r w:rsidRPr="000A1E00">
        <w:rPr>
          <w:iCs/>
          <w:lang w:val="fr-FR"/>
        </w:rPr>
        <w:t> :</w:t>
      </w:r>
      <w:r w:rsidRPr="000A1E00">
        <w:rPr>
          <w:lang w:val="fr-FR"/>
        </w:rPr>
        <w:tab/>
        <w:t>ST/SG/AC.10/C.3/2018/58 (AEISG)</w:t>
      </w:r>
      <w:r w:rsidR="00C94F0A" w:rsidRPr="000A1E00">
        <w:rPr>
          <w:lang w:val="fr-FR"/>
        </w:rPr>
        <w:t>.</w:t>
      </w:r>
    </w:p>
    <w:p w:rsidR="00286BDC" w:rsidRPr="000A1E00" w:rsidRDefault="00286BDC" w:rsidP="00C94F0A">
      <w:pPr>
        <w:pStyle w:val="SingleTxtG"/>
        <w:rPr>
          <w:lang w:val="fr-FR"/>
        </w:rPr>
      </w:pPr>
      <w:r w:rsidRPr="000A1E00">
        <w:rPr>
          <w:lang w:val="fr-FR"/>
        </w:rPr>
        <w:t>18.</w:t>
      </w:r>
      <w:r w:rsidRPr="000A1E00">
        <w:rPr>
          <w:lang w:val="fr-FR"/>
        </w:rPr>
        <w:tab/>
        <w:t>Le Sous-Comité a entériné la recommandation du Groupe de travail et a adopté les amen</w:t>
      </w:r>
      <w:r w:rsidRPr="000A1E00">
        <w:rPr>
          <w:spacing w:val="-2"/>
          <w:lang w:val="fr-FR"/>
        </w:rPr>
        <w:t>dements 1, 2, 3 et 4 figurant à l</w:t>
      </w:r>
      <w:r w:rsidR="000A1E00">
        <w:rPr>
          <w:spacing w:val="-2"/>
          <w:lang w:val="fr-FR"/>
        </w:rPr>
        <w:t>’</w:t>
      </w:r>
      <w:r w:rsidRPr="000A1E00">
        <w:rPr>
          <w:spacing w:val="-2"/>
          <w:lang w:val="fr-FR"/>
        </w:rPr>
        <w:t>annexe 2 du document informel I</w:t>
      </w:r>
      <w:r w:rsidRPr="000A1E00">
        <w:rPr>
          <w:lang w:val="fr-FR"/>
        </w:rPr>
        <w:t>NF.67 (voir annexe I).</w:t>
      </w:r>
      <w:bookmarkStart w:id="1" w:name="_Hlk517809633"/>
      <w:bookmarkEnd w:id="1"/>
    </w:p>
    <w:p w:rsidR="00286BDC" w:rsidRPr="000A1E00" w:rsidRDefault="00286BDC" w:rsidP="00C94F0A">
      <w:pPr>
        <w:pStyle w:val="H1G"/>
        <w:rPr>
          <w:lang w:val="fr-FR"/>
        </w:rPr>
      </w:pPr>
      <w:r w:rsidRPr="000A1E00">
        <w:rPr>
          <w:lang w:val="fr-FR"/>
        </w:rPr>
        <w:tab/>
        <w:t>D.</w:t>
      </w:r>
      <w:r w:rsidRPr="000A1E00">
        <w:rPr>
          <w:lang w:val="fr-FR"/>
        </w:rPr>
        <w:tab/>
        <w:t>Directives pour l</w:t>
      </w:r>
      <w:r w:rsidR="000A1E00">
        <w:rPr>
          <w:lang w:val="fr-FR"/>
        </w:rPr>
        <w:t>’</w:t>
      </w:r>
      <w:r w:rsidRPr="000A1E00">
        <w:rPr>
          <w:lang w:val="fr-FR"/>
        </w:rPr>
        <w:t>application des épreuves des séries 3 et 4</w:t>
      </w:r>
    </w:p>
    <w:p w:rsidR="00286BDC" w:rsidRPr="000A1E00" w:rsidRDefault="00286BDC" w:rsidP="00C94F0A">
      <w:pPr>
        <w:pStyle w:val="SingleTxtG"/>
        <w:rPr>
          <w:lang w:val="fr-FR"/>
        </w:rPr>
      </w:pPr>
      <w:r w:rsidRPr="000A1E00">
        <w:rPr>
          <w:lang w:val="fr-FR"/>
        </w:rPr>
        <w:t>19.</w:t>
      </w:r>
      <w:r w:rsidRPr="000A1E00">
        <w:rPr>
          <w:lang w:val="fr-FR"/>
        </w:rPr>
        <w:tab/>
        <w:t>Aucun document n</w:t>
      </w:r>
      <w:r w:rsidR="000A1E00">
        <w:rPr>
          <w:lang w:val="fr-FR"/>
        </w:rPr>
        <w:t>’</w:t>
      </w:r>
      <w:r w:rsidRPr="000A1E00">
        <w:rPr>
          <w:lang w:val="fr-FR"/>
        </w:rPr>
        <w:t>ayant été soumis au titre de ce point de l</w:t>
      </w:r>
      <w:r w:rsidR="000A1E00">
        <w:rPr>
          <w:lang w:val="fr-FR"/>
        </w:rPr>
        <w:t>’</w:t>
      </w:r>
      <w:r w:rsidRPr="000A1E00">
        <w:rPr>
          <w:lang w:val="fr-FR"/>
        </w:rPr>
        <w:t>ordre du jour, cette question n</w:t>
      </w:r>
      <w:r w:rsidR="000A1E00">
        <w:rPr>
          <w:lang w:val="fr-FR"/>
        </w:rPr>
        <w:t>’</w:t>
      </w:r>
      <w:r w:rsidRPr="000A1E00">
        <w:rPr>
          <w:lang w:val="fr-FR"/>
        </w:rPr>
        <w:t>a pas été abordée.</w:t>
      </w:r>
    </w:p>
    <w:p w:rsidR="00286BDC" w:rsidRPr="000A1E00" w:rsidRDefault="00286BDC" w:rsidP="00C94F0A">
      <w:pPr>
        <w:pStyle w:val="H1G"/>
        <w:rPr>
          <w:lang w:val="fr-FR"/>
        </w:rPr>
      </w:pPr>
      <w:r w:rsidRPr="000A1E00">
        <w:rPr>
          <w:lang w:val="fr-FR"/>
        </w:rPr>
        <w:tab/>
        <w:t>E.</w:t>
      </w:r>
      <w:r w:rsidRPr="000A1E00">
        <w:rPr>
          <w:lang w:val="fr-FR"/>
        </w:rPr>
        <w:tab/>
        <w:t>Épreuves de stabilité pour la nitrocellulose industrielle</w:t>
      </w:r>
    </w:p>
    <w:p w:rsidR="00286BDC" w:rsidRPr="000A1E00" w:rsidRDefault="00286BDC" w:rsidP="00C94F0A">
      <w:pPr>
        <w:pStyle w:val="H23G"/>
        <w:rPr>
          <w:lang w:val="fr-FR"/>
        </w:rPr>
      </w:pPr>
      <w:r w:rsidRPr="000A1E00">
        <w:rPr>
          <w:lang w:val="fr-FR"/>
        </w:rPr>
        <w:tab/>
        <w:t>1.</w:t>
      </w:r>
      <w:r w:rsidRPr="000A1E00">
        <w:rPr>
          <w:lang w:val="fr-FR"/>
        </w:rPr>
        <w:tab/>
        <w:t>Épreuves de stabilité pour les mélanges de nitrocellulose</w:t>
      </w:r>
    </w:p>
    <w:p w:rsidR="00286BDC" w:rsidRPr="000A1E00" w:rsidRDefault="00286BDC" w:rsidP="00286BDC">
      <w:pPr>
        <w:tabs>
          <w:tab w:val="left" w:pos="3119"/>
        </w:tabs>
        <w:spacing w:after="240"/>
        <w:ind w:left="567" w:firstLine="567"/>
        <w:rPr>
          <w:lang w:val="fr-FR"/>
        </w:rPr>
      </w:pPr>
      <w:r w:rsidRPr="000A1E00">
        <w:rPr>
          <w:i/>
          <w:iCs/>
          <w:lang w:val="fr-FR"/>
        </w:rPr>
        <w:t>Document</w:t>
      </w:r>
      <w:r w:rsidRPr="000A1E00">
        <w:rPr>
          <w:iCs/>
          <w:lang w:val="fr-FR"/>
        </w:rPr>
        <w:t> :</w:t>
      </w:r>
      <w:r w:rsidRPr="000A1E00">
        <w:rPr>
          <w:lang w:val="fr-FR"/>
        </w:rPr>
        <w:tab/>
        <w:t>ST/SG/AC.10/C.3/2018/9 (CEFIC)</w:t>
      </w:r>
      <w:r w:rsidR="00C94F0A" w:rsidRPr="000A1E00">
        <w:rPr>
          <w:lang w:val="fr-FR"/>
        </w:rPr>
        <w:t>.</w:t>
      </w:r>
    </w:p>
    <w:p w:rsidR="00286BDC" w:rsidRPr="000A1E00" w:rsidRDefault="00286BDC" w:rsidP="00C94F0A">
      <w:pPr>
        <w:pStyle w:val="SingleTxtG"/>
        <w:rPr>
          <w:lang w:val="fr-FR"/>
        </w:rPr>
      </w:pPr>
      <w:r w:rsidRPr="000A1E00">
        <w:rPr>
          <w:lang w:val="fr-FR"/>
        </w:rPr>
        <w:t>20.</w:t>
      </w:r>
      <w:r w:rsidRPr="000A1E00">
        <w:rPr>
          <w:lang w:val="fr-FR"/>
        </w:rPr>
        <w:tab/>
        <w:t>Le Sous-Comité a entériné la recommandation du Groupe de travail et a adopté l</w:t>
      </w:r>
      <w:r w:rsidR="000A1E00">
        <w:rPr>
          <w:lang w:val="fr-FR"/>
        </w:rPr>
        <w:t>’</w:t>
      </w:r>
      <w:r w:rsidRPr="000A1E00">
        <w:rPr>
          <w:lang w:val="fr-FR"/>
        </w:rPr>
        <w:t>amendement 5 figurant à l</w:t>
      </w:r>
      <w:r w:rsidR="000A1E00">
        <w:rPr>
          <w:lang w:val="fr-FR"/>
        </w:rPr>
        <w:t>’</w:t>
      </w:r>
      <w:r w:rsidRPr="000A1E00">
        <w:rPr>
          <w:lang w:val="fr-FR"/>
        </w:rPr>
        <w:t>annexe 2 et les amendements 1, 2, 3 et 4 figurant à l</w:t>
      </w:r>
      <w:r w:rsidR="000A1E00">
        <w:rPr>
          <w:lang w:val="fr-FR"/>
        </w:rPr>
        <w:t>’</w:t>
      </w:r>
      <w:r w:rsidRPr="000A1E00">
        <w:rPr>
          <w:lang w:val="fr-FR"/>
        </w:rPr>
        <w:t>annexe 3 du document informel INF.67 (voir annexes I et II).</w:t>
      </w:r>
    </w:p>
    <w:p w:rsidR="00286BDC" w:rsidRPr="000A1E00" w:rsidRDefault="00286BDC" w:rsidP="00286BDC">
      <w:pPr>
        <w:pStyle w:val="H23G"/>
        <w:rPr>
          <w:lang w:val="fr-FR"/>
        </w:rPr>
      </w:pPr>
      <w:r w:rsidRPr="000A1E00">
        <w:rPr>
          <w:lang w:val="fr-FR"/>
        </w:rPr>
        <w:tab/>
        <w:t>2.</w:t>
      </w:r>
      <w:r w:rsidRPr="000A1E00">
        <w:rPr>
          <w:lang w:val="fr-FR"/>
        </w:rPr>
        <w:tab/>
      </w:r>
      <w:r w:rsidRPr="000A1E00">
        <w:rPr>
          <w:bCs/>
          <w:lang w:val="fr-FR"/>
        </w:rPr>
        <w:t>Classement des explosifs désensibilisés conformément au chapitre 2.17 du SGH</w:t>
      </w:r>
    </w:p>
    <w:p w:rsidR="00286BDC" w:rsidRPr="000A1E00" w:rsidRDefault="00286BDC" w:rsidP="00286BDC">
      <w:pPr>
        <w:pStyle w:val="SingleTxtG"/>
        <w:tabs>
          <w:tab w:val="left" w:pos="3119"/>
        </w:tabs>
        <w:rPr>
          <w:lang w:val="fr-FR"/>
        </w:rPr>
      </w:pPr>
      <w:r w:rsidRPr="000A1E00">
        <w:rPr>
          <w:i/>
          <w:iCs/>
          <w:lang w:val="fr-FR"/>
        </w:rPr>
        <w:t>Document informel</w:t>
      </w:r>
      <w:r w:rsidRPr="000A1E00">
        <w:rPr>
          <w:iCs/>
          <w:lang w:val="fr-FR"/>
        </w:rPr>
        <w:t> :</w:t>
      </w:r>
      <w:r w:rsidRPr="000A1E00">
        <w:rPr>
          <w:lang w:val="fr-FR"/>
        </w:rPr>
        <w:t xml:space="preserve"> </w:t>
      </w:r>
      <w:r w:rsidRPr="000A1E00">
        <w:rPr>
          <w:lang w:val="fr-FR"/>
        </w:rPr>
        <w:tab/>
        <w:t>INF.7 (CEFIC)</w:t>
      </w:r>
      <w:r w:rsidR="00C94F0A" w:rsidRPr="000A1E00">
        <w:rPr>
          <w:lang w:val="fr-FR"/>
        </w:rPr>
        <w:t>.</w:t>
      </w:r>
    </w:p>
    <w:p w:rsidR="00286BDC" w:rsidRPr="000A1E00" w:rsidRDefault="00286BDC" w:rsidP="00C94F0A">
      <w:pPr>
        <w:pStyle w:val="SingleTxtG"/>
        <w:rPr>
          <w:lang w:val="fr-FR"/>
        </w:rPr>
      </w:pPr>
      <w:r w:rsidRPr="000A1E00">
        <w:rPr>
          <w:lang w:val="fr-FR"/>
        </w:rPr>
        <w:t>21.</w:t>
      </w:r>
      <w:r w:rsidRPr="000A1E00">
        <w:rPr>
          <w:lang w:val="fr-FR"/>
        </w:rPr>
        <w:tab/>
        <w:t>Le Sous-Comité a entériné la recommandation du Groupe de travail et a adopté les amendements 5 et 6 figurant à l</w:t>
      </w:r>
      <w:r w:rsidR="000A1E00">
        <w:rPr>
          <w:lang w:val="fr-FR"/>
        </w:rPr>
        <w:t>’</w:t>
      </w:r>
      <w:r w:rsidRPr="000A1E00">
        <w:rPr>
          <w:lang w:val="fr-FR"/>
        </w:rPr>
        <w:t>annexe 3 du document informel INF.67 avec quelques modifications (voir annexe II).</w:t>
      </w:r>
    </w:p>
    <w:p w:rsidR="00286BDC" w:rsidRPr="000A1E00" w:rsidRDefault="00286BDC" w:rsidP="00C94F0A">
      <w:pPr>
        <w:pStyle w:val="H1G"/>
        <w:rPr>
          <w:lang w:val="fr-FR"/>
        </w:rPr>
      </w:pPr>
      <w:r w:rsidRPr="000A1E00">
        <w:rPr>
          <w:lang w:val="fr-FR"/>
        </w:rPr>
        <w:tab/>
        <w:t>F.</w:t>
      </w:r>
      <w:r w:rsidRPr="000A1E00">
        <w:rPr>
          <w:lang w:val="fr-FR"/>
        </w:rPr>
        <w:tab/>
        <w:t>Application aux explosifs relevant de rubriques n.s.a. des dispositions relatives à la sûreté</w:t>
      </w:r>
    </w:p>
    <w:p w:rsidR="00286BDC" w:rsidRPr="000A1E00" w:rsidRDefault="00286BDC" w:rsidP="00C94F0A">
      <w:pPr>
        <w:pStyle w:val="SingleTxtG"/>
        <w:rPr>
          <w:lang w:val="fr-FR"/>
        </w:rPr>
      </w:pPr>
      <w:r w:rsidRPr="000A1E00">
        <w:rPr>
          <w:lang w:val="fr-FR"/>
        </w:rPr>
        <w:t>22.</w:t>
      </w:r>
      <w:r w:rsidRPr="000A1E00">
        <w:rPr>
          <w:lang w:val="fr-FR"/>
        </w:rPr>
        <w:tab/>
        <w:t>Aucun document n</w:t>
      </w:r>
      <w:r w:rsidR="000A1E00">
        <w:rPr>
          <w:lang w:val="fr-FR"/>
        </w:rPr>
        <w:t>’</w:t>
      </w:r>
      <w:r w:rsidRPr="000A1E00">
        <w:rPr>
          <w:lang w:val="fr-FR"/>
        </w:rPr>
        <w:t>ayant été soumis au titre de ce point de l</w:t>
      </w:r>
      <w:r w:rsidR="000A1E00">
        <w:rPr>
          <w:lang w:val="fr-FR"/>
        </w:rPr>
        <w:t>’</w:t>
      </w:r>
      <w:r w:rsidRPr="000A1E00">
        <w:rPr>
          <w:lang w:val="fr-FR"/>
        </w:rPr>
        <w:t>ordre du jour, cette question n</w:t>
      </w:r>
      <w:r w:rsidR="000A1E00">
        <w:rPr>
          <w:lang w:val="fr-FR"/>
        </w:rPr>
        <w:t>’</w:t>
      </w:r>
      <w:r w:rsidRPr="000A1E00">
        <w:rPr>
          <w:lang w:val="fr-FR"/>
        </w:rPr>
        <w:t>a pas été abordée.</w:t>
      </w:r>
    </w:p>
    <w:p w:rsidR="00286BDC" w:rsidRPr="000A1E00" w:rsidRDefault="00286BDC" w:rsidP="00C94F0A">
      <w:pPr>
        <w:pStyle w:val="H1G"/>
        <w:rPr>
          <w:lang w:val="fr-FR"/>
        </w:rPr>
      </w:pPr>
      <w:r w:rsidRPr="000A1E00">
        <w:rPr>
          <w:lang w:val="fr-FR"/>
        </w:rPr>
        <w:tab/>
        <w:t>G.</w:t>
      </w:r>
      <w:r w:rsidRPr="000A1E00">
        <w:rPr>
          <w:lang w:val="fr-FR"/>
        </w:rPr>
        <w:tab/>
        <w:t>Révision des instructions d</w:t>
      </w:r>
      <w:r w:rsidR="000A1E00">
        <w:rPr>
          <w:lang w:val="fr-FR"/>
        </w:rPr>
        <w:t>’</w:t>
      </w:r>
      <w:r w:rsidRPr="000A1E00">
        <w:rPr>
          <w:lang w:val="fr-FR"/>
        </w:rPr>
        <w:t>emballage pour les explosifs</w:t>
      </w:r>
    </w:p>
    <w:p w:rsidR="00286BDC" w:rsidRPr="000A1E00" w:rsidRDefault="00286BDC" w:rsidP="00C94F0A">
      <w:pPr>
        <w:pStyle w:val="SingleTxtG"/>
        <w:rPr>
          <w:lang w:val="fr-FR"/>
        </w:rPr>
      </w:pPr>
      <w:r w:rsidRPr="000A1E00">
        <w:rPr>
          <w:lang w:val="fr-FR"/>
        </w:rPr>
        <w:t>23.</w:t>
      </w:r>
      <w:r w:rsidRPr="000A1E00">
        <w:rPr>
          <w:lang w:val="fr-FR"/>
        </w:rPr>
        <w:tab/>
        <w:t>Aucun document n</w:t>
      </w:r>
      <w:r w:rsidR="000A1E00">
        <w:rPr>
          <w:lang w:val="fr-FR"/>
        </w:rPr>
        <w:t>’</w:t>
      </w:r>
      <w:r w:rsidRPr="000A1E00">
        <w:rPr>
          <w:lang w:val="fr-FR"/>
        </w:rPr>
        <w:t>ayant été soumis au titre de ce point de l</w:t>
      </w:r>
      <w:r w:rsidR="000A1E00">
        <w:rPr>
          <w:lang w:val="fr-FR"/>
        </w:rPr>
        <w:t>’</w:t>
      </w:r>
      <w:r w:rsidRPr="000A1E00">
        <w:rPr>
          <w:lang w:val="fr-FR"/>
        </w:rPr>
        <w:t>ordre du jour, cette question n</w:t>
      </w:r>
      <w:r w:rsidR="000A1E00">
        <w:rPr>
          <w:lang w:val="fr-FR"/>
        </w:rPr>
        <w:t>’</w:t>
      </w:r>
      <w:r w:rsidRPr="000A1E00">
        <w:rPr>
          <w:lang w:val="fr-FR"/>
        </w:rPr>
        <w:t>a pas été abordée.</w:t>
      </w:r>
    </w:p>
    <w:p w:rsidR="00286BDC" w:rsidRPr="000A1E00" w:rsidRDefault="00286BDC" w:rsidP="00C94F0A">
      <w:pPr>
        <w:pStyle w:val="H1G"/>
        <w:rPr>
          <w:lang w:val="fr-FR"/>
        </w:rPr>
      </w:pPr>
      <w:r w:rsidRPr="000A1E00">
        <w:rPr>
          <w:lang w:val="fr-FR"/>
        </w:rPr>
        <w:tab/>
        <w:t>H.</w:t>
      </w:r>
      <w:r w:rsidRPr="000A1E00">
        <w:rPr>
          <w:lang w:val="fr-FR"/>
        </w:rPr>
        <w:tab/>
        <w:t>Classement des articles sous le N</w:t>
      </w:r>
      <w:r w:rsidR="00C94F0A" w:rsidRPr="000A1E00">
        <w:rPr>
          <w:lang w:val="fr-FR"/>
        </w:rPr>
        <w:t>o </w:t>
      </w:r>
      <w:r w:rsidRPr="000A1E00">
        <w:rPr>
          <w:lang w:val="fr-FR"/>
        </w:rPr>
        <w:t>ONU 0349</w:t>
      </w:r>
    </w:p>
    <w:p w:rsidR="00286BDC" w:rsidRPr="000A1E00" w:rsidRDefault="00286BDC" w:rsidP="00C94F0A">
      <w:pPr>
        <w:pStyle w:val="SingleTxtG"/>
        <w:rPr>
          <w:lang w:val="fr-FR"/>
        </w:rPr>
      </w:pPr>
      <w:r w:rsidRPr="000A1E00">
        <w:rPr>
          <w:lang w:val="fr-FR"/>
        </w:rPr>
        <w:t>24.</w:t>
      </w:r>
      <w:r w:rsidRPr="000A1E00">
        <w:rPr>
          <w:lang w:val="fr-FR"/>
        </w:rPr>
        <w:tab/>
        <w:t>Aucun document n</w:t>
      </w:r>
      <w:r w:rsidR="000A1E00">
        <w:rPr>
          <w:lang w:val="fr-FR"/>
        </w:rPr>
        <w:t>’</w:t>
      </w:r>
      <w:r w:rsidRPr="000A1E00">
        <w:rPr>
          <w:lang w:val="fr-FR"/>
        </w:rPr>
        <w:t>ayant été soumis au titre de ce point de l</w:t>
      </w:r>
      <w:r w:rsidR="000A1E00">
        <w:rPr>
          <w:lang w:val="fr-FR"/>
        </w:rPr>
        <w:t>’</w:t>
      </w:r>
      <w:r w:rsidRPr="000A1E00">
        <w:rPr>
          <w:lang w:val="fr-FR"/>
        </w:rPr>
        <w:t>ordre du jour, cette question n</w:t>
      </w:r>
      <w:r w:rsidR="000A1E00">
        <w:rPr>
          <w:lang w:val="fr-FR"/>
        </w:rPr>
        <w:t>’</w:t>
      </w:r>
      <w:r w:rsidRPr="000A1E00">
        <w:rPr>
          <w:lang w:val="fr-FR"/>
        </w:rPr>
        <w:t>a pas été abordée.</w:t>
      </w:r>
    </w:p>
    <w:p w:rsidR="00286BDC" w:rsidRPr="000A1E00" w:rsidRDefault="00286BDC" w:rsidP="00C94F0A">
      <w:pPr>
        <w:pStyle w:val="H1G"/>
        <w:rPr>
          <w:lang w:val="fr-FR"/>
        </w:rPr>
      </w:pPr>
      <w:r w:rsidRPr="000A1E00">
        <w:rPr>
          <w:lang w:val="fr-FR"/>
        </w:rPr>
        <w:tab/>
        <w:t>I.</w:t>
      </w:r>
      <w:r w:rsidRPr="000A1E00">
        <w:rPr>
          <w:lang w:val="fr-FR"/>
        </w:rPr>
        <w:tab/>
        <w:t>Révision du chapitre 2.1 du SGH</w:t>
      </w:r>
    </w:p>
    <w:p w:rsidR="00286BDC" w:rsidRPr="000A1E00" w:rsidRDefault="00286BDC" w:rsidP="00286BDC">
      <w:pPr>
        <w:pStyle w:val="SingleTxtG"/>
        <w:tabs>
          <w:tab w:val="left" w:pos="3119"/>
        </w:tabs>
        <w:rPr>
          <w:lang w:val="fr-FR"/>
        </w:rPr>
      </w:pPr>
      <w:r w:rsidRPr="000A1E00">
        <w:rPr>
          <w:i/>
          <w:iCs/>
          <w:lang w:val="fr-FR"/>
        </w:rPr>
        <w:t>Document</w:t>
      </w:r>
      <w:r w:rsidRPr="000A1E00">
        <w:rPr>
          <w:iCs/>
          <w:lang w:val="fr-FR"/>
        </w:rPr>
        <w:t> :</w:t>
      </w:r>
      <w:r w:rsidRPr="000A1E00">
        <w:rPr>
          <w:lang w:val="fr-FR"/>
        </w:rPr>
        <w:tab/>
        <w:t>ST/SG/AC.10/C.3/2018/33 (Suède)</w:t>
      </w:r>
    </w:p>
    <w:p w:rsidR="00286BDC" w:rsidRPr="000A1E00" w:rsidRDefault="00286BDC" w:rsidP="00286BDC">
      <w:pPr>
        <w:pStyle w:val="SingleTxtG"/>
        <w:tabs>
          <w:tab w:val="left" w:pos="3119"/>
        </w:tabs>
        <w:spacing w:after="0"/>
        <w:rPr>
          <w:lang w:val="fr-FR"/>
        </w:rPr>
      </w:pPr>
      <w:r w:rsidRPr="000A1E00">
        <w:rPr>
          <w:i/>
          <w:iCs/>
          <w:lang w:val="fr-FR"/>
        </w:rPr>
        <w:t>Documents informels </w:t>
      </w:r>
      <w:r w:rsidRPr="000A1E00">
        <w:rPr>
          <w:iCs/>
          <w:lang w:val="fr-FR"/>
        </w:rPr>
        <w:t>:</w:t>
      </w:r>
      <w:r w:rsidRPr="000A1E00">
        <w:rPr>
          <w:lang w:val="fr-FR"/>
        </w:rPr>
        <w:t xml:space="preserve"> </w:t>
      </w:r>
      <w:r w:rsidRPr="000A1E00">
        <w:rPr>
          <w:lang w:val="fr-FR"/>
        </w:rPr>
        <w:tab/>
        <w:t>INF.9 (Suède)</w:t>
      </w:r>
    </w:p>
    <w:p w:rsidR="00286BDC" w:rsidRPr="000A1E00" w:rsidRDefault="00286BDC" w:rsidP="00286BDC">
      <w:pPr>
        <w:pStyle w:val="SingleTxtG"/>
        <w:tabs>
          <w:tab w:val="left" w:pos="3119"/>
        </w:tabs>
        <w:spacing w:after="0"/>
        <w:ind w:left="1701" w:firstLine="567"/>
        <w:rPr>
          <w:lang w:val="fr-FR"/>
        </w:rPr>
      </w:pPr>
      <w:r w:rsidRPr="000A1E00">
        <w:rPr>
          <w:lang w:val="fr-FR"/>
        </w:rPr>
        <w:tab/>
        <w:t>INF.33 (États-Unis d</w:t>
      </w:r>
      <w:r w:rsidR="000A1E00">
        <w:rPr>
          <w:lang w:val="fr-FR"/>
        </w:rPr>
        <w:t>’</w:t>
      </w:r>
      <w:r w:rsidRPr="000A1E00">
        <w:rPr>
          <w:lang w:val="fr-FR"/>
        </w:rPr>
        <w:t xml:space="preserve">Amérique, IME, SAAMI) </w:t>
      </w:r>
    </w:p>
    <w:p w:rsidR="00286BDC" w:rsidRPr="000A1E00" w:rsidRDefault="00286BDC" w:rsidP="00286BDC">
      <w:pPr>
        <w:pStyle w:val="SingleTxtG"/>
        <w:tabs>
          <w:tab w:val="left" w:pos="3119"/>
        </w:tabs>
        <w:ind w:left="2835" w:firstLine="284"/>
        <w:rPr>
          <w:lang w:val="fr-FR"/>
        </w:rPr>
      </w:pPr>
      <w:r w:rsidRPr="000A1E00">
        <w:rPr>
          <w:lang w:val="fr-FR"/>
        </w:rPr>
        <w:t>INF.46 (Suède)</w:t>
      </w:r>
      <w:r w:rsidR="00C94F0A" w:rsidRPr="000A1E00">
        <w:rPr>
          <w:lang w:val="fr-FR"/>
        </w:rPr>
        <w:t>.</w:t>
      </w:r>
    </w:p>
    <w:p w:rsidR="00286BDC" w:rsidRPr="000A1E00" w:rsidRDefault="00286BDC" w:rsidP="00C94F0A">
      <w:pPr>
        <w:pStyle w:val="SingleTxtG"/>
        <w:rPr>
          <w:lang w:val="fr-FR"/>
        </w:rPr>
      </w:pPr>
      <w:r w:rsidRPr="000A1E00">
        <w:rPr>
          <w:lang w:val="fr-FR"/>
        </w:rPr>
        <w:t>25.</w:t>
      </w:r>
      <w:r w:rsidRPr="000A1E00">
        <w:rPr>
          <w:lang w:val="fr-FR"/>
        </w:rPr>
        <w:tab/>
        <w:t>Le Sous-Comité a noté que le groupe informel du SGH chargé de la révision du chapitre 2.1 s</w:t>
      </w:r>
      <w:r w:rsidR="000A1E00">
        <w:rPr>
          <w:lang w:val="fr-FR"/>
        </w:rPr>
        <w:t>’</w:t>
      </w:r>
      <w:r w:rsidRPr="000A1E00">
        <w:rPr>
          <w:lang w:val="fr-FR"/>
        </w:rPr>
        <w:t>était réuni conjointement avec le Groupe de travail des explosifs, le mardi 28 juin, afin d</w:t>
      </w:r>
      <w:r w:rsidR="000A1E00">
        <w:rPr>
          <w:lang w:val="fr-FR"/>
        </w:rPr>
        <w:t>’</w:t>
      </w:r>
      <w:r w:rsidRPr="000A1E00">
        <w:rPr>
          <w:lang w:val="fr-FR"/>
        </w:rPr>
        <w:t>examiner et d</w:t>
      </w:r>
      <w:r w:rsidR="000A1E00">
        <w:rPr>
          <w:lang w:val="fr-FR"/>
        </w:rPr>
        <w:t>’</w:t>
      </w:r>
      <w:r w:rsidRPr="000A1E00">
        <w:rPr>
          <w:lang w:val="fr-FR"/>
        </w:rPr>
        <w:t>affiner certains aspects techniques, essentiellement les critères pour le projet de catégories du SGH. À l</w:t>
      </w:r>
      <w:r w:rsidR="000A1E00">
        <w:rPr>
          <w:lang w:val="fr-FR"/>
        </w:rPr>
        <w:t>’</w:t>
      </w:r>
      <w:r w:rsidRPr="000A1E00">
        <w:rPr>
          <w:lang w:val="fr-FR"/>
        </w:rPr>
        <w:t>issue d</w:t>
      </w:r>
      <w:r w:rsidR="000A1E00">
        <w:rPr>
          <w:lang w:val="fr-FR"/>
        </w:rPr>
        <w:t>’</w:t>
      </w:r>
      <w:r w:rsidRPr="000A1E00">
        <w:rPr>
          <w:lang w:val="fr-FR"/>
        </w:rPr>
        <w:t xml:space="preserve">un débat, les deux groupes sont convenus de ce qui </w:t>
      </w:r>
      <w:r w:rsidR="00C94F0A" w:rsidRPr="000A1E00">
        <w:rPr>
          <w:lang w:val="fr-FR"/>
        </w:rPr>
        <w:t>suit :</w:t>
      </w:r>
    </w:p>
    <w:p w:rsidR="00286BDC" w:rsidRPr="000A1E00" w:rsidRDefault="00286BDC" w:rsidP="00286BDC">
      <w:pPr>
        <w:pStyle w:val="SingleTxtG"/>
        <w:ind w:left="2268" w:hanging="567"/>
        <w:rPr>
          <w:lang w:val="fr-FR"/>
        </w:rPr>
      </w:pPr>
      <w:r w:rsidRPr="000A1E00">
        <w:rPr>
          <w:lang w:val="fr-FR"/>
        </w:rPr>
        <w:t>a)</w:t>
      </w:r>
      <w:r w:rsidRPr="000A1E00">
        <w:rPr>
          <w:lang w:val="fr-FR"/>
        </w:rPr>
        <w:tab/>
        <w:t>Le classement en divisions serait pertinent pour les explosifs dans leur emballage ou leur configuration de transport (y compris le stockage dans cet emballage ou cette configuration), la catégorie 1 étant affectée par défaut aux explosifs auxquels une division ne pourrait être affectée (par exemple dans des situations de fabrication, de transformation ou autres similaires) ;</w:t>
      </w:r>
    </w:p>
    <w:p w:rsidR="00286BDC" w:rsidRPr="000A1E00" w:rsidRDefault="00C94F0A" w:rsidP="00286BDC">
      <w:pPr>
        <w:pStyle w:val="SingleTxtG"/>
        <w:ind w:left="2268" w:hanging="567"/>
        <w:rPr>
          <w:lang w:val="fr-FR"/>
        </w:rPr>
      </w:pPr>
      <w:r w:rsidRPr="000A1E00">
        <w:rPr>
          <w:lang w:val="fr-FR"/>
        </w:rPr>
        <w:t>b)</w:t>
      </w:r>
      <w:r w:rsidRPr="000A1E00">
        <w:rPr>
          <w:lang w:val="fr-FR"/>
        </w:rPr>
        <w:tab/>
      </w:r>
      <w:r w:rsidR="00286BDC" w:rsidRPr="000A1E00">
        <w:rPr>
          <w:lang w:val="fr-FR"/>
        </w:rPr>
        <w:t>Le classement au niveau des sous-catégories (conformément aux critères énoncés au point 18 du document informel INF.67) serait pertinent pour la distribution et l</w:t>
      </w:r>
      <w:r w:rsidR="000A1E00">
        <w:rPr>
          <w:lang w:val="fr-FR"/>
        </w:rPr>
        <w:t>’</w:t>
      </w:r>
      <w:r w:rsidR="00286BDC" w:rsidRPr="000A1E00">
        <w:rPr>
          <w:lang w:val="fr-FR"/>
        </w:rPr>
        <w:t xml:space="preserve">utilisation et </w:t>
      </w:r>
      <w:r w:rsidRPr="000A1E00">
        <w:rPr>
          <w:lang w:val="fr-FR"/>
        </w:rPr>
        <w:t>d</w:t>
      </w:r>
      <w:r w:rsidR="000A1E00">
        <w:rPr>
          <w:lang w:val="fr-FR"/>
        </w:rPr>
        <w:t>’</w:t>
      </w:r>
      <w:r w:rsidRPr="000A1E00">
        <w:rPr>
          <w:lang w:val="fr-FR"/>
        </w:rPr>
        <w:t>autres situations similaires.</w:t>
      </w:r>
    </w:p>
    <w:p w:rsidR="00286BDC" w:rsidRPr="000A1E00" w:rsidRDefault="00286BDC" w:rsidP="00C94F0A">
      <w:pPr>
        <w:pStyle w:val="SingleTxtG"/>
        <w:rPr>
          <w:lang w:val="fr-FR"/>
        </w:rPr>
      </w:pPr>
      <w:r w:rsidRPr="000A1E00">
        <w:rPr>
          <w:lang w:val="fr-FR"/>
        </w:rPr>
        <w:t>26.</w:t>
      </w:r>
      <w:r w:rsidRPr="000A1E00">
        <w:rPr>
          <w:lang w:val="fr-FR"/>
        </w:rPr>
        <w:tab/>
        <w:t>Le Sous-Comité a noté que les deux groupes étaient parvenus à un consensus sur l</w:t>
      </w:r>
      <w:r w:rsidR="000A1E00">
        <w:rPr>
          <w:lang w:val="fr-FR"/>
        </w:rPr>
        <w:t>’</w:t>
      </w:r>
      <w:r w:rsidRPr="000A1E00">
        <w:rPr>
          <w:lang w:val="fr-FR"/>
        </w:rPr>
        <w:t>interprétation du projet de système de classification et continueraient de s</w:t>
      </w:r>
      <w:r w:rsidR="000A1E00">
        <w:rPr>
          <w:lang w:val="fr-FR"/>
        </w:rPr>
        <w:t>’</w:t>
      </w:r>
      <w:r w:rsidRPr="000A1E00">
        <w:rPr>
          <w:lang w:val="fr-FR"/>
        </w:rPr>
        <w:t>employer à préciser certains détails techniques et à mettre la dernière main à la révision.</w:t>
      </w:r>
    </w:p>
    <w:p w:rsidR="00286BDC" w:rsidRPr="000A1E00" w:rsidRDefault="00286BDC" w:rsidP="00C94F0A">
      <w:pPr>
        <w:pStyle w:val="SingleTxtG"/>
        <w:rPr>
          <w:lang w:val="fr-FR"/>
        </w:rPr>
      </w:pPr>
      <w:r w:rsidRPr="000A1E00">
        <w:rPr>
          <w:lang w:val="fr-FR"/>
        </w:rPr>
        <w:t>27.</w:t>
      </w:r>
      <w:r w:rsidRPr="000A1E00">
        <w:rPr>
          <w:lang w:val="fr-FR"/>
        </w:rPr>
        <w:tab/>
        <w:t>Il a également été noté que la révision du chapitre 2.1 serait également abordée lors de la session conjointe des sous-comités TMD et SGH (voir les paragraphes 163 à 165) et à la trente-cinquième session du Sous-Comité SGH (voir le do</w:t>
      </w:r>
      <w:r w:rsidR="00C94F0A" w:rsidRPr="000A1E00">
        <w:rPr>
          <w:lang w:val="fr-FR"/>
        </w:rPr>
        <w:t>cument ST/SG/AC.10/C.4/70, par. </w:t>
      </w:r>
      <w:r w:rsidRPr="000A1E00">
        <w:rPr>
          <w:lang w:val="fr-FR"/>
        </w:rPr>
        <w:t>24 à 27).</w:t>
      </w:r>
    </w:p>
    <w:p w:rsidR="00286BDC" w:rsidRPr="000A1E00" w:rsidRDefault="00286BDC" w:rsidP="00C94F0A">
      <w:pPr>
        <w:pStyle w:val="H1G"/>
        <w:rPr>
          <w:lang w:val="fr-FR"/>
        </w:rPr>
      </w:pPr>
      <w:r w:rsidRPr="000A1E00">
        <w:rPr>
          <w:lang w:val="fr-FR"/>
        </w:rPr>
        <w:tab/>
        <w:t>J.</w:t>
      </w:r>
      <w:r w:rsidRPr="000A1E00">
        <w:rPr>
          <w:lang w:val="fr-FR"/>
        </w:rPr>
        <w:tab/>
        <w:t>Divers</w:t>
      </w:r>
    </w:p>
    <w:p w:rsidR="00286BDC" w:rsidRPr="000A1E00" w:rsidRDefault="00286BDC" w:rsidP="00C94F0A">
      <w:pPr>
        <w:pStyle w:val="H23G"/>
        <w:rPr>
          <w:lang w:val="fr-FR"/>
        </w:rPr>
      </w:pPr>
      <w:r w:rsidRPr="000A1E00">
        <w:rPr>
          <w:lang w:val="fr-FR"/>
        </w:rPr>
        <w:tab/>
        <w:t>1.</w:t>
      </w:r>
      <w:r w:rsidRPr="000A1E00">
        <w:rPr>
          <w:lang w:val="fr-FR"/>
        </w:rPr>
        <w:tab/>
      </w:r>
      <w:r w:rsidR="00C94F0A" w:rsidRPr="000A1E00">
        <w:rPr>
          <w:lang w:val="fr-FR"/>
        </w:rPr>
        <w:t>Référence à la norme ISO </w:t>
      </w:r>
      <w:r w:rsidRPr="000A1E00">
        <w:rPr>
          <w:lang w:val="fr-FR"/>
        </w:rPr>
        <w:t>12097 au paragraphe 2.1.3.6.4</w:t>
      </w:r>
    </w:p>
    <w:p w:rsidR="00286BDC" w:rsidRPr="000A1E00" w:rsidRDefault="00286BDC" w:rsidP="00286BDC">
      <w:pPr>
        <w:pStyle w:val="SingleTxtG"/>
        <w:tabs>
          <w:tab w:val="left" w:pos="3119"/>
        </w:tabs>
        <w:spacing w:after="240"/>
        <w:ind w:right="39"/>
        <w:jc w:val="left"/>
        <w:rPr>
          <w:i/>
          <w:lang w:val="fr-FR"/>
        </w:rPr>
      </w:pPr>
      <w:r w:rsidRPr="000A1E00">
        <w:rPr>
          <w:i/>
          <w:iCs/>
          <w:lang w:val="fr-FR"/>
        </w:rPr>
        <w:t>Document</w:t>
      </w:r>
      <w:r w:rsidRPr="000A1E00">
        <w:rPr>
          <w:iCs/>
          <w:lang w:val="fr-FR"/>
        </w:rPr>
        <w:t> :</w:t>
      </w:r>
      <w:r w:rsidRPr="000A1E00">
        <w:rPr>
          <w:lang w:val="fr-FR"/>
        </w:rPr>
        <w:tab/>
        <w:t>ST/SG/AC.10/C.3/2018/6 (Allemagne)</w:t>
      </w:r>
      <w:r w:rsidR="00C94F0A" w:rsidRPr="000A1E00">
        <w:rPr>
          <w:lang w:val="fr-FR"/>
        </w:rPr>
        <w:t>.</w:t>
      </w:r>
    </w:p>
    <w:p w:rsidR="00286BDC" w:rsidRPr="000A1E00" w:rsidRDefault="00286BDC" w:rsidP="00C94F0A">
      <w:pPr>
        <w:pStyle w:val="SingleTxtG"/>
        <w:rPr>
          <w:lang w:val="fr-FR"/>
        </w:rPr>
      </w:pPr>
      <w:r w:rsidRPr="000A1E00">
        <w:rPr>
          <w:lang w:val="fr-FR"/>
        </w:rPr>
        <w:t>28.</w:t>
      </w:r>
      <w:r w:rsidRPr="000A1E00">
        <w:rPr>
          <w:lang w:val="fr-FR"/>
        </w:rPr>
        <w:tab/>
        <w:t>Le Sous-Comité a entériné la recommandation du Groupe de travail et a adopté l</w:t>
      </w:r>
      <w:r w:rsidR="000A1E00">
        <w:rPr>
          <w:lang w:val="fr-FR"/>
        </w:rPr>
        <w:t>’</w:t>
      </w:r>
      <w:r w:rsidRPr="000A1E00">
        <w:rPr>
          <w:lang w:val="fr-FR"/>
        </w:rPr>
        <w:t>amendement 6 figurant à l</w:t>
      </w:r>
      <w:r w:rsidR="000A1E00">
        <w:rPr>
          <w:lang w:val="fr-FR"/>
        </w:rPr>
        <w:t>’</w:t>
      </w:r>
      <w:r w:rsidRPr="000A1E00">
        <w:rPr>
          <w:lang w:val="fr-FR"/>
        </w:rPr>
        <w:t>annexe 2 du document informel INF.67 (voir annexe I).</w:t>
      </w:r>
    </w:p>
    <w:p w:rsidR="00286BDC" w:rsidRPr="000A1E00" w:rsidRDefault="00286BDC" w:rsidP="00C94F0A">
      <w:pPr>
        <w:pStyle w:val="H23G"/>
        <w:rPr>
          <w:lang w:val="fr-FR"/>
        </w:rPr>
      </w:pPr>
      <w:r w:rsidRPr="000A1E00">
        <w:rPr>
          <w:lang w:val="fr-FR"/>
        </w:rPr>
        <w:tab/>
        <w:t>2.</w:t>
      </w:r>
      <w:r w:rsidRPr="000A1E00">
        <w:rPr>
          <w:lang w:val="fr-FR"/>
        </w:rPr>
        <w:tab/>
      </w:r>
      <w:r w:rsidR="00C94F0A" w:rsidRPr="000A1E00">
        <w:rPr>
          <w:lang w:val="fr-FR"/>
        </w:rPr>
        <w:t>Classement du No </w:t>
      </w:r>
      <w:r w:rsidRPr="000A1E00">
        <w:rPr>
          <w:lang w:val="fr-FR"/>
        </w:rPr>
        <w:t>ONU 0431</w:t>
      </w:r>
    </w:p>
    <w:p w:rsidR="00286BDC" w:rsidRPr="000A1E00" w:rsidRDefault="00286BDC" w:rsidP="00286BDC">
      <w:pPr>
        <w:pStyle w:val="SingleTxtG"/>
        <w:tabs>
          <w:tab w:val="left" w:pos="3119"/>
        </w:tabs>
        <w:spacing w:after="240"/>
        <w:ind w:right="39"/>
        <w:jc w:val="left"/>
        <w:rPr>
          <w:i/>
          <w:lang w:val="fr-FR"/>
        </w:rPr>
      </w:pPr>
      <w:r w:rsidRPr="000A1E00">
        <w:rPr>
          <w:i/>
          <w:iCs/>
          <w:lang w:val="fr-FR"/>
        </w:rPr>
        <w:t>Document </w:t>
      </w:r>
      <w:r w:rsidRPr="000A1E00">
        <w:rPr>
          <w:iCs/>
          <w:lang w:val="fr-FR"/>
        </w:rPr>
        <w:t>:</w:t>
      </w:r>
      <w:r w:rsidRPr="000A1E00">
        <w:rPr>
          <w:lang w:val="fr-FR"/>
        </w:rPr>
        <w:tab/>
        <w:t>ST/SG/AC.10/C.3/2018/48 (États-Unis d</w:t>
      </w:r>
      <w:r w:rsidR="000A1E00">
        <w:rPr>
          <w:lang w:val="fr-FR"/>
        </w:rPr>
        <w:t>’</w:t>
      </w:r>
      <w:r w:rsidRPr="000A1E00">
        <w:rPr>
          <w:lang w:val="fr-FR"/>
        </w:rPr>
        <w:t>Amérique)</w:t>
      </w:r>
      <w:r w:rsidR="00C94F0A" w:rsidRPr="000A1E00">
        <w:rPr>
          <w:lang w:val="fr-FR"/>
        </w:rPr>
        <w:t>.</w:t>
      </w:r>
    </w:p>
    <w:p w:rsidR="00286BDC" w:rsidRPr="000A1E00" w:rsidRDefault="00286BDC" w:rsidP="00C94F0A">
      <w:pPr>
        <w:pStyle w:val="SingleTxtG"/>
        <w:rPr>
          <w:lang w:val="fr-FR"/>
        </w:rPr>
      </w:pPr>
      <w:r w:rsidRPr="000A1E00">
        <w:rPr>
          <w:lang w:val="fr-FR"/>
        </w:rPr>
        <w:t>29.</w:t>
      </w:r>
      <w:r w:rsidRPr="000A1E00">
        <w:rPr>
          <w:lang w:val="fr-FR"/>
        </w:rPr>
        <w:tab/>
        <w:t>Le Groupe de travail n</w:t>
      </w:r>
      <w:r w:rsidR="000A1E00">
        <w:rPr>
          <w:lang w:val="fr-FR"/>
        </w:rPr>
        <w:t>’</w:t>
      </w:r>
      <w:r w:rsidRPr="000A1E00">
        <w:rPr>
          <w:lang w:val="fr-FR"/>
        </w:rPr>
        <w:t xml:space="preserve">est pas parvenu à un consensus pour y inclure le </w:t>
      </w:r>
      <w:r w:rsidR="00C94F0A" w:rsidRPr="000A1E00">
        <w:rPr>
          <w:lang w:val="fr-FR"/>
        </w:rPr>
        <w:t>No </w:t>
      </w:r>
      <w:r w:rsidRPr="000A1E00">
        <w:rPr>
          <w:lang w:val="fr-FR"/>
        </w:rPr>
        <w:t>ONU</w:t>
      </w:r>
      <w:r w:rsidR="00C94F0A" w:rsidRPr="000A1E00">
        <w:rPr>
          <w:lang w:val="fr-FR"/>
        </w:rPr>
        <w:t> </w:t>
      </w:r>
      <w:r w:rsidRPr="000A1E00">
        <w:rPr>
          <w:lang w:val="fr-FR"/>
        </w:rPr>
        <w:t>0431 dans le tableau de classification par défaut des artifices de divertissement au paragraphe 2.1.3.5.5. Le Sous-Comité a noté que l</w:t>
      </w:r>
      <w:r w:rsidR="000A1E00">
        <w:rPr>
          <w:lang w:val="fr-FR"/>
        </w:rPr>
        <w:t>’</w:t>
      </w:r>
      <w:r w:rsidRPr="000A1E00">
        <w:rPr>
          <w:lang w:val="fr-FR"/>
        </w:rPr>
        <w:t>expert des États-Unis d</w:t>
      </w:r>
      <w:r w:rsidR="000A1E00">
        <w:rPr>
          <w:lang w:val="fr-FR"/>
        </w:rPr>
        <w:t>’</w:t>
      </w:r>
      <w:r w:rsidRPr="000A1E00">
        <w:rPr>
          <w:lang w:val="fr-FR"/>
        </w:rPr>
        <w:t>Amérique procéderait à un examen plus approfondi et envisagerait de présenter une proposition révisée à l</w:t>
      </w:r>
      <w:r w:rsidR="000A1E00">
        <w:rPr>
          <w:lang w:val="fr-FR"/>
        </w:rPr>
        <w:t>’</w:t>
      </w:r>
      <w:r w:rsidRPr="000A1E00">
        <w:rPr>
          <w:lang w:val="fr-FR"/>
        </w:rPr>
        <w:t xml:space="preserve">avenir. </w:t>
      </w:r>
    </w:p>
    <w:p w:rsidR="00286BDC" w:rsidRPr="000A1E00" w:rsidRDefault="00286BDC" w:rsidP="00C94F0A">
      <w:pPr>
        <w:pStyle w:val="H23G"/>
        <w:rPr>
          <w:lang w:val="fr-FR"/>
        </w:rPr>
      </w:pPr>
      <w:r w:rsidRPr="000A1E00">
        <w:rPr>
          <w:lang w:val="fr-FR"/>
        </w:rPr>
        <w:tab/>
        <w:t>3.</w:t>
      </w:r>
      <w:r w:rsidRPr="000A1E00">
        <w:rPr>
          <w:lang w:val="fr-FR"/>
        </w:rPr>
        <w:tab/>
        <w:t>Détermination de la sensibilité à une décharge électrostatique</w:t>
      </w:r>
    </w:p>
    <w:p w:rsidR="00286BDC" w:rsidRPr="000A1E00" w:rsidRDefault="00286BDC" w:rsidP="00286BDC">
      <w:pPr>
        <w:pStyle w:val="SingleTxtG"/>
        <w:tabs>
          <w:tab w:val="left" w:pos="3119"/>
        </w:tabs>
        <w:spacing w:after="240"/>
        <w:ind w:right="39"/>
        <w:jc w:val="left"/>
        <w:rPr>
          <w:lang w:val="en-US"/>
        </w:rPr>
      </w:pPr>
      <w:r w:rsidRPr="000A1E00">
        <w:rPr>
          <w:i/>
          <w:iCs/>
          <w:lang w:val="en-US"/>
        </w:rPr>
        <w:t>Document </w:t>
      </w:r>
      <w:r w:rsidRPr="000A1E00">
        <w:rPr>
          <w:iCs/>
          <w:lang w:val="en-US"/>
        </w:rPr>
        <w:t>:</w:t>
      </w:r>
      <w:r w:rsidRPr="000A1E00">
        <w:rPr>
          <w:lang w:val="en-US"/>
        </w:rPr>
        <w:tab/>
        <w:t>ST/SG/AC.10/C.3/2018/52 (SAAMI)</w:t>
      </w:r>
      <w:r w:rsidR="00C73F6E">
        <w:rPr>
          <w:lang w:val="en-US"/>
        </w:rPr>
        <w:t>.</w:t>
      </w:r>
    </w:p>
    <w:p w:rsidR="00286BDC" w:rsidRPr="000A1E00" w:rsidRDefault="00286BDC" w:rsidP="00286BDC">
      <w:pPr>
        <w:pStyle w:val="SingleTxtG"/>
        <w:rPr>
          <w:lang w:val="fr-FR"/>
        </w:rPr>
      </w:pPr>
      <w:r w:rsidRPr="000A1E00">
        <w:rPr>
          <w:lang w:val="fr-FR"/>
        </w:rPr>
        <w:t>30.</w:t>
      </w:r>
      <w:r w:rsidRPr="000A1E00">
        <w:rPr>
          <w:lang w:val="fr-FR"/>
        </w:rPr>
        <w:tab/>
        <w:t>Le Sous-Comité a pris note des préoccupations du Groupe de travail concernant l</w:t>
      </w:r>
      <w:r w:rsidR="000A1E00">
        <w:rPr>
          <w:lang w:val="fr-FR"/>
        </w:rPr>
        <w:t>’</w:t>
      </w:r>
      <w:r w:rsidRPr="000A1E00">
        <w:rPr>
          <w:lang w:val="fr-FR"/>
        </w:rPr>
        <w:t>inclusion dans le Manuel d</w:t>
      </w:r>
      <w:r w:rsidR="000A1E00">
        <w:rPr>
          <w:lang w:val="fr-FR"/>
        </w:rPr>
        <w:t>’</w:t>
      </w:r>
      <w:r w:rsidRPr="000A1E00">
        <w:rPr>
          <w:lang w:val="fr-FR"/>
        </w:rPr>
        <w:t>épreuves et de critères d</w:t>
      </w:r>
      <w:r w:rsidR="000A1E00">
        <w:rPr>
          <w:lang w:val="fr-FR"/>
        </w:rPr>
        <w:t>’</w:t>
      </w:r>
      <w:r w:rsidRPr="000A1E00">
        <w:rPr>
          <w:lang w:val="fr-FR"/>
        </w:rPr>
        <w:t>épreuves qui ne sont pas exigées par le Règlement type, du manque de soutien général à l</w:t>
      </w:r>
      <w:r w:rsidR="000A1E00">
        <w:rPr>
          <w:lang w:val="fr-FR"/>
        </w:rPr>
        <w:t>’</w:t>
      </w:r>
      <w:r w:rsidRPr="000A1E00">
        <w:rPr>
          <w:lang w:val="fr-FR"/>
        </w:rPr>
        <w:t>idée de décrire les méthodes précises permettant de déterminer la sensibilité à une décharge électrostatique et de la suggestion de remplacer ces méthodes par un aperçu du type d</w:t>
      </w:r>
      <w:r w:rsidR="000A1E00">
        <w:rPr>
          <w:lang w:val="fr-FR"/>
        </w:rPr>
        <w:t>’</w:t>
      </w:r>
      <w:r w:rsidRPr="000A1E00">
        <w:rPr>
          <w:lang w:val="fr-FR"/>
        </w:rPr>
        <w:t>épreuve illustré par quelques exemples. Il a également été noté que le représentant du SAAMI tiendrait compte des observations formulées et envisagerait de présenter une proposition à l</w:t>
      </w:r>
      <w:r w:rsidR="000A1E00">
        <w:rPr>
          <w:lang w:val="fr-FR"/>
        </w:rPr>
        <w:t>’</w:t>
      </w:r>
      <w:r w:rsidRPr="000A1E00">
        <w:rPr>
          <w:lang w:val="fr-FR"/>
        </w:rPr>
        <w:t>avenir.</w:t>
      </w:r>
    </w:p>
    <w:p w:rsidR="00286BDC" w:rsidRPr="000A1E00" w:rsidRDefault="00286BDC" w:rsidP="00286BDC">
      <w:pPr>
        <w:pStyle w:val="H23G"/>
        <w:keepNext w:val="0"/>
        <w:keepLines w:val="0"/>
        <w:spacing w:line="220" w:lineRule="exact"/>
        <w:rPr>
          <w:lang w:val="fr-FR"/>
        </w:rPr>
      </w:pPr>
      <w:r w:rsidRPr="000A1E00">
        <w:rPr>
          <w:lang w:val="fr-FR"/>
        </w:rPr>
        <w:tab/>
        <w:t xml:space="preserve">4. </w:t>
      </w:r>
      <w:r w:rsidRPr="000A1E00">
        <w:rPr>
          <w:lang w:val="fr-FR"/>
        </w:rPr>
        <w:tab/>
      </w:r>
      <w:r w:rsidRPr="000A1E00">
        <w:rPr>
          <w:bCs/>
          <w:lang w:val="fr-FR"/>
        </w:rPr>
        <w:t>Transport d</w:t>
      </w:r>
      <w:r w:rsidR="000A1E00">
        <w:rPr>
          <w:bCs/>
          <w:lang w:val="fr-FR"/>
        </w:rPr>
        <w:t>’</w:t>
      </w:r>
      <w:r w:rsidRPr="000A1E00">
        <w:rPr>
          <w:bCs/>
          <w:lang w:val="fr-FR"/>
        </w:rPr>
        <w:t>expéditions contrôlées d</w:t>
      </w:r>
      <w:r w:rsidR="000A1E00">
        <w:rPr>
          <w:bCs/>
          <w:lang w:val="fr-FR"/>
        </w:rPr>
        <w:t>’</w:t>
      </w:r>
      <w:r w:rsidRPr="000A1E00">
        <w:rPr>
          <w:bCs/>
          <w:lang w:val="fr-FR"/>
        </w:rPr>
        <w:t>explosifs (≤ 25 g) non encore classés</w:t>
      </w:r>
      <w:r w:rsidRPr="000A1E00">
        <w:rPr>
          <w:lang w:val="fr-FR"/>
        </w:rPr>
        <w:t xml:space="preserve"> </w:t>
      </w:r>
    </w:p>
    <w:p w:rsidR="00286BDC" w:rsidRPr="000A1E00" w:rsidRDefault="00286BDC" w:rsidP="00286BDC">
      <w:pPr>
        <w:pStyle w:val="SingleTxtG"/>
        <w:tabs>
          <w:tab w:val="left" w:pos="3119"/>
        </w:tabs>
        <w:spacing w:after="240"/>
        <w:ind w:right="39"/>
        <w:jc w:val="left"/>
        <w:rPr>
          <w:iCs/>
          <w:lang w:val="en-US"/>
        </w:rPr>
      </w:pPr>
      <w:r w:rsidRPr="000A1E00">
        <w:rPr>
          <w:i/>
          <w:iCs/>
          <w:lang w:val="en-US"/>
        </w:rPr>
        <w:t>Document</w:t>
      </w:r>
      <w:r w:rsidRPr="00D23349">
        <w:rPr>
          <w:iCs/>
          <w:lang w:val="en-US"/>
        </w:rPr>
        <w:t> :</w:t>
      </w:r>
      <w:r w:rsidRPr="000A1E00">
        <w:rPr>
          <w:lang w:val="en-US"/>
        </w:rPr>
        <w:tab/>
        <w:t>ST/SG/AC.10/C.3/2018/53 (SAAMI)</w:t>
      </w:r>
    </w:p>
    <w:p w:rsidR="00286BDC" w:rsidRPr="000A1E00" w:rsidRDefault="00286BDC" w:rsidP="00286BDC">
      <w:pPr>
        <w:pStyle w:val="SingleTxtG"/>
        <w:tabs>
          <w:tab w:val="left" w:pos="3119"/>
        </w:tabs>
        <w:spacing w:after="240"/>
        <w:ind w:right="39"/>
        <w:jc w:val="left"/>
        <w:rPr>
          <w:i/>
          <w:lang w:val="fr-FR"/>
        </w:rPr>
      </w:pPr>
      <w:r w:rsidRPr="000A1E00">
        <w:rPr>
          <w:i/>
          <w:iCs/>
          <w:lang w:val="fr-FR"/>
        </w:rPr>
        <w:t>Document informel</w:t>
      </w:r>
      <w:r w:rsidRPr="00D23349">
        <w:rPr>
          <w:iCs/>
          <w:lang w:val="fr-FR"/>
        </w:rPr>
        <w:t> :</w:t>
      </w:r>
      <w:r w:rsidRPr="000A1E00">
        <w:rPr>
          <w:lang w:val="fr-FR"/>
        </w:rPr>
        <w:t xml:space="preserve"> </w:t>
      </w:r>
      <w:r w:rsidRPr="000A1E00">
        <w:rPr>
          <w:lang w:val="fr-FR"/>
        </w:rPr>
        <w:tab/>
        <w:t>INF.43 (SAAMI)</w:t>
      </w:r>
      <w:r w:rsidR="00C73F6E">
        <w:rPr>
          <w:lang w:val="fr-FR"/>
        </w:rPr>
        <w:t>.</w:t>
      </w:r>
    </w:p>
    <w:p w:rsidR="00286BDC" w:rsidRPr="000A1E00" w:rsidRDefault="00286BDC" w:rsidP="00286BDC">
      <w:pPr>
        <w:pStyle w:val="SingleTxtG"/>
        <w:rPr>
          <w:lang w:val="fr-FR"/>
        </w:rPr>
      </w:pPr>
      <w:r w:rsidRPr="000A1E00">
        <w:rPr>
          <w:lang w:val="fr-FR"/>
        </w:rPr>
        <w:t>31.</w:t>
      </w:r>
      <w:r w:rsidRPr="000A1E00">
        <w:rPr>
          <w:lang w:val="fr-FR"/>
        </w:rPr>
        <w:tab/>
        <w:t>Le Sous-Comité a pris note des conclusions et des observations formulées par le Groupe de travail dans le document informel INF.67 (point 12) et a noté que le SAAMI envisagerait à l</w:t>
      </w:r>
      <w:r w:rsidR="000A1E00">
        <w:rPr>
          <w:lang w:val="fr-FR"/>
        </w:rPr>
        <w:t>’</w:t>
      </w:r>
      <w:r w:rsidRPr="000A1E00">
        <w:rPr>
          <w:lang w:val="fr-FR"/>
        </w:rPr>
        <w:t>avenir de soumettre une proposition révisée qui tiendrait compte de ces conclusions et observations. Prenant note de la proposition figurant dans le document informel INF.43 pour la classification dans la division 1.4, groupe de compatibilité S, et notant que les explosifs de la division 1.4S pouvaient être transportés dans des avions de transport de passagers, la représentante de l</w:t>
      </w:r>
      <w:r w:rsidR="000A1E00">
        <w:rPr>
          <w:lang w:val="fr-FR"/>
        </w:rPr>
        <w:t>’</w:t>
      </w:r>
      <w:r w:rsidRPr="000A1E00">
        <w:rPr>
          <w:lang w:val="fr-FR"/>
        </w:rPr>
        <w:t>OACI a invité le SAAMI à fournir de plus amples informations sur cette proposition au Groupe d</w:t>
      </w:r>
      <w:r w:rsidR="000A1E00">
        <w:rPr>
          <w:lang w:val="fr-FR"/>
        </w:rPr>
        <w:t>’</w:t>
      </w:r>
      <w:r w:rsidRPr="000A1E00">
        <w:rPr>
          <w:lang w:val="fr-FR"/>
        </w:rPr>
        <w:t>experts sur les marchandises dangereuses de l</w:t>
      </w:r>
      <w:r w:rsidR="000A1E00">
        <w:rPr>
          <w:lang w:val="fr-FR"/>
        </w:rPr>
        <w:t>’</w:t>
      </w:r>
      <w:r w:rsidRPr="000A1E00">
        <w:rPr>
          <w:lang w:val="fr-FR"/>
        </w:rPr>
        <w:t>OACI.</w:t>
      </w:r>
    </w:p>
    <w:p w:rsidR="00286BDC" w:rsidRPr="000A1E00" w:rsidRDefault="00286BDC" w:rsidP="00286BDC">
      <w:pPr>
        <w:pStyle w:val="H23G"/>
        <w:keepNext w:val="0"/>
        <w:keepLines w:val="0"/>
        <w:spacing w:line="220" w:lineRule="exact"/>
        <w:rPr>
          <w:lang w:val="fr-FR"/>
        </w:rPr>
      </w:pPr>
      <w:r w:rsidRPr="000A1E00">
        <w:rPr>
          <w:lang w:val="fr-FR"/>
        </w:rPr>
        <w:tab/>
        <w:t>5.</w:t>
      </w:r>
      <w:r w:rsidRPr="000A1E00">
        <w:rPr>
          <w:lang w:val="fr-FR"/>
        </w:rPr>
        <w:tab/>
      </w:r>
      <w:r w:rsidRPr="000A1E00">
        <w:rPr>
          <w:bCs/>
          <w:lang w:val="fr-FR"/>
        </w:rPr>
        <w:t>Transport d</w:t>
      </w:r>
      <w:r w:rsidR="000A1E00">
        <w:rPr>
          <w:bCs/>
          <w:lang w:val="fr-FR"/>
        </w:rPr>
        <w:t>’</w:t>
      </w:r>
      <w:r w:rsidRPr="000A1E00">
        <w:rPr>
          <w:bCs/>
          <w:lang w:val="fr-FR"/>
        </w:rPr>
        <w:t>échantillons énergétiques en vue d</w:t>
      </w:r>
      <w:r w:rsidR="000A1E00">
        <w:rPr>
          <w:bCs/>
          <w:lang w:val="fr-FR"/>
        </w:rPr>
        <w:t>’</w:t>
      </w:r>
      <w:r w:rsidRPr="000A1E00">
        <w:rPr>
          <w:bCs/>
          <w:lang w:val="fr-FR"/>
        </w:rPr>
        <w:t>essais complémentaires</w:t>
      </w:r>
    </w:p>
    <w:p w:rsidR="00286BDC" w:rsidRPr="000A1E00" w:rsidRDefault="00286BDC" w:rsidP="00286BDC">
      <w:pPr>
        <w:pStyle w:val="SingleTxtG"/>
        <w:tabs>
          <w:tab w:val="left" w:pos="3119"/>
        </w:tabs>
        <w:spacing w:after="240"/>
        <w:ind w:right="39"/>
        <w:jc w:val="left"/>
        <w:rPr>
          <w:i/>
          <w:lang w:val="fr-FR"/>
        </w:rPr>
      </w:pPr>
      <w:r w:rsidRPr="000A1E00">
        <w:rPr>
          <w:i/>
          <w:iCs/>
          <w:lang w:val="fr-FR"/>
        </w:rPr>
        <w:t>Document informel </w:t>
      </w:r>
      <w:r w:rsidRPr="00D23349">
        <w:rPr>
          <w:iCs/>
          <w:lang w:val="fr-FR"/>
        </w:rPr>
        <w:t>:</w:t>
      </w:r>
      <w:r w:rsidRPr="000A1E00">
        <w:rPr>
          <w:lang w:val="fr-FR"/>
        </w:rPr>
        <w:t xml:space="preserve"> </w:t>
      </w:r>
      <w:r w:rsidRPr="000A1E00">
        <w:rPr>
          <w:lang w:val="fr-FR"/>
        </w:rPr>
        <w:tab/>
        <w:t>INF.17 (CEFIC)</w:t>
      </w:r>
      <w:r w:rsidR="00D23349">
        <w:rPr>
          <w:lang w:val="fr-FR"/>
        </w:rPr>
        <w:t>.</w:t>
      </w:r>
    </w:p>
    <w:p w:rsidR="00286BDC" w:rsidRPr="000A1E00" w:rsidRDefault="00286BDC" w:rsidP="00286BDC">
      <w:pPr>
        <w:pStyle w:val="SingleTxtG"/>
        <w:rPr>
          <w:lang w:val="fr-FR"/>
        </w:rPr>
      </w:pPr>
      <w:r w:rsidRPr="000A1E00">
        <w:rPr>
          <w:lang w:val="fr-FR"/>
        </w:rPr>
        <w:t>32.</w:t>
      </w:r>
      <w:r w:rsidRPr="000A1E00">
        <w:rPr>
          <w:lang w:val="fr-FR"/>
        </w:rPr>
        <w:tab/>
        <w:t>Le Sous-Comité a noté que le Groupe de travail avait demandé à disposer de plus de temps pour examiner la question et lui trouver une solution pratique et qu</w:t>
      </w:r>
      <w:r w:rsidR="000A1E00">
        <w:rPr>
          <w:lang w:val="fr-FR"/>
        </w:rPr>
        <w:t>’</w:t>
      </w:r>
      <w:r w:rsidRPr="000A1E00">
        <w:rPr>
          <w:lang w:val="fr-FR"/>
        </w:rPr>
        <w:t xml:space="preserve">il avait encouragé le représentant du CEFIC à soumettre un document officiel à une session ultérieure pour faciliter les débats. </w:t>
      </w:r>
    </w:p>
    <w:p w:rsidR="00286BDC" w:rsidRPr="000A1E00" w:rsidRDefault="00286BDC" w:rsidP="00286BDC">
      <w:pPr>
        <w:pStyle w:val="H23G"/>
        <w:keepNext w:val="0"/>
        <w:keepLines w:val="0"/>
        <w:spacing w:line="220" w:lineRule="exact"/>
        <w:rPr>
          <w:lang w:val="fr-FR"/>
        </w:rPr>
      </w:pPr>
      <w:r w:rsidRPr="000A1E00">
        <w:rPr>
          <w:lang w:val="fr-FR"/>
        </w:rPr>
        <w:tab/>
        <w:t>6.</w:t>
      </w:r>
      <w:r w:rsidRPr="000A1E00">
        <w:rPr>
          <w:lang w:val="fr-FR"/>
        </w:rPr>
        <w:tab/>
      </w:r>
      <w:r w:rsidR="00C94F0A" w:rsidRPr="000A1E00">
        <w:rPr>
          <w:bCs/>
          <w:lang w:val="fr-FR"/>
        </w:rPr>
        <w:t>No ONU </w:t>
      </w:r>
      <w:r w:rsidRPr="000A1E00">
        <w:rPr>
          <w:bCs/>
          <w:lang w:val="fr-FR"/>
        </w:rPr>
        <w:t>0222 Nitrate d</w:t>
      </w:r>
      <w:r w:rsidR="000A1E00">
        <w:rPr>
          <w:bCs/>
          <w:lang w:val="fr-FR"/>
        </w:rPr>
        <w:t>’</w:t>
      </w:r>
      <w:r w:rsidRPr="000A1E00">
        <w:rPr>
          <w:bCs/>
          <w:lang w:val="fr-FR"/>
        </w:rPr>
        <w:t>ammonium</w:t>
      </w:r>
    </w:p>
    <w:p w:rsidR="00286BDC" w:rsidRPr="000A1E00" w:rsidRDefault="00286BDC" w:rsidP="00286BDC">
      <w:pPr>
        <w:pStyle w:val="SingleTxtG"/>
        <w:tabs>
          <w:tab w:val="left" w:pos="3119"/>
        </w:tabs>
        <w:spacing w:after="240"/>
        <w:ind w:right="39"/>
        <w:jc w:val="left"/>
        <w:rPr>
          <w:i/>
          <w:lang w:val="fr-FR"/>
        </w:rPr>
      </w:pPr>
      <w:r w:rsidRPr="000A1E00">
        <w:rPr>
          <w:i/>
          <w:iCs/>
          <w:lang w:val="fr-FR"/>
        </w:rPr>
        <w:t>Document informel </w:t>
      </w:r>
      <w:r w:rsidRPr="000A1E00">
        <w:rPr>
          <w:iCs/>
          <w:lang w:val="fr-FR"/>
        </w:rPr>
        <w:t>:</w:t>
      </w:r>
      <w:r w:rsidRPr="000A1E00">
        <w:rPr>
          <w:lang w:val="fr-FR"/>
        </w:rPr>
        <w:t xml:space="preserve"> </w:t>
      </w:r>
      <w:r w:rsidRPr="000A1E00">
        <w:rPr>
          <w:lang w:val="fr-FR"/>
        </w:rPr>
        <w:tab/>
        <w:t>INF.21 (IME)</w:t>
      </w:r>
      <w:r w:rsidR="00C94F0A" w:rsidRPr="000A1E00">
        <w:rPr>
          <w:lang w:val="fr-FR"/>
        </w:rPr>
        <w:t>.</w:t>
      </w:r>
    </w:p>
    <w:p w:rsidR="00286BDC" w:rsidRPr="000A1E00" w:rsidRDefault="00286BDC" w:rsidP="00286BDC">
      <w:pPr>
        <w:pStyle w:val="SingleTxtG"/>
        <w:rPr>
          <w:lang w:val="fr-FR"/>
        </w:rPr>
      </w:pPr>
      <w:r w:rsidRPr="000A1E00">
        <w:rPr>
          <w:lang w:val="fr-FR"/>
        </w:rPr>
        <w:t>33.</w:t>
      </w:r>
      <w:r w:rsidRPr="000A1E00">
        <w:rPr>
          <w:lang w:val="fr-FR"/>
        </w:rPr>
        <w:tab/>
        <w:t>Le Sous-Comité a noté que le Groupe de travail n</w:t>
      </w:r>
      <w:r w:rsidR="000A1E00">
        <w:rPr>
          <w:lang w:val="fr-FR"/>
        </w:rPr>
        <w:t>’</w:t>
      </w:r>
      <w:r w:rsidRPr="000A1E00">
        <w:rPr>
          <w:lang w:val="fr-FR"/>
        </w:rPr>
        <w:t>avait pas pu parvenir à un consensus sur la proposition tendant à exclure le nitrate d</w:t>
      </w:r>
      <w:r w:rsidR="000A1E00">
        <w:rPr>
          <w:lang w:val="fr-FR"/>
        </w:rPr>
        <w:t>’</w:t>
      </w:r>
      <w:r w:rsidRPr="000A1E00">
        <w:rPr>
          <w:lang w:val="fr-FR"/>
        </w:rPr>
        <w:t>ammonium de qualité commerciale de la portée actuelle de la dispositi</w:t>
      </w:r>
      <w:r w:rsidR="00C94F0A" w:rsidRPr="000A1E00">
        <w:rPr>
          <w:lang w:val="fr-FR"/>
        </w:rPr>
        <w:t>on spéciale 370, applicable au No </w:t>
      </w:r>
      <w:r w:rsidRPr="000A1E00">
        <w:rPr>
          <w:lang w:val="fr-FR"/>
        </w:rPr>
        <w:t>ONU</w:t>
      </w:r>
      <w:r w:rsidR="00C94F0A" w:rsidRPr="000A1E00">
        <w:rPr>
          <w:lang w:val="fr-FR"/>
        </w:rPr>
        <w:t> </w:t>
      </w:r>
      <w:r w:rsidRPr="000A1E00">
        <w:rPr>
          <w:lang w:val="fr-FR"/>
        </w:rPr>
        <w:t>0222, et que le représentant de l</w:t>
      </w:r>
      <w:r w:rsidR="000A1E00">
        <w:rPr>
          <w:lang w:val="fr-FR"/>
        </w:rPr>
        <w:t>’</w:t>
      </w:r>
      <w:r w:rsidRPr="000A1E00">
        <w:rPr>
          <w:lang w:val="fr-FR"/>
        </w:rPr>
        <w:t>IME soumettrait une proposition révisée à la session suivante.</w:t>
      </w:r>
    </w:p>
    <w:p w:rsidR="00286BDC" w:rsidRPr="000A1E00" w:rsidRDefault="00286BDC" w:rsidP="00286BDC">
      <w:pPr>
        <w:pStyle w:val="H23G"/>
        <w:keepNext w:val="0"/>
        <w:keepLines w:val="0"/>
        <w:rPr>
          <w:lang w:val="fr-FR"/>
        </w:rPr>
      </w:pPr>
      <w:r w:rsidRPr="000A1E00">
        <w:rPr>
          <w:lang w:val="fr-FR"/>
        </w:rPr>
        <w:tab/>
        <w:t>7.</w:t>
      </w:r>
      <w:r w:rsidRPr="000A1E00">
        <w:rPr>
          <w:lang w:val="fr-FR"/>
        </w:rPr>
        <w:tab/>
      </w:r>
      <w:r w:rsidRPr="000A1E00">
        <w:rPr>
          <w:bCs/>
          <w:lang w:val="fr-FR"/>
        </w:rPr>
        <w:t>Ajout à la liste des marchandises dangereuses des rubriques correspondant à l</w:t>
      </w:r>
      <w:r w:rsidR="000A1E00">
        <w:rPr>
          <w:bCs/>
          <w:lang w:val="fr-FR"/>
        </w:rPr>
        <w:t>’</w:t>
      </w:r>
      <w:r w:rsidRPr="000A1E00">
        <w:rPr>
          <w:bCs/>
          <w:lang w:val="fr-FR"/>
        </w:rPr>
        <w:t>instruction d</w:t>
      </w:r>
      <w:r w:rsidR="000A1E00">
        <w:rPr>
          <w:bCs/>
          <w:lang w:val="fr-FR"/>
        </w:rPr>
        <w:t>’</w:t>
      </w:r>
      <w:r w:rsidRPr="000A1E00">
        <w:rPr>
          <w:bCs/>
          <w:lang w:val="fr-FR"/>
        </w:rPr>
        <w:t>emballage LP101</w:t>
      </w:r>
    </w:p>
    <w:p w:rsidR="00286BDC" w:rsidRPr="000A1E00" w:rsidRDefault="00286BDC" w:rsidP="00286BDC">
      <w:pPr>
        <w:pStyle w:val="SingleTxtG"/>
        <w:tabs>
          <w:tab w:val="left" w:pos="3119"/>
        </w:tabs>
        <w:spacing w:after="240"/>
        <w:ind w:right="39"/>
        <w:jc w:val="left"/>
        <w:rPr>
          <w:i/>
          <w:lang w:val="fr-FR"/>
        </w:rPr>
      </w:pPr>
      <w:r w:rsidRPr="000A1E00">
        <w:rPr>
          <w:i/>
          <w:iCs/>
          <w:lang w:val="fr-FR"/>
        </w:rPr>
        <w:t>Document informel</w:t>
      </w:r>
      <w:r w:rsidRPr="000A1E00">
        <w:rPr>
          <w:iCs/>
          <w:lang w:val="fr-FR"/>
        </w:rPr>
        <w:t> :</w:t>
      </w:r>
      <w:r w:rsidRPr="000A1E00">
        <w:rPr>
          <w:lang w:val="fr-FR"/>
        </w:rPr>
        <w:t xml:space="preserve"> </w:t>
      </w:r>
      <w:r w:rsidRPr="000A1E00">
        <w:rPr>
          <w:lang w:val="fr-FR"/>
        </w:rPr>
        <w:tab/>
        <w:t>INF.24 (Royaume-Uni)</w:t>
      </w:r>
      <w:r w:rsidR="00CF30D6">
        <w:rPr>
          <w:lang w:val="fr-FR"/>
        </w:rPr>
        <w:t>.</w:t>
      </w:r>
    </w:p>
    <w:p w:rsidR="00286BDC" w:rsidRPr="000A1E00" w:rsidRDefault="00286BDC" w:rsidP="00286BDC">
      <w:pPr>
        <w:pStyle w:val="SingleTxtG"/>
        <w:rPr>
          <w:lang w:val="fr-FR"/>
        </w:rPr>
      </w:pPr>
      <w:r w:rsidRPr="000A1E00">
        <w:rPr>
          <w:lang w:val="fr-FR"/>
        </w:rPr>
        <w:t>34.</w:t>
      </w:r>
      <w:r w:rsidRPr="000A1E00">
        <w:rPr>
          <w:lang w:val="fr-FR"/>
        </w:rPr>
        <w:tab/>
        <w:t>Le Sous-Comité a noté les différentes interprétations sur l</w:t>
      </w:r>
      <w:r w:rsidR="000A1E00">
        <w:rPr>
          <w:lang w:val="fr-FR"/>
        </w:rPr>
        <w:t>’</w:t>
      </w:r>
      <w:r w:rsidRPr="000A1E00">
        <w:rPr>
          <w:lang w:val="fr-FR"/>
        </w:rPr>
        <w:t>opportunité d</w:t>
      </w:r>
      <w:r w:rsidR="000A1E00">
        <w:rPr>
          <w:lang w:val="fr-FR"/>
        </w:rPr>
        <w:t>’</w:t>
      </w:r>
      <w:r w:rsidRPr="000A1E00">
        <w:rPr>
          <w:lang w:val="fr-FR"/>
        </w:rPr>
        <w:t>utiliser l</w:t>
      </w:r>
      <w:r w:rsidR="000A1E00">
        <w:rPr>
          <w:lang w:val="fr-FR"/>
        </w:rPr>
        <w:t>’</w:t>
      </w:r>
      <w:r w:rsidRPr="000A1E00">
        <w:rPr>
          <w:lang w:val="fr-FR"/>
        </w:rPr>
        <w:t>instruction d</w:t>
      </w:r>
      <w:r w:rsidR="000A1E00">
        <w:rPr>
          <w:lang w:val="fr-FR"/>
        </w:rPr>
        <w:t>’</w:t>
      </w:r>
      <w:r w:rsidRPr="000A1E00">
        <w:rPr>
          <w:lang w:val="fr-FR"/>
        </w:rPr>
        <w:t xml:space="preserve">emballage LP101 pour le transport de petits articles affectés au </w:t>
      </w:r>
      <w:r w:rsidR="00C94F0A" w:rsidRPr="000A1E00">
        <w:rPr>
          <w:lang w:val="fr-FR"/>
        </w:rPr>
        <w:t>No </w:t>
      </w:r>
      <w:r w:rsidRPr="000A1E00">
        <w:rPr>
          <w:lang w:val="fr-FR"/>
        </w:rPr>
        <w:t>ONU</w:t>
      </w:r>
      <w:r w:rsidR="00C94F0A" w:rsidRPr="000A1E00">
        <w:rPr>
          <w:lang w:val="fr-FR"/>
        </w:rPr>
        <w:t> </w:t>
      </w:r>
      <w:r w:rsidRPr="000A1E00">
        <w:rPr>
          <w:lang w:val="fr-FR"/>
        </w:rPr>
        <w:t>0012 et que l</w:t>
      </w:r>
      <w:r w:rsidR="000A1E00">
        <w:rPr>
          <w:lang w:val="fr-FR"/>
        </w:rPr>
        <w:t>’</w:t>
      </w:r>
      <w:r w:rsidRPr="000A1E00">
        <w:rPr>
          <w:lang w:val="fr-FR"/>
        </w:rPr>
        <w:t>expert du Royaume-Uni avait l</w:t>
      </w:r>
      <w:r w:rsidR="000A1E00">
        <w:rPr>
          <w:lang w:val="fr-FR"/>
        </w:rPr>
        <w:t>’</w:t>
      </w:r>
      <w:r w:rsidRPr="000A1E00">
        <w:rPr>
          <w:lang w:val="fr-FR"/>
        </w:rPr>
        <w:t>intention de se pencher sur les observations formulées par le Groupe de travail et de soumettre un document officiel à la session suivante.</w:t>
      </w:r>
    </w:p>
    <w:p w:rsidR="00286BDC" w:rsidRPr="000A1E00" w:rsidRDefault="00286BDC" w:rsidP="00286BDC">
      <w:pPr>
        <w:pStyle w:val="H23G"/>
        <w:keepNext w:val="0"/>
        <w:keepLines w:val="0"/>
        <w:rPr>
          <w:lang w:val="fr-FR"/>
        </w:rPr>
      </w:pPr>
      <w:r w:rsidRPr="000A1E00">
        <w:rPr>
          <w:lang w:val="fr-FR"/>
        </w:rPr>
        <w:tab/>
        <w:t>8.</w:t>
      </w:r>
      <w:r w:rsidRPr="000A1E00">
        <w:rPr>
          <w:lang w:val="fr-FR"/>
        </w:rPr>
        <w:tab/>
        <w:t>Désignations officielles de transport en espagnol pour les explosifs</w:t>
      </w:r>
    </w:p>
    <w:p w:rsidR="00286BDC" w:rsidRPr="000A1E00" w:rsidRDefault="00286BDC" w:rsidP="00286BDC">
      <w:pPr>
        <w:pStyle w:val="SingleTxtG"/>
        <w:tabs>
          <w:tab w:val="left" w:pos="3119"/>
        </w:tabs>
        <w:spacing w:after="240"/>
        <w:ind w:right="39"/>
        <w:jc w:val="left"/>
        <w:rPr>
          <w:i/>
          <w:lang w:val="fr-FR"/>
        </w:rPr>
      </w:pPr>
      <w:r w:rsidRPr="000A1E00">
        <w:rPr>
          <w:i/>
          <w:iCs/>
          <w:lang w:val="fr-FR"/>
        </w:rPr>
        <w:t>Document informel </w:t>
      </w:r>
      <w:r w:rsidRPr="000A1E00">
        <w:rPr>
          <w:iCs/>
          <w:lang w:val="fr-FR"/>
        </w:rPr>
        <w:t>:</w:t>
      </w:r>
      <w:r w:rsidRPr="000A1E00">
        <w:rPr>
          <w:lang w:val="fr-FR"/>
        </w:rPr>
        <w:t xml:space="preserve"> </w:t>
      </w:r>
      <w:r w:rsidRPr="000A1E00">
        <w:rPr>
          <w:lang w:val="fr-FR"/>
        </w:rPr>
        <w:tab/>
        <w:t>INF.29 (Espagne)</w:t>
      </w:r>
      <w:r w:rsidR="00CF30D6">
        <w:rPr>
          <w:lang w:val="fr-FR"/>
        </w:rPr>
        <w:t>.</w:t>
      </w:r>
    </w:p>
    <w:p w:rsidR="00286BDC" w:rsidRPr="000A1E00" w:rsidRDefault="00286BDC" w:rsidP="00286BDC">
      <w:pPr>
        <w:pStyle w:val="SingleTxtG"/>
        <w:rPr>
          <w:lang w:val="fr-FR"/>
        </w:rPr>
      </w:pPr>
      <w:r w:rsidRPr="000A1E00">
        <w:rPr>
          <w:lang w:val="fr-FR"/>
        </w:rPr>
        <w:t>35.</w:t>
      </w:r>
      <w:r w:rsidRPr="000A1E00">
        <w:rPr>
          <w:lang w:val="fr-FR"/>
        </w:rPr>
        <w:tab/>
        <w:t xml:space="preserve">Le Sous-Comité a approuvé la recommandation du Groupe de travail tendant à modifier la version espagnole de la désignation officielle de transport des </w:t>
      </w:r>
      <w:r w:rsidR="00C94F0A" w:rsidRPr="000A1E00">
        <w:rPr>
          <w:lang w:val="fr-FR"/>
        </w:rPr>
        <w:t>Nos ONU </w:t>
      </w:r>
      <w:r w:rsidRPr="000A1E00">
        <w:rPr>
          <w:lang w:val="fr-FR"/>
        </w:rPr>
        <w:t>0237 et 0288 telle qu</w:t>
      </w:r>
      <w:r w:rsidR="000A1E00">
        <w:rPr>
          <w:lang w:val="fr-FR"/>
        </w:rPr>
        <w:t>’</w:t>
      </w:r>
      <w:r w:rsidRPr="000A1E00">
        <w:rPr>
          <w:lang w:val="fr-FR"/>
        </w:rPr>
        <w:t>énoncée dans l</w:t>
      </w:r>
      <w:r w:rsidR="000A1E00">
        <w:rPr>
          <w:lang w:val="fr-FR"/>
        </w:rPr>
        <w:t>’</w:t>
      </w:r>
      <w:r w:rsidRPr="000A1E00">
        <w:rPr>
          <w:lang w:val="fr-FR"/>
        </w:rPr>
        <w:t>amendement 7 figurant à l</w:t>
      </w:r>
      <w:r w:rsidR="000A1E00">
        <w:rPr>
          <w:lang w:val="fr-FR"/>
        </w:rPr>
        <w:t>’</w:t>
      </w:r>
      <w:r w:rsidRPr="000A1E00">
        <w:rPr>
          <w:lang w:val="fr-FR"/>
        </w:rPr>
        <w:t>annexe 2 du document informel INF.67. Le secrétariat a été invité à prendre en compte cette recommandation lorsqu</w:t>
      </w:r>
      <w:r w:rsidR="000A1E00">
        <w:rPr>
          <w:lang w:val="fr-FR"/>
        </w:rPr>
        <w:t>’</w:t>
      </w:r>
      <w:r w:rsidRPr="000A1E00">
        <w:rPr>
          <w:lang w:val="fr-FR"/>
        </w:rPr>
        <w:t>il établirait la vingt et unième édition révisée du Règlement type. La proposition de modification de la version française de la désignation officielle de transport n</w:t>
      </w:r>
      <w:r w:rsidR="000A1E00">
        <w:rPr>
          <w:lang w:val="fr-FR"/>
        </w:rPr>
        <w:t>’</w:t>
      </w:r>
      <w:r w:rsidRPr="000A1E00">
        <w:rPr>
          <w:lang w:val="fr-FR"/>
        </w:rPr>
        <w:t>a pas été adoptée.</w:t>
      </w:r>
    </w:p>
    <w:p w:rsidR="00286BDC" w:rsidRPr="000A1E00" w:rsidRDefault="00286BDC" w:rsidP="00286BDC">
      <w:pPr>
        <w:pStyle w:val="H23G"/>
        <w:keepNext w:val="0"/>
        <w:keepLines w:val="0"/>
        <w:rPr>
          <w:lang w:val="fr-FR"/>
        </w:rPr>
      </w:pPr>
      <w:r w:rsidRPr="000A1E00">
        <w:rPr>
          <w:lang w:val="fr-FR"/>
        </w:rPr>
        <w:tab/>
        <w:t>9.</w:t>
      </w:r>
      <w:r w:rsidRPr="000A1E00">
        <w:rPr>
          <w:lang w:val="fr-FR"/>
        </w:rPr>
        <w:tab/>
      </w:r>
      <w:r w:rsidRPr="000A1E00">
        <w:rPr>
          <w:bCs/>
          <w:lang w:val="fr-FR"/>
        </w:rPr>
        <w:t>Utilisation du Manuel d</w:t>
      </w:r>
      <w:r w:rsidR="000A1E00">
        <w:rPr>
          <w:bCs/>
          <w:lang w:val="fr-FR"/>
        </w:rPr>
        <w:t>’</w:t>
      </w:r>
      <w:r w:rsidRPr="000A1E00">
        <w:rPr>
          <w:bCs/>
          <w:lang w:val="fr-FR"/>
        </w:rPr>
        <w:t>épreuves et de critères dans le contexte du SGH</w:t>
      </w:r>
    </w:p>
    <w:p w:rsidR="00286BDC" w:rsidRPr="000A1E00" w:rsidRDefault="00286BDC" w:rsidP="00286BDC">
      <w:pPr>
        <w:pStyle w:val="SingleTxtG"/>
        <w:tabs>
          <w:tab w:val="left" w:pos="2835"/>
          <w:tab w:val="left" w:pos="3119"/>
        </w:tabs>
        <w:ind w:left="2829" w:hanging="1695"/>
        <w:rPr>
          <w:lang w:val="fr-FR"/>
        </w:rPr>
      </w:pPr>
      <w:r w:rsidRPr="000A1E00">
        <w:rPr>
          <w:i/>
          <w:iCs/>
          <w:lang w:val="fr-FR"/>
        </w:rPr>
        <w:t>Document </w:t>
      </w:r>
      <w:r w:rsidRPr="00CF30D6">
        <w:rPr>
          <w:iCs/>
          <w:lang w:val="fr-FR"/>
        </w:rPr>
        <w:t>:</w:t>
      </w:r>
      <w:r w:rsidRPr="000A1E00">
        <w:rPr>
          <w:lang w:val="fr-FR"/>
        </w:rPr>
        <w:t xml:space="preserve"> </w:t>
      </w:r>
      <w:r w:rsidRPr="000A1E00">
        <w:rPr>
          <w:lang w:val="fr-FR"/>
        </w:rPr>
        <w:tab/>
      </w:r>
      <w:r w:rsidRPr="000A1E00">
        <w:rPr>
          <w:lang w:val="fr-FR"/>
        </w:rPr>
        <w:tab/>
      </w:r>
      <w:r w:rsidRPr="000A1E00">
        <w:rPr>
          <w:lang w:val="fr-FR"/>
        </w:rPr>
        <w:tab/>
        <w:t>ST/SG/AC.10/C.3/2018/1 (Président du Groupe de travail)</w:t>
      </w:r>
    </w:p>
    <w:p w:rsidR="00286BDC" w:rsidRPr="000A1E00" w:rsidRDefault="00286BDC" w:rsidP="00286BDC">
      <w:pPr>
        <w:pStyle w:val="SingleTxtG"/>
        <w:tabs>
          <w:tab w:val="left" w:pos="2835"/>
          <w:tab w:val="left" w:pos="3119"/>
        </w:tabs>
        <w:spacing w:after="240"/>
        <w:rPr>
          <w:lang w:val="fr-FR"/>
        </w:rPr>
      </w:pPr>
      <w:r w:rsidRPr="000A1E00">
        <w:rPr>
          <w:i/>
          <w:iCs/>
          <w:lang w:val="fr-FR"/>
        </w:rPr>
        <w:t>Documents informels</w:t>
      </w:r>
      <w:r w:rsidRPr="00CF30D6">
        <w:rPr>
          <w:iCs/>
          <w:lang w:val="fr-FR"/>
        </w:rPr>
        <w:t> :</w:t>
      </w:r>
      <w:r w:rsidRPr="000A1E00">
        <w:rPr>
          <w:lang w:val="fr-FR"/>
        </w:rPr>
        <w:tab/>
        <w:t>INF.3, 4 et 5 (Président du Groupe de travail)</w:t>
      </w:r>
      <w:r w:rsidR="00CF30D6">
        <w:rPr>
          <w:lang w:val="fr-FR"/>
        </w:rPr>
        <w:t>.</w:t>
      </w:r>
    </w:p>
    <w:p w:rsidR="00286BDC" w:rsidRPr="000A1E00" w:rsidRDefault="00286BDC" w:rsidP="00286BDC">
      <w:pPr>
        <w:pStyle w:val="SingleTxtG"/>
        <w:rPr>
          <w:lang w:val="fr-FR"/>
        </w:rPr>
      </w:pPr>
      <w:r w:rsidRPr="000A1E00">
        <w:rPr>
          <w:lang w:val="fr-FR"/>
        </w:rPr>
        <w:t>36.</w:t>
      </w:r>
      <w:r w:rsidRPr="000A1E00">
        <w:rPr>
          <w:lang w:val="fr-FR"/>
        </w:rPr>
        <w:tab/>
        <w:t>Le Sous-Comité a approuvé la recommandation du Groupe de travail et a adopté les propositions figurant dans le document ST/SG/AC.10/C.3/2018/1 telles que modifiées par les annexes 2 (amendement 8) et 3 (amendements 7, 8, 9, 10, 11 et 12 (avec quelques modifications)) du document informel INF.67 (voir annexes I et II).</w:t>
      </w:r>
    </w:p>
    <w:p w:rsidR="00286BDC" w:rsidRPr="000A1E00" w:rsidRDefault="00286BDC" w:rsidP="00286BDC">
      <w:pPr>
        <w:pStyle w:val="SingleTxtG"/>
        <w:rPr>
          <w:lang w:val="fr-FR"/>
        </w:rPr>
      </w:pPr>
      <w:r w:rsidRPr="000A1E00">
        <w:rPr>
          <w:lang w:val="fr-FR"/>
        </w:rPr>
        <w:t>37.</w:t>
      </w:r>
      <w:r w:rsidRPr="000A1E00">
        <w:rPr>
          <w:lang w:val="fr-FR"/>
        </w:rPr>
        <w:tab/>
        <w:t>Le Sous-Comité a noté que le Groupe de travail avait l</w:t>
      </w:r>
      <w:r w:rsidR="000A1E00">
        <w:rPr>
          <w:lang w:val="fr-FR"/>
        </w:rPr>
        <w:t>’</w:t>
      </w:r>
      <w:r w:rsidRPr="000A1E00">
        <w:rPr>
          <w:lang w:val="fr-FR"/>
        </w:rPr>
        <w:t>intention de soumettre des propositions d</w:t>
      </w:r>
      <w:r w:rsidR="000A1E00">
        <w:rPr>
          <w:lang w:val="fr-FR"/>
        </w:rPr>
        <w:t>’</w:t>
      </w:r>
      <w:r w:rsidRPr="000A1E00">
        <w:rPr>
          <w:lang w:val="fr-FR"/>
        </w:rPr>
        <w:t>amendement aux parties II et III du Manuel à sa session suivante. Il a également été noté que l</w:t>
      </w:r>
      <w:r w:rsidR="000A1E00">
        <w:rPr>
          <w:lang w:val="fr-FR"/>
        </w:rPr>
        <w:t>’</w:t>
      </w:r>
      <w:r w:rsidRPr="000A1E00">
        <w:rPr>
          <w:lang w:val="fr-FR"/>
        </w:rPr>
        <w:t>EIGA poursuivrait les travaux sur l</w:t>
      </w:r>
      <w:r w:rsidR="000A1E00">
        <w:rPr>
          <w:lang w:val="fr-FR"/>
        </w:rPr>
        <w:t>’</w:t>
      </w:r>
      <w:r w:rsidRPr="000A1E00">
        <w:rPr>
          <w:lang w:val="fr-FR"/>
        </w:rPr>
        <w:t>amélioration des épreuves de la série H et que, une fois ceux-ci achevés, les propositions d</w:t>
      </w:r>
      <w:r w:rsidR="000A1E00">
        <w:rPr>
          <w:lang w:val="fr-FR"/>
        </w:rPr>
        <w:t>’</w:t>
      </w:r>
      <w:r w:rsidRPr="000A1E00">
        <w:rPr>
          <w:lang w:val="fr-FR"/>
        </w:rPr>
        <w:t>amendement s</w:t>
      </w:r>
      <w:r w:rsidR="000A1E00">
        <w:rPr>
          <w:lang w:val="fr-FR"/>
        </w:rPr>
        <w:t>’</w:t>
      </w:r>
      <w:r w:rsidRPr="000A1E00">
        <w:rPr>
          <w:lang w:val="fr-FR"/>
        </w:rPr>
        <w:t>y rapportant seraient traitées séparément.</w:t>
      </w:r>
    </w:p>
    <w:p w:rsidR="00286BDC" w:rsidRPr="000A1E00" w:rsidRDefault="00286BDC" w:rsidP="00286BDC">
      <w:pPr>
        <w:pStyle w:val="HChG"/>
        <w:rPr>
          <w:lang w:val="fr-FR"/>
        </w:rPr>
      </w:pPr>
      <w:r w:rsidRPr="000A1E00">
        <w:rPr>
          <w:lang w:val="fr-FR"/>
        </w:rPr>
        <w:tab/>
        <w:t>V.</w:t>
      </w:r>
      <w:r w:rsidRPr="000A1E00">
        <w:rPr>
          <w:lang w:val="fr-FR"/>
        </w:rPr>
        <w:tab/>
      </w:r>
      <w:r w:rsidRPr="000A1E00">
        <w:rPr>
          <w:bCs/>
          <w:lang w:val="fr-FR"/>
        </w:rPr>
        <w:t xml:space="preserve">Inscription, classement et emballage </w:t>
      </w:r>
      <w:r w:rsidRPr="000A1E00">
        <w:rPr>
          <w:bCs/>
          <w:lang w:val="fr-FR"/>
        </w:rPr>
        <w:br/>
        <w:t>(point 3 de l</w:t>
      </w:r>
      <w:r w:rsidR="000A1E00">
        <w:rPr>
          <w:bCs/>
          <w:lang w:val="fr-FR"/>
        </w:rPr>
        <w:t>’</w:t>
      </w:r>
      <w:r w:rsidRPr="000A1E00">
        <w:rPr>
          <w:bCs/>
          <w:lang w:val="fr-FR"/>
        </w:rPr>
        <w:t>ordre du jour)</w:t>
      </w:r>
    </w:p>
    <w:p w:rsidR="00286BDC" w:rsidRPr="000A1E00" w:rsidRDefault="00286BDC" w:rsidP="00286BDC">
      <w:pPr>
        <w:pStyle w:val="H1G"/>
        <w:rPr>
          <w:lang w:val="fr-FR"/>
        </w:rPr>
      </w:pPr>
      <w:r w:rsidRPr="000A1E00">
        <w:rPr>
          <w:lang w:val="fr-FR"/>
        </w:rPr>
        <w:tab/>
        <w:t>A.</w:t>
      </w:r>
      <w:r w:rsidRPr="000A1E00">
        <w:rPr>
          <w:lang w:val="fr-FR"/>
        </w:rPr>
        <w:tab/>
      </w:r>
      <w:r w:rsidRPr="000A1E00">
        <w:rPr>
          <w:bCs/>
          <w:lang w:val="fr-FR"/>
        </w:rPr>
        <w:t>Liquides visqueux non soumis au Règlement</w:t>
      </w:r>
    </w:p>
    <w:p w:rsidR="00286BDC" w:rsidRPr="000A1E00" w:rsidRDefault="00286BDC" w:rsidP="00286BDC">
      <w:pPr>
        <w:tabs>
          <w:tab w:val="left" w:pos="3119"/>
        </w:tabs>
        <w:spacing w:before="240"/>
        <w:ind w:left="567" w:firstLine="567"/>
        <w:rPr>
          <w:lang w:val="fr-FR"/>
        </w:rPr>
      </w:pPr>
      <w:r w:rsidRPr="000A1E00">
        <w:rPr>
          <w:i/>
          <w:iCs/>
          <w:lang w:val="fr-FR"/>
        </w:rPr>
        <w:t>Document </w:t>
      </w:r>
      <w:r w:rsidRPr="00CF30D6">
        <w:rPr>
          <w:iCs/>
          <w:lang w:val="fr-FR"/>
        </w:rPr>
        <w:t>:</w:t>
      </w:r>
      <w:r w:rsidRPr="000A1E00">
        <w:rPr>
          <w:lang w:val="fr-FR"/>
        </w:rPr>
        <w:t xml:space="preserve"> </w:t>
      </w:r>
      <w:r w:rsidRPr="000A1E00">
        <w:rPr>
          <w:lang w:val="fr-FR"/>
        </w:rPr>
        <w:tab/>
        <w:t>ST/SG/AC.10/C.3/2018/4 (Espagne)</w:t>
      </w:r>
      <w:r w:rsidR="00CF30D6">
        <w:rPr>
          <w:lang w:val="fr-FR"/>
        </w:rPr>
        <w:t>.</w:t>
      </w:r>
    </w:p>
    <w:p w:rsidR="00286BDC" w:rsidRPr="000A1E00" w:rsidRDefault="00286BDC" w:rsidP="00286BDC">
      <w:pPr>
        <w:pStyle w:val="SingleTxtG"/>
        <w:spacing w:before="120"/>
        <w:rPr>
          <w:lang w:val="fr-FR"/>
        </w:rPr>
      </w:pPr>
      <w:r w:rsidRPr="000A1E00">
        <w:rPr>
          <w:lang w:val="fr-FR"/>
        </w:rPr>
        <w:t>38.</w:t>
      </w:r>
      <w:r w:rsidRPr="000A1E00">
        <w:rPr>
          <w:lang w:val="fr-FR"/>
        </w:rPr>
        <w:tab/>
        <w:t>Le Sous-Comité a estimé, comme l</w:t>
      </w:r>
      <w:r w:rsidR="000A1E00">
        <w:rPr>
          <w:lang w:val="fr-FR"/>
        </w:rPr>
        <w:t>’</w:t>
      </w:r>
      <w:r w:rsidRPr="000A1E00">
        <w:rPr>
          <w:lang w:val="fr-FR"/>
        </w:rPr>
        <w:t>expert de l</w:t>
      </w:r>
      <w:r w:rsidR="000A1E00">
        <w:rPr>
          <w:lang w:val="fr-FR"/>
        </w:rPr>
        <w:t>’</w:t>
      </w:r>
      <w:r w:rsidRPr="000A1E00">
        <w:rPr>
          <w:lang w:val="fr-FR"/>
        </w:rPr>
        <w:t>Espagne, que les différences constatées pour les valeurs de point d</w:t>
      </w:r>
      <w:r w:rsidR="000A1E00">
        <w:rPr>
          <w:lang w:val="fr-FR"/>
        </w:rPr>
        <w:t>’</w:t>
      </w:r>
      <w:r w:rsidRPr="000A1E00">
        <w:rPr>
          <w:lang w:val="fr-FR"/>
        </w:rPr>
        <w:t>éclair entre le paragraphe 2.3.2.5.1 du Règlement type et le paragraphe 32.5.1.4 du Manuel d</w:t>
      </w:r>
      <w:r w:rsidR="000A1E00">
        <w:rPr>
          <w:lang w:val="fr-FR"/>
        </w:rPr>
        <w:t>’</w:t>
      </w:r>
      <w:r w:rsidRPr="000A1E00">
        <w:rPr>
          <w:lang w:val="fr-FR"/>
        </w:rPr>
        <w:t>épreuves et de critères ne se justifiaient pas et a adopté l</w:t>
      </w:r>
      <w:r w:rsidR="000A1E00">
        <w:rPr>
          <w:lang w:val="fr-FR"/>
        </w:rPr>
        <w:t>’</w:t>
      </w:r>
      <w:r w:rsidRPr="000A1E00">
        <w:rPr>
          <w:lang w:val="fr-FR"/>
        </w:rPr>
        <w:t xml:space="preserve">amendement au 32.5.1.1 proposé au paragraphe 5 du document (voir annexe II). </w:t>
      </w:r>
    </w:p>
    <w:p w:rsidR="00286BDC" w:rsidRPr="000A1E00" w:rsidRDefault="00286BDC" w:rsidP="00286BDC">
      <w:pPr>
        <w:pStyle w:val="SingleTxtG"/>
        <w:rPr>
          <w:lang w:val="fr-FR"/>
        </w:rPr>
      </w:pPr>
      <w:r w:rsidRPr="000A1E00">
        <w:rPr>
          <w:lang w:val="fr-FR"/>
        </w:rPr>
        <w:t>39.</w:t>
      </w:r>
      <w:r w:rsidRPr="000A1E00">
        <w:rPr>
          <w:lang w:val="fr-FR"/>
        </w:rPr>
        <w:tab/>
        <w:t>Il a en outre été noté qu</w:t>
      </w:r>
      <w:r w:rsidR="000A1E00">
        <w:rPr>
          <w:lang w:val="fr-FR"/>
        </w:rPr>
        <w:t>’</w:t>
      </w:r>
      <w:r w:rsidRPr="000A1E00">
        <w:rPr>
          <w:lang w:val="fr-FR"/>
        </w:rPr>
        <w:t>au paragraphe 32.5.1.4 figuraient des renvois à des paragraphes du Manuel d</w:t>
      </w:r>
      <w:r w:rsidR="000A1E00">
        <w:rPr>
          <w:lang w:val="fr-FR"/>
        </w:rPr>
        <w:t>’</w:t>
      </w:r>
      <w:r w:rsidRPr="000A1E00">
        <w:rPr>
          <w:lang w:val="fr-FR"/>
        </w:rPr>
        <w:t>épreuves et de critères qui n</w:t>
      </w:r>
      <w:r w:rsidR="000A1E00">
        <w:rPr>
          <w:lang w:val="fr-FR"/>
        </w:rPr>
        <w:t>’</w:t>
      </w:r>
      <w:r w:rsidRPr="000A1E00">
        <w:rPr>
          <w:lang w:val="fr-FR"/>
        </w:rPr>
        <w:t>existaient plus (à savoir les paragraphes 32.3.1.6 et 32.3.1.7) et que cela avait déjà été abordé dans le document informel INF.5.</w:t>
      </w:r>
    </w:p>
    <w:p w:rsidR="00286BDC" w:rsidRPr="000A1E00" w:rsidRDefault="00286BDC" w:rsidP="00286BDC">
      <w:pPr>
        <w:pStyle w:val="SingleTxtG"/>
        <w:rPr>
          <w:lang w:val="fr-FR"/>
        </w:rPr>
      </w:pPr>
      <w:r w:rsidRPr="000A1E00">
        <w:rPr>
          <w:lang w:val="fr-FR"/>
        </w:rPr>
        <w:t>40.</w:t>
      </w:r>
      <w:r w:rsidRPr="000A1E00">
        <w:rPr>
          <w:lang w:val="fr-FR"/>
        </w:rPr>
        <w:tab/>
        <w:t>Le représentant du CEFIC était d</w:t>
      </w:r>
      <w:r w:rsidR="000A1E00">
        <w:rPr>
          <w:lang w:val="fr-FR"/>
        </w:rPr>
        <w:t>’</w:t>
      </w:r>
      <w:r w:rsidRPr="000A1E00">
        <w:rPr>
          <w:lang w:val="fr-FR"/>
        </w:rPr>
        <w:t>avis que la description de l</w:t>
      </w:r>
      <w:r w:rsidR="000A1E00">
        <w:rPr>
          <w:lang w:val="fr-FR"/>
        </w:rPr>
        <w:t>’</w:t>
      </w:r>
      <w:r w:rsidRPr="000A1E00">
        <w:rPr>
          <w:lang w:val="fr-FR"/>
        </w:rPr>
        <w:t>épreuve de séparation du solvant au 32.5.1 pouvait être améliorée, notamment de manière à fournir davantage de détails et des indications sur la plage de températures. Le Sous-Comité a estimé que cette observation devait faire l</w:t>
      </w:r>
      <w:r w:rsidR="000A1E00">
        <w:rPr>
          <w:lang w:val="fr-FR"/>
        </w:rPr>
        <w:t>’</w:t>
      </w:r>
      <w:r w:rsidRPr="000A1E00">
        <w:rPr>
          <w:lang w:val="fr-FR"/>
        </w:rPr>
        <w:t>objet d</w:t>
      </w:r>
      <w:r w:rsidR="000A1E00">
        <w:rPr>
          <w:lang w:val="fr-FR"/>
        </w:rPr>
        <w:t>’</w:t>
      </w:r>
      <w:r w:rsidRPr="000A1E00">
        <w:rPr>
          <w:lang w:val="fr-FR"/>
        </w:rPr>
        <w:t xml:space="preserve">une proposition distincte. </w:t>
      </w:r>
    </w:p>
    <w:p w:rsidR="00286BDC" w:rsidRPr="000A1E00" w:rsidRDefault="00286BDC" w:rsidP="00286BDC">
      <w:pPr>
        <w:pStyle w:val="H1G"/>
        <w:rPr>
          <w:lang w:val="fr-FR"/>
        </w:rPr>
      </w:pPr>
      <w:r w:rsidRPr="000A1E00">
        <w:rPr>
          <w:lang w:val="fr-FR"/>
        </w:rPr>
        <w:tab/>
        <w:t>B.</w:t>
      </w:r>
      <w:r w:rsidRPr="000A1E00">
        <w:rPr>
          <w:lang w:val="fr-FR"/>
        </w:rPr>
        <w:tab/>
      </w:r>
      <w:r w:rsidR="00C94F0A" w:rsidRPr="000A1E00">
        <w:rPr>
          <w:bCs/>
          <w:lang w:val="fr-FR"/>
        </w:rPr>
        <w:t>Nom et description du No </w:t>
      </w:r>
      <w:r w:rsidRPr="000A1E00">
        <w:rPr>
          <w:bCs/>
          <w:lang w:val="fr-FR"/>
        </w:rPr>
        <w:t>ONU 3363</w:t>
      </w:r>
    </w:p>
    <w:p w:rsidR="00286BDC" w:rsidRPr="000A1E00" w:rsidRDefault="00286BDC" w:rsidP="00286BDC">
      <w:pPr>
        <w:tabs>
          <w:tab w:val="left" w:pos="3119"/>
        </w:tabs>
        <w:ind w:left="567" w:firstLine="567"/>
        <w:rPr>
          <w:lang w:val="fr-FR"/>
        </w:rPr>
      </w:pPr>
      <w:r w:rsidRPr="000A1E00">
        <w:rPr>
          <w:i/>
          <w:iCs/>
          <w:lang w:val="fr-FR"/>
        </w:rPr>
        <w:t>Document </w:t>
      </w:r>
      <w:r w:rsidRPr="000A1E00">
        <w:rPr>
          <w:iCs/>
          <w:lang w:val="fr-FR"/>
        </w:rPr>
        <w:t>:</w:t>
      </w:r>
      <w:r w:rsidRPr="000A1E00">
        <w:rPr>
          <w:lang w:val="fr-FR"/>
        </w:rPr>
        <w:t xml:space="preserve"> </w:t>
      </w:r>
      <w:r w:rsidRPr="000A1E00">
        <w:rPr>
          <w:lang w:val="fr-FR"/>
        </w:rPr>
        <w:tab/>
        <w:t>ST/SG/AC.10/C.3/2018/7 (Allemagne)</w:t>
      </w:r>
      <w:r w:rsidR="00C94F0A" w:rsidRPr="000A1E00">
        <w:rPr>
          <w:lang w:val="fr-FR"/>
        </w:rPr>
        <w:t>.</w:t>
      </w:r>
    </w:p>
    <w:p w:rsidR="00286BDC" w:rsidRPr="000A1E00" w:rsidRDefault="00286BDC" w:rsidP="00C94F0A">
      <w:pPr>
        <w:pStyle w:val="SingleTxtG"/>
        <w:rPr>
          <w:lang w:val="fr-FR"/>
        </w:rPr>
      </w:pPr>
      <w:r w:rsidRPr="000A1E00">
        <w:rPr>
          <w:lang w:val="fr-FR"/>
        </w:rPr>
        <w:t>41.</w:t>
      </w:r>
      <w:r w:rsidRPr="000A1E00">
        <w:rPr>
          <w:lang w:val="fr-FR"/>
        </w:rPr>
        <w:tab/>
        <w:t>La plupart des experts ont estimé que les deux options proposées par l</w:t>
      </w:r>
      <w:r w:rsidR="000A1E00">
        <w:rPr>
          <w:lang w:val="fr-FR"/>
        </w:rPr>
        <w:t>’</w:t>
      </w:r>
      <w:r w:rsidRPr="000A1E00">
        <w:rPr>
          <w:lang w:val="fr-FR"/>
        </w:rPr>
        <w:t>Allemagne étaient acceptables. À l</w:t>
      </w:r>
      <w:r w:rsidR="000A1E00">
        <w:rPr>
          <w:lang w:val="fr-FR"/>
        </w:rPr>
        <w:t>’</w:t>
      </w:r>
      <w:r w:rsidRPr="000A1E00">
        <w:rPr>
          <w:lang w:val="fr-FR"/>
        </w:rPr>
        <w:t>issue d</w:t>
      </w:r>
      <w:r w:rsidR="000A1E00">
        <w:rPr>
          <w:lang w:val="fr-FR"/>
        </w:rPr>
        <w:t>’</w:t>
      </w:r>
      <w:r w:rsidRPr="000A1E00">
        <w:rPr>
          <w:lang w:val="fr-FR"/>
        </w:rPr>
        <w:t>un échange de vues, le Sous-Comité a adopté l</w:t>
      </w:r>
      <w:r w:rsidR="000A1E00">
        <w:rPr>
          <w:lang w:val="fr-FR"/>
        </w:rPr>
        <w:t>’</w:t>
      </w:r>
      <w:r w:rsidRPr="000A1E00">
        <w:rPr>
          <w:lang w:val="fr-FR"/>
        </w:rPr>
        <w:t>option 1 (voir annexe I).</w:t>
      </w:r>
    </w:p>
    <w:p w:rsidR="00286BDC" w:rsidRPr="000A1E00" w:rsidRDefault="00286BDC" w:rsidP="00C94F0A">
      <w:pPr>
        <w:pStyle w:val="H1G"/>
        <w:rPr>
          <w:lang w:val="fr-FR"/>
        </w:rPr>
      </w:pPr>
      <w:r w:rsidRPr="000A1E00">
        <w:rPr>
          <w:lang w:val="fr-FR"/>
        </w:rPr>
        <w:tab/>
        <w:t>C.</w:t>
      </w:r>
      <w:r w:rsidRPr="000A1E00">
        <w:rPr>
          <w:lang w:val="fr-FR"/>
        </w:rPr>
        <w:tab/>
        <w:t>Corrections apportées aux noms de plusieurs numéros ONU</w:t>
      </w:r>
    </w:p>
    <w:p w:rsidR="00286BDC" w:rsidRPr="000A1E00" w:rsidRDefault="00286BDC" w:rsidP="00C94F0A">
      <w:pPr>
        <w:pStyle w:val="SingleTxtG"/>
        <w:tabs>
          <w:tab w:val="left" w:pos="3119"/>
        </w:tabs>
        <w:rPr>
          <w:lang w:val="fr-FR"/>
        </w:rPr>
      </w:pPr>
      <w:r w:rsidRPr="000A1E00">
        <w:rPr>
          <w:i/>
          <w:iCs/>
          <w:lang w:val="fr-FR"/>
        </w:rPr>
        <w:t>Document </w:t>
      </w:r>
      <w:r w:rsidRPr="000A1E00">
        <w:rPr>
          <w:iCs/>
          <w:lang w:val="fr-FR"/>
        </w:rPr>
        <w:t>:</w:t>
      </w:r>
      <w:r w:rsidRPr="000A1E00">
        <w:rPr>
          <w:lang w:val="fr-FR"/>
        </w:rPr>
        <w:tab/>
        <w:t>ST/SG/AC.10/C.3/2018/11 (Espagne)</w:t>
      </w:r>
      <w:r w:rsidR="00C94F0A" w:rsidRPr="000A1E00">
        <w:rPr>
          <w:lang w:val="fr-FR"/>
        </w:rPr>
        <w:t>.</w:t>
      </w:r>
    </w:p>
    <w:p w:rsidR="00286BDC" w:rsidRPr="000A1E00" w:rsidRDefault="00286BDC" w:rsidP="00C94F0A">
      <w:pPr>
        <w:pStyle w:val="SingleTxtG"/>
        <w:rPr>
          <w:lang w:val="fr-FR"/>
        </w:rPr>
      </w:pPr>
      <w:r w:rsidRPr="000A1E00">
        <w:rPr>
          <w:lang w:val="fr-FR"/>
        </w:rPr>
        <w:t>42.</w:t>
      </w:r>
      <w:r w:rsidRPr="000A1E00">
        <w:rPr>
          <w:lang w:val="fr-FR"/>
        </w:rPr>
        <w:tab/>
        <w:t>Le Sous-Comité a adopté les corrections à apporter, dans la version espagnole, à la désignation officielle de transport des N</w:t>
      </w:r>
      <w:r w:rsidR="00C94F0A" w:rsidRPr="000A1E00">
        <w:rPr>
          <w:lang w:val="fr-FR"/>
        </w:rPr>
        <w:t>os </w:t>
      </w:r>
      <w:r w:rsidRPr="000A1E00">
        <w:rPr>
          <w:lang w:val="fr-FR"/>
        </w:rPr>
        <w:t>ONU 2044, 2441, 2949, 3138 et 3300. Ces corrections seront introduites dans un rectificatif à la version espagnole du Règlement type.</w:t>
      </w:r>
    </w:p>
    <w:p w:rsidR="00286BDC" w:rsidRPr="000A1E00" w:rsidRDefault="00286BDC" w:rsidP="00C94F0A">
      <w:pPr>
        <w:pStyle w:val="H1G"/>
        <w:rPr>
          <w:lang w:val="fr-FR"/>
        </w:rPr>
      </w:pPr>
      <w:r w:rsidRPr="000A1E00">
        <w:rPr>
          <w:lang w:val="fr-FR"/>
        </w:rPr>
        <w:tab/>
        <w:t>D.</w:t>
      </w:r>
      <w:r w:rsidRPr="000A1E00">
        <w:rPr>
          <w:lang w:val="fr-FR"/>
        </w:rPr>
        <w:tab/>
        <w:t>Classification des dispositifs de récupération autogonflables</w:t>
      </w:r>
    </w:p>
    <w:p w:rsidR="00286BDC" w:rsidRPr="000A1E00" w:rsidRDefault="00286BDC" w:rsidP="00286BDC">
      <w:pPr>
        <w:pStyle w:val="SingleTxtG"/>
        <w:tabs>
          <w:tab w:val="left" w:pos="3119"/>
        </w:tabs>
        <w:rPr>
          <w:lang w:val="fr-FR"/>
        </w:rPr>
      </w:pPr>
      <w:r w:rsidRPr="000A1E00">
        <w:rPr>
          <w:i/>
          <w:iCs/>
          <w:lang w:val="fr-FR"/>
        </w:rPr>
        <w:t>Document </w:t>
      </w:r>
      <w:r w:rsidRPr="000A1E00">
        <w:rPr>
          <w:iCs/>
          <w:lang w:val="fr-FR"/>
        </w:rPr>
        <w:t>:</w:t>
      </w:r>
      <w:r w:rsidRPr="000A1E00">
        <w:rPr>
          <w:lang w:val="fr-FR"/>
        </w:rPr>
        <w:t xml:space="preserve"> </w:t>
      </w:r>
      <w:r w:rsidRPr="000A1E00">
        <w:rPr>
          <w:lang w:val="fr-FR"/>
        </w:rPr>
        <w:tab/>
        <w:t>ST/SG/AC.10/C.3/2018/13 (Allemagne)</w:t>
      </w:r>
    </w:p>
    <w:p w:rsidR="00286BDC" w:rsidRPr="000A1E00" w:rsidRDefault="00286BDC" w:rsidP="00C94F0A">
      <w:pPr>
        <w:pStyle w:val="SingleTxtG"/>
        <w:tabs>
          <w:tab w:val="left" w:pos="3119"/>
        </w:tabs>
        <w:rPr>
          <w:i/>
          <w:lang w:val="fr-FR"/>
        </w:rPr>
      </w:pPr>
      <w:r w:rsidRPr="000A1E00">
        <w:rPr>
          <w:i/>
          <w:lang w:val="fr-FR"/>
        </w:rPr>
        <w:t>Document informel</w:t>
      </w:r>
      <w:r w:rsidRPr="000A1E00">
        <w:rPr>
          <w:lang w:val="fr-FR"/>
        </w:rPr>
        <w:t xml:space="preserve"> : </w:t>
      </w:r>
      <w:r w:rsidRPr="000A1E00">
        <w:rPr>
          <w:lang w:val="fr-FR"/>
        </w:rPr>
        <w:tab/>
        <w:t>INF.6 (Allemagne)</w:t>
      </w:r>
      <w:r w:rsidR="00C94F0A" w:rsidRPr="000A1E00">
        <w:rPr>
          <w:lang w:val="fr-FR"/>
        </w:rPr>
        <w:t>.</w:t>
      </w:r>
    </w:p>
    <w:p w:rsidR="00286BDC" w:rsidRPr="000A1E00" w:rsidRDefault="00286BDC" w:rsidP="00C94F0A">
      <w:pPr>
        <w:pStyle w:val="SingleTxtG"/>
        <w:rPr>
          <w:lang w:val="fr-FR"/>
        </w:rPr>
      </w:pPr>
      <w:r w:rsidRPr="000A1E00">
        <w:rPr>
          <w:lang w:val="fr-FR"/>
        </w:rPr>
        <w:t>43.</w:t>
      </w:r>
      <w:r w:rsidRPr="000A1E00">
        <w:rPr>
          <w:lang w:val="fr-FR"/>
        </w:rPr>
        <w:tab/>
        <w:t>Les avis ont été partagés quant aux options proposées. La plupart des experts n</w:t>
      </w:r>
      <w:r w:rsidR="000A1E00">
        <w:rPr>
          <w:lang w:val="fr-FR"/>
        </w:rPr>
        <w:t>’</w:t>
      </w:r>
      <w:r w:rsidRPr="000A1E00">
        <w:rPr>
          <w:lang w:val="fr-FR"/>
        </w:rPr>
        <w:t>étaient pas favorables à l</w:t>
      </w:r>
      <w:r w:rsidR="000A1E00">
        <w:rPr>
          <w:lang w:val="fr-FR"/>
        </w:rPr>
        <w:t>’</w:t>
      </w:r>
      <w:r w:rsidRPr="000A1E00">
        <w:rPr>
          <w:lang w:val="fr-FR"/>
        </w:rPr>
        <w:t>exten</w:t>
      </w:r>
      <w:r w:rsidR="00C94F0A" w:rsidRPr="000A1E00">
        <w:rPr>
          <w:lang w:val="fr-FR"/>
        </w:rPr>
        <w:t>sion du champ d</w:t>
      </w:r>
      <w:r w:rsidR="000A1E00">
        <w:rPr>
          <w:lang w:val="fr-FR"/>
        </w:rPr>
        <w:t>’</w:t>
      </w:r>
      <w:r w:rsidR="00C94F0A" w:rsidRPr="000A1E00">
        <w:rPr>
          <w:lang w:val="fr-FR"/>
        </w:rPr>
        <w:t>application du No ONU </w:t>
      </w:r>
      <w:r w:rsidRPr="000A1E00">
        <w:rPr>
          <w:lang w:val="fr-FR"/>
        </w:rPr>
        <w:t>2990 (option 1) dans la mesure où cette rubrique avait été conçue spécialement pour les engins de sauvetage et ne devait pas être utilisée à d</w:t>
      </w:r>
      <w:r w:rsidR="000A1E00">
        <w:rPr>
          <w:lang w:val="fr-FR"/>
        </w:rPr>
        <w:t>’</w:t>
      </w:r>
      <w:r w:rsidRPr="000A1E00">
        <w:rPr>
          <w:lang w:val="fr-FR"/>
        </w:rPr>
        <w:t>autres fins. D</w:t>
      </w:r>
      <w:r w:rsidR="000A1E00">
        <w:rPr>
          <w:lang w:val="fr-FR"/>
        </w:rPr>
        <w:t>’</w:t>
      </w:r>
      <w:r w:rsidRPr="000A1E00">
        <w:rPr>
          <w:lang w:val="fr-FR"/>
        </w:rPr>
        <w:t>autres experts ne souhaitaient pas que l</w:t>
      </w:r>
      <w:r w:rsidR="000A1E00">
        <w:rPr>
          <w:lang w:val="fr-FR"/>
        </w:rPr>
        <w:t>’</w:t>
      </w:r>
      <w:r w:rsidRPr="000A1E00">
        <w:rPr>
          <w:lang w:val="fr-FR"/>
        </w:rPr>
        <w:t xml:space="preserve">on ajoute de nouveaux numéros ONU dans la classe 1 ou dans la classe 9 (options 3 et 4). </w:t>
      </w:r>
    </w:p>
    <w:p w:rsidR="00286BDC" w:rsidRPr="000A1E00" w:rsidRDefault="00286BDC" w:rsidP="00C94F0A">
      <w:pPr>
        <w:pStyle w:val="SingleTxtG"/>
        <w:rPr>
          <w:lang w:val="fr-FR"/>
        </w:rPr>
      </w:pPr>
      <w:r w:rsidRPr="000A1E00">
        <w:rPr>
          <w:lang w:val="fr-FR"/>
        </w:rPr>
        <w:t>44.</w:t>
      </w:r>
      <w:r w:rsidRPr="000A1E00">
        <w:rPr>
          <w:lang w:val="fr-FR"/>
        </w:rPr>
        <w:tab/>
        <w:t>Après quelques échanges de vues, sachant que certains des dispositifs visés répondaient aux critères d</w:t>
      </w:r>
      <w:r w:rsidR="000A1E00">
        <w:rPr>
          <w:lang w:val="fr-FR"/>
        </w:rPr>
        <w:t>’</w:t>
      </w:r>
      <w:r w:rsidRPr="000A1E00">
        <w:rPr>
          <w:lang w:val="fr-FR"/>
        </w:rPr>
        <w:t>exclusion de la classe 1, l</w:t>
      </w:r>
      <w:r w:rsidR="000A1E00">
        <w:rPr>
          <w:lang w:val="fr-FR"/>
        </w:rPr>
        <w:t>’</w:t>
      </w:r>
      <w:r w:rsidRPr="000A1E00">
        <w:rPr>
          <w:lang w:val="fr-FR"/>
        </w:rPr>
        <w:t>expert des États-Unis d</w:t>
      </w:r>
      <w:r w:rsidR="000A1E00">
        <w:rPr>
          <w:lang w:val="fr-FR"/>
        </w:rPr>
        <w:t>’</w:t>
      </w:r>
      <w:r w:rsidRPr="000A1E00">
        <w:rPr>
          <w:lang w:val="fr-FR"/>
        </w:rPr>
        <w:t>Amérique a suggéré que ces dispositifs fassent l</w:t>
      </w:r>
      <w:r w:rsidR="000A1E00">
        <w:rPr>
          <w:lang w:val="fr-FR"/>
        </w:rPr>
        <w:t>’</w:t>
      </w:r>
      <w:r w:rsidRPr="000A1E00">
        <w:rPr>
          <w:lang w:val="fr-FR"/>
        </w:rPr>
        <w:t>objet d</w:t>
      </w:r>
      <w:r w:rsidR="000A1E00">
        <w:rPr>
          <w:lang w:val="fr-FR"/>
        </w:rPr>
        <w:t>’</w:t>
      </w:r>
      <w:r w:rsidRPr="000A1E00">
        <w:rPr>
          <w:lang w:val="fr-FR"/>
        </w:rPr>
        <w:t>une note au paragraphe 2.1.3.6.4. Tout en observant que cette solution pourrait ne pas être adaptée à toutes les configurations possibles des dispositifs concernés, les experts ont bien reçu la proposition et la plupart d</w:t>
      </w:r>
      <w:r w:rsidR="000A1E00">
        <w:rPr>
          <w:lang w:val="fr-FR"/>
        </w:rPr>
        <w:t>’</w:t>
      </w:r>
      <w:r w:rsidRPr="000A1E00">
        <w:rPr>
          <w:lang w:val="fr-FR"/>
        </w:rPr>
        <w:t>entre eux l</w:t>
      </w:r>
      <w:r w:rsidR="000A1E00">
        <w:rPr>
          <w:lang w:val="fr-FR"/>
        </w:rPr>
        <w:t>’</w:t>
      </w:r>
      <w:r w:rsidRPr="000A1E00">
        <w:rPr>
          <w:lang w:val="fr-FR"/>
        </w:rPr>
        <w:t>ont approuvée. Le Sous-Comité a relevé le besoin croissant de classer les dispositifs de ce type compte tenu de la réalisation de nouveaux produits (par exemple les gilets autogonflants</w:t>
      </w:r>
      <w:r w:rsidR="00C94F0A" w:rsidRPr="000A1E00">
        <w:rPr>
          <w:lang w:val="fr-FR"/>
        </w:rPr>
        <w:t xml:space="preserve"> ou les casques autogonflants).</w:t>
      </w:r>
    </w:p>
    <w:p w:rsidR="00286BDC" w:rsidRPr="000A1E00" w:rsidRDefault="00286BDC" w:rsidP="00C94F0A">
      <w:pPr>
        <w:pStyle w:val="SingleTxtG"/>
        <w:rPr>
          <w:lang w:val="fr-FR"/>
        </w:rPr>
      </w:pPr>
      <w:r w:rsidRPr="000A1E00">
        <w:rPr>
          <w:lang w:val="fr-FR"/>
        </w:rPr>
        <w:t>45.</w:t>
      </w:r>
      <w:r w:rsidRPr="000A1E00">
        <w:rPr>
          <w:lang w:val="fr-FR"/>
        </w:rPr>
        <w:tab/>
        <w:t>L</w:t>
      </w:r>
      <w:r w:rsidR="000A1E00">
        <w:rPr>
          <w:lang w:val="fr-FR"/>
        </w:rPr>
        <w:t>’</w:t>
      </w:r>
      <w:r w:rsidRPr="000A1E00">
        <w:rPr>
          <w:lang w:val="fr-FR"/>
        </w:rPr>
        <w:t>experte de l</w:t>
      </w:r>
      <w:r w:rsidR="000A1E00">
        <w:rPr>
          <w:lang w:val="fr-FR"/>
        </w:rPr>
        <w:t>’</w:t>
      </w:r>
      <w:r w:rsidRPr="000A1E00">
        <w:rPr>
          <w:lang w:val="fr-FR"/>
        </w:rPr>
        <w:t>Allemagne a invité d</w:t>
      </w:r>
      <w:r w:rsidR="000A1E00">
        <w:rPr>
          <w:lang w:val="fr-FR"/>
        </w:rPr>
        <w:t>’</w:t>
      </w:r>
      <w:r w:rsidRPr="000A1E00">
        <w:rPr>
          <w:lang w:val="fr-FR"/>
        </w:rPr>
        <w:t>autres délégations à collaborer avec elle en vue d</w:t>
      </w:r>
      <w:r w:rsidR="000A1E00">
        <w:rPr>
          <w:lang w:val="fr-FR"/>
        </w:rPr>
        <w:t>’</w:t>
      </w:r>
      <w:r w:rsidRPr="000A1E00">
        <w:rPr>
          <w:lang w:val="fr-FR"/>
        </w:rPr>
        <w:t>élaborer une proposition pour la session suivante.</w:t>
      </w:r>
    </w:p>
    <w:p w:rsidR="00286BDC" w:rsidRPr="000A1E00" w:rsidRDefault="00286BDC" w:rsidP="00C94F0A">
      <w:pPr>
        <w:pStyle w:val="H1G"/>
        <w:rPr>
          <w:lang w:val="fr-FR"/>
        </w:rPr>
      </w:pPr>
      <w:r w:rsidRPr="000A1E00">
        <w:rPr>
          <w:lang w:val="fr-FR"/>
        </w:rPr>
        <w:tab/>
        <w:t>E.</w:t>
      </w:r>
      <w:r w:rsidRPr="000A1E00">
        <w:rPr>
          <w:lang w:val="fr-FR"/>
        </w:rPr>
        <w:tab/>
        <w:t>Objets auxquels s</w:t>
      </w:r>
      <w:r w:rsidR="000A1E00">
        <w:rPr>
          <w:lang w:val="fr-FR"/>
        </w:rPr>
        <w:t>’</w:t>
      </w:r>
      <w:r w:rsidRPr="000A1E00">
        <w:rPr>
          <w:lang w:val="fr-FR"/>
        </w:rPr>
        <w:t>appliquent les dispositions spéciales 117 et 123</w:t>
      </w:r>
    </w:p>
    <w:p w:rsidR="00286BDC" w:rsidRPr="000A1E00" w:rsidRDefault="00286BDC" w:rsidP="00286BDC">
      <w:pPr>
        <w:pStyle w:val="SingleTxtG"/>
        <w:tabs>
          <w:tab w:val="left" w:pos="3119"/>
        </w:tabs>
        <w:rPr>
          <w:lang w:val="en-US"/>
        </w:rPr>
      </w:pPr>
      <w:r w:rsidRPr="000A1E00">
        <w:rPr>
          <w:i/>
          <w:iCs/>
          <w:lang w:val="en-US"/>
        </w:rPr>
        <w:t>Document </w:t>
      </w:r>
      <w:r w:rsidRPr="000A1E00">
        <w:rPr>
          <w:iCs/>
          <w:lang w:val="en-US"/>
        </w:rPr>
        <w:t>:</w:t>
      </w:r>
      <w:r w:rsidRPr="000A1E00">
        <w:rPr>
          <w:lang w:val="en-US"/>
        </w:rPr>
        <w:t xml:space="preserve"> </w:t>
      </w:r>
      <w:r w:rsidRPr="000A1E00">
        <w:rPr>
          <w:lang w:val="en-US"/>
        </w:rPr>
        <w:tab/>
        <w:t>ST/SG/AC.10/C.3/2018/28 (COSTHA)</w:t>
      </w:r>
      <w:r w:rsidR="00C94F0A" w:rsidRPr="000A1E00">
        <w:rPr>
          <w:lang w:val="en-US"/>
        </w:rPr>
        <w:t>.</w:t>
      </w:r>
    </w:p>
    <w:p w:rsidR="00286BDC" w:rsidRPr="000A1E00" w:rsidRDefault="00286BDC" w:rsidP="00C94F0A">
      <w:pPr>
        <w:pStyle w:val="SingleTxtG"/>
        <w:rPr>
          <w:lang w:val="fr-FR"/>
        </w:rPr>
      </w:pPr>
      <w:r w:rsidRPr="000A1E00">
        <w:rPr>
          <w:lang w:val="fr-FR"/>
        </w:rPr>
        <w:t>46.</w:t>
      </w:r>
      <w:r w:rsidRPr="000A1E00">
        <w:rPr>
          <w:lang w:val="fr-FR"/>
        </w:rPr>
        <w:tab/>
        <w:t>Certains experts ont estimé que les dispositions spéciales 117 et 123 devraient être supprimées car il était inutile de mentionner dans le Règlement type que telle ou telle matière n</w:t>
      </w:r>
      <w:r w:rsidR="000A1E00">
        <w:rPr>
          <w:lang w:val="fr-FR"/>
        </w:rPr>
        <w:t>’</w:t>
      </w:r>
      <w:r w:rsidRPr="000A1E00">
        <w:rPr>
          <w:lang w:val="fr-FR"/>
        </w:rPr>
        <w:t>était soumise au Règlement que quand elle était transportée dans un mode de transport donné (aérien ou maritime, par exemple), étant donné que les autorités responsables de chaque mode étaient libres de déterminer si leurs dispositions s</w:t>
      </w:r>
      <w:r w:rsidR="000A1E00">
        <w:rPr>
          <w:lang w:val="fr-FR"/>
        </w:rPr>
        <w:t>’</w:t>
      </w:r>
      <w:r w:rsidRPr="000A1E00">
        <w:rPr>
          <w:lang w:val="fr-FR"/>
        </w:rPr>
        <w:t>appliquaient au transport d</w:t>
      </w:r>
      <w:r w:rsidR="000A1E00">
        <w:rPr>
          <w:lang w:val="fr-FR"/>
        </w:rPr>
        <w:t>’</w:t>
      </w:r>
      <w:r w:rsidRPr="000A1E00">
        <w:rPr>
          <w:lang w:val="fr-FR"/>
        </w:rPr>
        <w:t>une matière particulière. D</w:t>
      </w:r>
      <w:r w:rsidR="000A1E00">
        <w:rPr>
          <w:lang w:val="fr-FR"/>
        </w:rPr>
        <w:t>’</w:t>
      </w:r>
      <w:r w:rsidRPr="000A1E00">
        <w:rPr>
          <w:lang w:val="fr-FR"/>
        </w:rPr>
        <w:t>autres ont jugé en revanche que cette information était utile. Le Sous-Comité a conclu qu</w:t>
      </w:r>
      <w:r w:rsidR="000A1E00">
        <w:rPr>
          <w:lang w:val="fr-FR"/>
        </w:rPr>
        <w:t>’</w:t>
      </w:r>
      <w:r w:rsidRPr="000A1E00">
        <w:rPr>
          <w:lang w:val="fr-FR"/>
        </w:rPr>
        <w:t>il ne serait pas approprié de prendre une décision sur la question avant d</w:t>
      </w:r>
      <w:r w:rsidR="000A1E00">
        <w:rPr>
          <w:lang w:val="fr-FR"/>
        </w:rPr>
        <w:t>’</w:t>
      </w:r>
      <w:r w:rsidRPr="000A1E00">
        <w:rPr>
          <w:lang w:val="fr-FR"/>
        </w:rPr>
        <w:t>en avoir étudié toutes les conséquences.</w:t>
      </w:r>
    </w:p>
    <w:p w:rsidR="00286BDC" w:rsidRPr="000A1E00" w:rsidRDefault="00286BDC" w:rsidP="00C94F0A">
      <w:pPr>
        <w:pStyle w:val="SingleTxtG"/>
        <w:rPr>
          <w:lang w:val="fr-FR"/>
        </w:rPr>
      </w:pPr>
      <w:r w:rsidRPr="000A1E00">
        <w:rPr>
          <w:lang w:val="fr-FR"/>
        </w:rPr>
        <w:t>47.</w:t>
      </w:r>
      <w:r w:rsidRPr="000A1E00">
        <w:rPr>
          <w:lang w:val="fr-FR"/>
        </w:rPr>
        <w:tab/>
        <w:t>Après avoir examiné la proposition formulée au paragraphe 9 et entendu les observations formulées durant l</w:t>
      </w:r>
      <w:r w:rsidR="000A1E00">
        <w:rPr>
          <w:lang w:val="fr-FR"/>
        </w:rPr>
        <w:t>’</w:t>
      </w:r>
      <w:r w:rsidRPr="000A1E00">
        <w:rPr>
          <w:lang w:val="fr-FR"/>
        </w:rPr>
        <w:t>échange de vues, le Sous-Comité a décidé de remplacer la disposition spéciale 117 par la disposition spéciale 123 pour les N</w:t>
      </w:r>
      <w:r w:rsidRPr="000A1E00">
        <w:rPr>
          <w:vertAlign w:val="superscript"/>
          <w:lang w:val="fr-FR"/>
        </w:rPr>
        <w:t>os</w:t>
      </w:r>
      <w:r w:rsidR="00C94F0A" w:rsidRPr="000A1E00">
        <w:rPr>
          <w:lang w:val="fr-FR"/>
        </w:rPr>
        <w:t> </w:t>
      </w:r>
      <w:r w:rsidRPr="000A1E00">
        <w:rPr>
          <w:lang w:val="fr-FR"/>
        </w:rPr>
        <w:t>ONU 1372, 1387, 1856, 1857 et 3360 (voir annexe I). Au besoin, des amendements à d</w:t>
      </w:r>
      <w:r w:rsidR="000A1E00">
        <w:rPr>
          <w:lang w:val="fr-FR"/>
        </w:rPr>
        <w:t>’</w:t>
      </w:r>
      <w:r w:rsidRPr="000A1E00">
        <w:rPr>
          <w:lang w:val="fr-FR"/>
        </w:rPr>
        <w:t>autres numéros ONU (2216, 3166 et 3171, par exemple) pourraient être envisagés ultérieurement, dans le cadre d</w:t>
      </w:r>
      <w:r w:rsidR="000A1E00">
        <w:rPr>
          <w:lang w:val="fr-FR"/>
        </w:rPr>
        <w:t>’</w:t>
      </w:r>
      <w:r w:rsidRPr="000A1E00">
        <w:rPr>
          <w:lang w:val="fr-FR"/>
        </w:rPr>
        <w:t>une révision plus large d</w:t>
      </w:r>
      <w:r w:rsidR="000A1E00">
        <w:rPr>
          <w:lang w:val="fr-FR"/>
        </w:rPr>
        <w:t>’</w:t>
      </w:r>
      <w:r w:rsidRPr="000A1E00">
        <w:rPr>
          <w:lang w:val="fr-FR"/>
        </w:rPr>
        <w:t>autres dispositions.</w:t>
      </w:r>
    </w:p>
    <w:p w:rsidR="00286BDC" w:rsidRPr="000A1E00" w:rsidRDefault="00286BDC" w:rsidP="00C94F0A">
      <w:pPr>
        <w:pStyle w:val="H1G"/>
        <w:rPr>
          <w:lang w:val="fr-FR"/>
        </w:rPr>
      </w:pPr>
      <w:r w:rsidRPr="000A1E00">
        <w:rPr>
          <w:lang w:val="fr-FR"/>
        </w:rPr>
        <w:tab/>
        <w:t>F.</w:t>
      </w:r>
      <w:r w:rsidRPr="000A1E00">
        <w:rPr>
          <w:lang w:val="fr-FR"/>
        </w:rPr>
        <w:tab/>
        <w:t>Peroxydes organiques : nouvelles préparations devant figurer au paragraphe 2.5.3.2.4 et dans l</w:t>
      </w:r>
      <w:r w:rsidR="000A1E00">
        <w:rPr>
          <w:lang w:val="fr-FR"/>
        </w:rPr>
        <w:t>’</w:t>
      </w:r>
      <w:r w:rsidRPr="000A1E00">
        <w:rPr>
          <w:lang w:val="fr-FR"/>
        </w:rPr>
        <w:t>instruction IBC 520</w:t>
      </w:r>
    </w:p>
    <w:p w:rsidR="00286BDC" w:rsidRPr="000A1E00" w:rsidRDefault="00286BDC" w:rsidP="00C94F0A">
      <w:pPr>
        <w:pStyle w:val="SingleTxtG"/>
        <w:tabs>
          <w:tab w:val="left" w:pos="3119"/>
        </w:tabs>
        <w:rPr>
          <w:lang w:val="fr-FR"/>
        </w:rPr>
      </w:pPr>
      <w:r w:rsidRPr="000A1E00">
        <w:rPr>
          <w:i/>
          <w:iCs/>
          <w:lang w:val="fr-FR"/>
        </w:rPr>
        <w:t>Document </w:t>
      </w:r>
      <w:r w:rsidRPr="000A1E00">
        <w:rPr>
          <w:iCs/>
          <w:lang w:val="fr-FR"/>
        </w:rPr>
        <w:t>:</w:t>
      </w:r>
      <w:r w:rsidRPr="000A1E00">
        <w:rPr>
          <w:lang w:val="fr-FR"/>
        </w:rPr>
        <w:t xml:space="preserve"> </w:t>
      </w:r>
      <w:r w:rsidRPr="000A1E00">
        <w:rPr>
          <w:lang w:val="fr-FR"/>
        </w:rPr>
        <w:tab/>
        <w:t>ST/SG/AC.10/C.3/2018/29 (CEFIC)</w:t>
      </w:r>
      <w:r w:rsidR="00C94F0A" w:rsidRPr="000A1E00">
        <w:rPr>
          <w:lang w:val="fr-FR"/>
        </w:rPr>
        <w:t>.</w:t>
      </w:r>
    </w:p>
    <w:p w:rsidR="00286BDC" w:rsidRPr="000A1E00" w:rsidRDefault="00286BDC" w:rsidP="00286BDC">
      <w:pPr>
        <w:pStyle w:val="SingleTxtG"/>
        <w:tabs>
          <w:tab w:val="left" w:pos="1701"/>
          <w:tab w:val="left" w:pos="2835"/>
        </w:tabs>
        <w:rPr>
          <w:lang w:val="fr-FR"/>
        </w:rPr>
      </w:pPr>
      <w:r w:rsidRPr="000A1E00">
        <w:rPr>
          <w:lang w:val="fr-FR"/>
        </w:rPr>
        <w:t>48.</w:t>
      </w:r>
      <w:r w:rsidRPr="000A1E00">
        <w:rPr>
          <w:lang w:val="fr-FR"/>
        </w:rPr>
        <w:tab/>
        <w:t>En réponse à une question de l</w:t>
      </w:r>
      <w:r w:rsidR="000A1E00">
        <w:rPr>
          <w:lang w:val="fr-FR"/>
        </w:rPr>
        <w:t>’</w:t>
      </w:r>
      <w:r w:rsidRPr="000A1E00">
        <w:rPr>
          <w:lang w:val="fr-FR"/>
        </w:rPr>
        <w:t>expert du Canada, le représentant du CEFIC a expliqué que la proposition visant à remplacer la méthode d</w:t>
      </w:r>
      <w:r w:rsidR="000A1E00">
        <w:rPr>
          <w:lang w:val="fr-FR"/>
        </w:rPr>
        <w:t>’</w:t>
      </w:r>
      <w:r w:rsidRPr="000A1E00">
        <w:rPr>
          <w:lang w:val="fr-FR"/>
        </w:rPr>
        <w:t>emballage OP7 par la méthode OP8 s</w:t>
      </w:r>
      <w:r w:rsidR="000A1E00">
        <w:rPr>
          <w:lang w:val="fr-FR"/>
        </w:rPr>
        <w:t>’</w:t>
      </w:r>
      <w:r w:rsidRPr="000A1E00">
        <w:rPr>
          <w:lang w:val="fr-FR"/>
        </w:rPr>
        <w:t>appuyait sur des données d</w:t>
      </w:r>
      <w:r w:rsidR="000A1E00">
        <w:rPr>
          <w:lang w:val="fr-FR"/>
        </w:rPr>
        <w:t>’</w:t>
      </w:r>
      <w:r w:rsidRPr="000A1E00">
        <w:rPr>
          <w:lang w:val="fr-FR"/>
        </w:rPr>
        <w:t>essai qui n</w:t>
      </w:r>
      <w:r w:rsidR="000A1E00">
        <w:rPr>
          <w:lang w:val="fr-FR"/>
        </w:rPr>
        <w:t>’</w:t>
      </w:r>
      <w:r w:rsidRPr="000A1E00">
        <w:rPr>
          <w:lang w:val="fr-FR"/>
        </w:rPr>
        <w:t>étaient pas disponibles au moment où l</w:t>
      </w:r>
      <w:r w:rsidR="000A1E00">
        <w:rPr>
          <w:lang w:val="fr-FR"/>
        </w:rPr>
        <w:t>’</w:t>
      </w:r>
      <w:r w:rsidRPr="000A1E00">
        <w:rPr>
          <w:lang w:val="fr-FR"/>
        </w:rPr>
        <w:t>OP7 avait été affectée au peroxydicarbonate de bis (tert-butyl-4 cyclohexyle), en appliquant la méthode des références croisées. D</w:t>
      </w:r>
      <w:r w:rsidR="000A1E00">
        <w:rPr>
          <w:lang w:val="fr-FR"/>
        </w:rPr>
        <w:t>’</w:t>
      </w:r>
      <w:r w:rsidRPr="000A1E00">
        <w:rPr>
          <w:lang w:val="fr-FR"/>
        </w:rPr>
        <w:t>autres experts ont confirmé que les résultats d</w:t>
      </w:r>
      <w:r w:rsidR="000A1E00">
        <w:rPr>
          <w:lang w:val="fr-FR"/>
        </w:rPr>
        <w:t>’</w:t>
      </w:r>
      <w:r w:rsidRPr="000A1E00">
        <w:rPr>
          <w:lang w:val="fr-FR"/>
        </w:rPr>
        <w:t>essais menés conformément au Manuel d</w:t>
      </w:r>
      <w:r w:rsidR="000A1E00">
        <w:rPr>
          <w:lang w:val="fr-FR"/>
        </w:rPr>
        <w:t>’</w:t>
      </w:r>
      <w:r w:rsidRPr="000A1E00">
        <w:rPr>
          <w:lang w:val="fr-FR"/>
        </w:rPr>
        <w:t>épreuves et de critères confirmaient le bien-fondé de cette modification. En conséquence, le Sous-Comité a adopté la proposition formulée au paragraphe 2 du document susvisé (voir annexe I).</w:t>
      </w:r>
    </w:p>
    <w:p w:rsidR="00286BDC" w:rsidRPr="000A1E00" w:rsidRDefault="00286BDC" w:rsidP="00C94F0A">
      <w:pPr>
        <w:pStyle w:val="H1G"/>
        <w:rPr>
          <w:lang w:val="fr-FR"/>
        </w:rPr>
      </w:pPr>
      <w:r w:rsidRPr="000A1E00">
        <w:rPr>
          <w:lang w:val="fr-FR"/>
        </w:rPr>
        <w:tab/>
        <w:t>G.</w:t>
      </w:r>
      <w:r w:rsidRPr="000A1E00">
        <w:rPr>
          <w:lang w:val="fr-FR"/>
        </w:rPr>
        <w:tab/>
        <w:t>Corrections d</w:t>
      </w:r>
      <w:r w:rsidR="000A1E00">
        <w:rPr>
          <w:lang w:val="fr-FR"/>
        </w:rPr>
        <w:t>’</w:t>
      </w:r>
      <w:r w:rsidRPr="000A1E00">
        <w:rPr>
          <w:lang w:val="fr-FR"/>
        </w:rPr>
        <w:t>ordre rédactionnel à apporter aux versions française et anglaise du texte du Règlement type</w:t>
      </w:r>
    </w:p>
    <w:p w:rsidR="00286BDC" w:rsidRPr="000A1E00" w:rsidRDefault="00286BDC" w:rsidP="00286BDC">
      <w:pPr>
        <w:pStyle w:val="SingleTxtG"/>
        <w:tabs>
          <w:tab w:val="left" w:pos="3119"/>
        </w:tabs>
        <w:rPr>
          <w:lang w:val="en-US"/>
        </w:rPr>
      </w:pPr>
      <w:r w:rsidRPr="000A1E00">
        <w:rPr>
          <w:i/>
          <w:iCs/>
          <w:lang w:val="en-US"/>
        </w:rPr>
        <w:t>Document </w:t>
      </w:r>
      <w:r w:rsidRPr="000A1E00">
        <w:rPr>
          <w:iCs/>
          <w:lang w:val="en-US"/>
        </w:rPr>
        <w:t>:</w:t>
      </w:r>
      <w:r w:rsidRPr="000A1E00">
        <w:rPr>
          <w:lang w:val="en-US"/>
        </w:rPr>
        <w:t xml:space="preserve"> </w:t>
      </w:r>
      <w:r w:rsidRPr="000A1E00">
        <w:rPr>
          <w:lang w:val="en-US"/>
        </w:rPr>
        <w:tab/>
        <w:t>ST/SG/AC.10/C.3/2018/38 (Canada)</w:t>
      </w:r>
      <w:r w:rsidR="00C94F0A" w:rsidRPr="000A1E00">
        <w:rPr>
          <w:lang w:val="en-US"/>
        </w:rPr>
        <w:t>.</w:t>
      </w:r>
    </w:p>
    <w:p w:rsidR="00286BDC" w:rsidRPr="000A1E00" w:rsidRDefault="00286BDC" w:rsidP="00C94F0A">
      <w:pPr>
        <w:pStyle w:val="SingleTxtG"/>
        <w:rPr>
          <w:lang w:val="fr-FR"/>
        </w:rPr>
      </w:pPr>
      <w:r w:rsidRPr="000A1E00">
        <w:rPr>
          <w:lang w:val="fr-FR"/>
        </w:rPr>
        <w:t>49.</w:t>
      </w:r>
      <w:r w:rsidRPr="000A1E00">
        <w:rPr>
          <w:lang w:val="fr-FR"/>
        </w:rPr>
        <w:tab/>
        <w:t>Certains experts ont fait observer que les amendements proposés aux paragraphes 2, 4, 6 et 7 pourraient avoir des incidences imprévues sur l</w:t>
      </w:r>
      <w:r w:rsidR="000A1E00">
        <w:rPr>
          <w:lang w:val="fr-FR"/>
        </w:rPr>
        <w:t>’</w:t>
      </w:r>
      <w:r w:rsidRPr="000A1E00">
        <w:rPr>
          <w:lang w:val="fr-FR"/>
        </w:rPr>
        <w:t xml:space="preserve">interprétation des critères et se sont dits réticents à les adopter sans avoir au préalable examiné en détail les cas où il faudrait employer soit </w:t>
      </w:r>
      <w:r w:rsidR="002016B9">
        <w:rPr>
          <w:lang w:val="fr-FR"/>
        </w:rPr>
        <w:t>« </w:t>
      </w:r>
      <w:r w:rsidRPr="000A1E00">
        <w:rPr>
          <w:lang w:val="fr-FR"/>
        </w:rPr>
        <w:t>et</w:t>
      </w:r>
      <w:r w:rsidR="002016B9">
        <w:rPr>
          <w:lang w:val="fr-FR"/>
        </w:rPr>
        <w:t> </w:t>
      </w:r>
      <w:r w:rsidRPr="000A1E00">
        <w:rPr>
          <w:lang w:val="fr-FR"/>
        </w:rPr>
        <w:t xml:space="preserve">» soit </w:t>
      </w:r>
      <w:r w:rsidR="002016B9">
        <w:rPr>
          <w:lang w:val="fr-FR"/>
        </w:rPr>
        <w:t>« </w:t>
      </w:r>
      <w:r w:rsidRPr="000A1E00">
        <w:rPr>
          <w:lang w:val="fr-FR"/>
        </w:rPr>
        <w:t>ou</w:t>
      </w:r>
      <w:r w:rsidR="002016B9">
        <w:rPr>
          <w:lang w:val="fr-FR"/>
        </w:rPr>
        <w:t> »</w:t>
      </w:r>
      <w:r w:rsidRPr="000A1E00">
        <w:rPr>
          <w:lang w:val="fr-FR"/>
        </w:rPr>
        <w:t xml:space="preserve"> (selon que le respect de toutes les conditions ou seulement de certaines d</w:t>
      </w:r>
      <w:r w:rsidR="000A1E00">
        <w:rPr>
          <w:lang w:val="fr-FR"/>
        </w:rPr>
        <w:t>’</w:t>
      </w:r>
      <w:r w:rsidRPr="000A1E00">
        <w:rPr>
          <w:lang w:val="fr-FR"/>
        </w:rPr>
        <w:t>entre elles soit requis). Le Sous-Comité a estimé qu</w:t>
      </w:r>
      <w:r w:rsidR="000A1E00">
        <w:rPr>
          <w:lang w:val="fr-FR"/>
        </w:rPr>
        <w:t>’</w:t>
      </w:r>
      <w:r w:rsidRPr="000A1E00">
        <w:rPr>
          <w:lang w:val="fr-FR"/>
        </w:rPr>
        <w:t>il serait utile d</w:t>
      </w:r>
      <w:r w:rsidR="000A1E00">
        <w:rPr>
          <w:lang w:val="fr-FR"/>
        </w:rPr>
        <w:t>’</w:t>
      </w:r>
      <w:r w:rsidRPr="000A1E00">
        <w:rPr>
          <w:lang w:val="fr-FR"/>
        </w:rPr>
        <w:t>examiner la proposition qui lui avait initialement été soumise au moment où ces dispositions avaient été ajoutées au Règlement type, et a prié le secrétariat de lui communiquer ce renseignement dans un document d</w:t>
      </w:r>
      <w:r w:rsidR="000A1E00">
        <w:rPr>
          <w:lang w:val="fr-FR"/>
        </w:rPr>
        <w:t>’</w:t>
      </w:r>
      <w:r w:rsidRPr="000A1E00">
        <w:rPr>
          <w:lang w:val="fr-FR"/>
        </w:rPr>
        <w:t>information à s</w:t>
      </w:r>
      <w:r w:rsidR="00C94F0A" w:rsidRPr="000A1E00">
        <w:rPr>
          <w:lang w:val="fr-FR"/>
        </w:rPr>
        <w:t>a session suivante.</w:t>
      </w:r>
    </w:p>
    <w:p w:rsidR="00286BDC" w:rsidRPr="000A1E00" w:rsidRDefault="00286BDC" w:rsidP="00C94F0A">
      <w:pPr>
        <w:pStyle w:val="SingleTxtG"/>
        <w:rPr>
          <w:lang w:val="fr-FR"/>
        </w:rPr>
      </w:pPr>
      <w:r w:rsidRPr="000A1E00">
        <w:rPr>
          <w:lang w:val="fr-FR"/>
        </w:rPr>
        <w:t>50.</w:t>
      </w:r>
      <w:r w:rsidRPr="000A1E00">
        <w:rPr>
          <w:lang w:val="fr-FR"/>
        </w:rPr>
        <w:tab/>
        <w:t>Le Sous-Comité a adopté les corrections aux renvois dans le 2.3.1.3 et au NOTA du 2.6.2.2.4.1 proposées aux paragraphes 3 et 5 du document (voir annexe III).</w:t>
      </w:r>
    </w:p>
    <w:p w:rsidR="00286BDC" w:rsidRPr="000A1E00" w:rsidRDefault="00286BDC" w:rsidP="00C94F0A">
      <w:pPr>
        <w:pStyle w:val="H1G"/>
        <w:rPr>
          <w:lang w:val="fr-FR"/>
        </w:rPr>
      </w:pPr>
      <w:r w:rsidRPr="000A1E00">
        <w:rPr>
          <w:lang w:val="fr-FR"/>
        </w:rPr>
        <w:tab/>
        <w:t>H.</w:t>
      </w:r>
      <w:r w:rsidRPr="000A1E00">
        <w:rPr>
          <w:lang w:val="fr-FR"/>
        </w:rPr>
        <w:tab/>
        <w:t>Proposition visant à modifier la disposition spéciale 375 concernant les</w:t>
      </w:r>
      <w:r w:rsidR="00C94F0A" w:rsidRPr="000A1E00">
        <w:rPr>
          <w:lang w:val="fr-FR"/>
        </w:rPr>
        <w:t xml:space="preserve"> </w:t>
      </w:r>
      <w:r w:rsidRPr="000A1E00">
        <w:rPr>
          <w:lang w:val="fr-FR"/>
        </w:rPr>
        <w:t>N</w:t>
      </w:r>
      <w:r w:rsidR="00C94F0A" w:rsidRPr="000A1E00">
        <w:rPr>
          <w:lang w:val="fr-FR"/>
        </w:rPr>
        <w:t>os </w:t>
      </w:r>
      <w:r w:rsidRPr="000A1E00">
        <w:rPr>
          <w:lang w:val="fr-FR"/>
        </w:rPr>
        <w:t>ONU</w:t>
      </w:r>
      <w:r w:rsidR="00C94F0A" w:rsidRPr="000A1E00">
        <w:rPr>
          <w:lang w:val="fr-FR"/>
        </w:rPr>
        <w:t> 3077 et 3082</w:t>
      </w:r>
    </w:p>
    <w:p w:rsidR="00286BDC" w:rsidRPr="000A1E00" w:rsidRDefault="00286BDC" w:rsidP="00286BDC">
      <w:pPr>
        <w:pStyle w:val="SingleTxtG"/>
        <w:tabs>
          <w:tab w:val="left" w:pos="3119"/>
        </w:tabs>
        <w:rPr>
          <w:lang w:val="fr-FR"/>
        </w:rPr>
      </w:pPr>
      <w:r w:rsidRPr="000A1E00">
        <w:rPr>
          <w:i/>
          <w:iCs/>
          <w:lang w:val="fr-FR"/>
        </w:rPr>
        <w:t>Document</w:t>
      </w:r>
      <w:r w:rsidRPr="000A1E00">
        <w:rPr>
          <w:iCs/>
          <w:lang w:val="fr-FR"/>
        </w:rPr>
        <w:t> :</w:t>
      </w:r>
      <w:r w:rsidRPr="000A1E00">
        <w:rPr>
          <w:lang w:val="fr-FR"/>
        </w:rPr>
        <w:t xml:space="preserve"> </w:t>
      </w:r>
      <w:r w:rsidRPr="000A1E00">
        <w:rPr>
          <w:lang w:val="fr-FR"/>
        </w:rPr>
        <w:tab/>
        <w:t>ST/SG/AC.10/C.3/2018/47 (DGAC et COSTHA)</w:t>
      </w:r>
      <w:r w:rsidR="00C94F0A" w:rsidRPr="000A1E00">
        <w:rPr>
          <w:lang w:val="fr-FR"/>
        </w:rPr>
        <w:t>.</w:t>
      </w:r>
    </w:p>
    <w:p w:rsidR="00286BDC" w:rsidRPr="000A1E00" w:rsidRDefault="00286BDC" w:rsidP="00C94F0A">
      <w:pPr>
        <w:pStyle w:val="SingleTxtG"/>
        <w:rPr>
          <w:lang w:val="fr-FR"/>
        </w:rPr>
      </w:pPr>
      <w:r w:rsidRPr="000A1E00">
        <w:rPr>
          <w:lang w:val="fr-FR"/>
        </w:rPr>
        <w:t>51.</w:t>
      </w:r>
      <w:r w:rsidRPr="000A1E00">
        <w:rPr>
          <w:lang w:val="fr-FR"/>
        </w:rPr>
        <w:tab/>
        <w:t>Le Sous-Comité a noté que la proposition se fondait sur les pratiques du secteur, n</w:t>
      </w:r>
      <w:r w:rsidR="000A1E00">
        <w:rPr>
          <w:lang w:val="fr-FR"/>
        </w:rPr>
        <w:t>’</w:t>
      </w:r>
      <w:r w:rsidRPr="000A1E00">
        <w:rPr>
          <w:lang w:val="fr-FR"/>
        </w:rPr>
        <w:t>était pas étayée par des données pertinentes et pourrait n</w:t>
      </w:r>
      <w:r w:rsidR="000A1E00">
        <w:rPr>
          <w:lang w:val="fr-FR"/>
        </w:rPr>
        <w:t>’</w:t>
      </w:r>
      <w:r w:rsidRPr="000A1E00">
        <w:rPr>
          <w:lang w:val="fr-FR"/>
        </w:rPr>
        <w:t>être pas adaptée au transport maritime. Certains experts se sont déclarés favorables à la poursuite de l</w:t>
      </w:r>
      <w:r w:rsidR="000A1E00">
        <w:rPr>
          <w:lang w:val="fr-FR"/>
        </w:rPr>
        <w:t>’</w:t>
      </w:r>
      <w:r w:rsidRPr="000A1E00">
        <w:rPr>
          <w:lang w:val="fr-FR"/>
        </w:rPr>
        <w:t>examen de cette question sur la base de données supplémentaires et de justifications quant à la sécurité. La plupart des experts n</w:t>
      </w:r>
      <w:r w:rsidR="000A1E00">
        <w:rPr>
          <w:lang w:val="fr-FR"/>
        </w:rPr>
        <w:t>’</w:t>
      </w:r>
      <w:r w:rsidRPr="000A1E00">
        <w:rPr>
          <w:lang w:val="fr-FR"/>
        </w:rPr>
        <w:t>étaient pas d</w:t>
      </w:r>
      <w:r w:rsidR="000A1E00">
        <w:rPr>
          <w:lang w:val="fr-FR"/>
        </w:rPr>
        <w:t>’</w:t>
      </w:r>
      <w:r w:rsidRPr="000A1E00">
        <w:rPr>
          <w:lang w:val="fr-FR"/>
        </w:rPr>
        <w:t>avis que l</w:t>
      </w:r>
      <w:r w:rsidR="000A1E00">
        <w:rPr>
          <w:lang w:val="fr-FR"/>
        </w:rPr>
        <w:t>’</w:t>
      </w:r>
      <w:r w:rsidRPr="000A1E00">
        <w:rPr>
          <w:lang w:val="fr-FR"/>
        </w:rPr>
        <w:t>absence d</w:t>
      </w:r>
      <w:r w:rsidR="000A1E00">
        <w:rPr>
          <w:lang w:val="fr-FR"/>
        </w:rPr>
        <w:t>’</w:t>
      </w:r>
      <w:r w:rsidRPr="000A1E00">
        <w:rPr>
          <w:lang w:val="fr-FR"/>
        </w:rPr>
        <w:t>accidents ou d</w:t>
      </w:r>
      <w:r w:rsidR="000A1E00">
        <w:rPr>
          <w:lang w:val="fr-FR"/>
        </w:rPr>
        <w:t>’</w:t>
      </w:r>
      <w:r w:rsidRPr="000A1E00">
        <w:rPr>
          <w:lang w:val="fr-FR"/>
        </w:rPr>
        <w:t>incidents justifie la proposition du point de vue de la sécurité. D</w:t>
      </w:r>
      <w:r w:rsidR="000A1E00">
        <w:rPr>
          <w:lang w:val="fr-FR"/>
        </w:rPr>
        <w:t>’</w:t>
      </w:r>
      <w:r w:rsidRPr="000A1E00">
        <w:rPr>
          <w:lang w:val="fr-FR"/>
        </w:rPr>
        <w:t>autres n</w:t>
      </w:r>
      <w:r w:rsidR="000A1E00">
        <w:rPr>
          <w:lang w:val="fr-FR"/>
        </w:rPr>
        <w:t>’</w:t>
      </w:r>
      <w:r w:rsidRPr="000A1E00">
        <w:rPr>
          <w:lang w:val="fr-FR"/>
        </w:rPr>
        <w:t>étaient pas favorables à la modification des quantité ou masse nettes par emballage car cela autoriserait le transport de quantités plus importantes dans des emballages non éprouvés.</w:t>
      </w:r>
    </w:p>
    <w:p w:rsidR="00286BDC" w:rsidRPr="000A1E00" w:rsidRDefault="00286BDC" w:rsidP="00C94F0A">
      <w:pPr>
        <w:pStyle w:val="SingleTxtG"/>
        <w:rPr>
          <w:lang w:val="fr-FR"/>
        </w:rPr>
      </w:pPr>
      <w:r w:rsidRPr="000A1E00">
        <w:rPr>
          <w:lang w:val="fr-FR"/>
        </w:rPr>
        <w:t>52.</w:t>
      </w:r>
      <w:r w:rsidRPr="000A1E00">
        <w:rPr>
          <w:lang w:val="fr-FR"/>
        </w:rPr>
        <w:tab/>
        <w:t>Le représentant du COSTHA a retiré sa proposition. Il a déclaré qu</w:t>
      </w:r>
      <w:r w:rsidR="000A1E00">
        <w:rPr>
          <w:lang w:val="fr-FR"/>
        </w:rPr>
        <w:t>’</w:t>
      </w:r>
      <w:r w:rsidRPr="000A1E00">
        <w:rPr>
          <w:lang w:val="fr-FR"/>
        </w:rPr>
        <w:t>il continuerait à collecter des données auprès de représentants du secteur et qu</w:t>
      </w:r>
      <w:r w:rsidR="000A1E00">
        <w:rPr>
          <w:lang w:val="fr-FR"/>
        </w:rPr>
        <w:t>’</w:t>
      </w:r>
      <w:r w:rsidRPr="000A1E00">
        <w:rPr>
          <w:lang w:val="fr-FR"/>
        </w:rPr>
        <w:t xml:space="preserve">il envisagerait de soumettre ultérieurement une proposition révisée qui tiendrait compte des observations formulées. </w:t>
      </w:r>
    </w:p>
    <w:p w:rsidR="00286BDC" w:rsidRPr="000A1E00" w:rsidRDefault="00286BDC" w:rsidP="00C94F0A">
      <w:pPr>
        <w:pStyle w:val="H1G"/>
        <w:rPr>
          <w:lang w:val="fr-FR"/>
        </w:rPr>
      </w:pPr>
      <w:r w:rsidRPr="000A1E00">
        <w:rPr>
          <w:lang w:val="fr-FR"/>
        </w:rPr>
        <w:tab/>
        <w:t>I.</w:t>
      </w:r>
      <w:r w:rsidRPr="000A1E00">
        <w:rPr>
          <w:lang w:val="fr-FR"/>
        </w:rPr>
        <w:tab/>
        <w:t>Classification du strontium et danger subsidiaire de corrosivité des métaux alcalins et alcalino-terreux</w:t>
      </w:r>
    </w:p>
    <w:p w:rsidR="00286BDC" w:rsidRPr="000A1E00" w:rsidRDefault="00286BDC" w:rsidP="00C94F0A">
      <w:pPr>
        <w:pStyle w:val="SingleTxtG"/>
        <w:tabs>
          <w:tab w:val="left" w:pos="3119"/>
        </w:tabs>
        <w:rPr>
          <w:lang w:val="fr-FR"/>
        </w:rPr>
      </w:pPr>
      <w:r w:rsidRPr="000A1E00">
        <w:rPr>
          <w:i/>
          <w:iCs/>
          <w:lang w:val="fr-FR"/>
        </w:rPr>
        <w:t>Document informel </w:t>
      </w:r>
      <w:r w:rsidRPr="000A1E00">
        <w:rPr>
          <w:iCs/>
          <w:lang w:val="fr-FR"/>
        </w:rPr>
        <w:t>:</w:t>
      </w:r>
      <w:r w:rsidRPr="000A1E00">
        <w:rPr>
          <w:lang w:val="fr-FR"/>
        </w:rPr>
        <w:t xml:space="preserve"> </w:t>
      </w:r>
      <w:r w:rsidRPr="000A1E00">
        <w:rPr>
          <w:lang w:val="fr-FR"/>
        </w:rPr>
        <w:tab/>
        <w:t>INF.14 (Autriche)</w:t>
      </w:r>
      <w:r w:rsidR="00C94F0A" w:rsidRPr="000A1E00">
        <w:rPr>
          <w:lang w:val="fr-FR"/>
        </w:rPr>
        <w:t>.</w:t>
      </w:r>
    </w:p>
    <w:p w:rsidR="00286BDC" w:rsidRPr="000A1E00" w:rsidRDefault="00286BDC" w:rsidP="00C94F0A">
      <w:pPr>
        <w:pStyle w:val="SingleTxtG"/>
        <w:rPr>
          <w:lang w:val="fr-FR"/>
        </w:rPr>
      </w:pPr>
      <w:r w:rsidRPr="000A1E00">
        <w:rPr>
          <w:lang w:val="fr-FR"/>
        </w:rPr>
        <w:t>53.</w:t>
      </w:r>
      <w:r w:rsidRPr="000A1E00">
        <w:rPr>
          <w:lang w:val="fr-FR"/>
        </w:rPr>
        <w:tab/>
        <w:t>Plusieurs experts ont fait valoir que, selon le 2.0.0.2 du Règlement type, les matières et objets qui n</w:t>
      </w:r>
      <w:r w:rsidR="000A1E00">
        <w:rPr>
          <w:lang w:val="fr-FR"/>
        </w:rPr>
        <w:t>’</w:t>
      </w:r>
      <w:r w:rsidRPr="000A1E00">
        <w:rPr>
          <w:lang w:val="fr-FR"/>
        </w:rPr>
        <w:t>étaient pas expressément mentionnés dans la liste des marchandises dangereuses devaient être expédiés sous la rubrique générique ou non spécifiée par ailleurs (N.S.A.) correspondant le mieux à leurs propriétés.</w:t>
      </w:r>
    </w:p>
    <w:p w:rsidR="00286BDC" w:rsidRPr="000A1E00" w:rsidRDefault="00286BDC" w:rsidP="00C94F0A">
      <w:pPr>
        <w:pStyle w:val="SingleTxtG"/>
        <w:rPr>
          <w:lang w:val="fr-FR"/>
        </w:rPr>
      </w:pPr>
      <w:r w:rsidRPr="000A1E00">
        <w:rPr>
          <w:lang w:val="fr-FR"/>
        </w:rPr>
        <w:t>54.</w:t>
      </w:r>
      <w:r w:rsidRPr="000A1E00">
        <w:rPr>
          <w:lang w:val="fr-FR"/>
        </w:rPr>
        <w:tab/>
        <w:t>Le Sous-Comité a invité l</w:t>
      </w:r>
      <w:r w:rsidR="000A1E00">
        <w:rPr>
          <w:lang w:val="fr-FR"/>
        </w:rPr>
        <w:t>’</w:t>
      </w:r>
      <w:r w:rsidRPr="000A1E00">
        <w:rPr>
          <w:lang w:val="fr-FR"/>
        </w:rPr>
        <w:t>expert de l</w:t>
      </w:r>
      <w:r w:rsidR="000A1E00">
        <w:rPr>
          <w:lang w:val="fr-FR"/>
        </w:rPr>
        <w:t>’</w:t>
      </w:r>
      <w:r w:rsidRPr="000A1E00">
        <w:rPr>
          <w:lang w:val="fr-FR"/>
        </w:rPr>
        <w:t>Autriche à lui communiquer des données concernant les propriétés corrosives des matières énumérées dans son document, afin d</w:t>
      </w:r>
      <w:r w:rsidR="000A1E00">
        <w:rPr>
          <w:lang w:val="fr-FR"/>
        </w:rPr>
        <w:t>’</w:t>
      </w:r>
      <w:r w:rsidRPr="000A1E00">
        <w:rPr>
          <w:lang w:val="fr-FR"/>
        </w:rPr>
        <w:t>établir s</w:t>
      </w:r>
      <w:r w:rsidR="000A1E00">
        <w:rPr>
          <w:lang w:val="fr-FR"/>
        </w:rPr>
        <w:t>’</w:t>
      </w:r>
      <w:r w:rsidRPr="000A1E00">
        <w:rPr>
          <w:lang w:val="fr-FR"/>
        </w:rPr>
        <w:t>il était nécessaire d</w:t>
      </w:r>
      <w:r w:rsidR="000A1E00">
        <w:rPr>
          <w:lang w:val="fr-FR"/>
        </w:rPr>
        <w:t>’</w:t>
      </w:r>
      <w:r w:rsidRPr="000A1E00">
        <w:rPr>
          <w:lang w:val="fr-FR"/>
        </w:rPr>
        <w:t>ajouter un danger subsidiaire dans la liste des marchandises dangereuses pour les rubriques génériques concernées ou si ces substances devaient être affectées à des numéros ONU plus spécifiques. Le représentant de l</w:t>
      </w:r>
      <w:r w:rsidR="000A1E00">
        <w:rPr>
          <w:lang w:val="fr-FR"/>
        </w:rPr>
        <w:t>’</w:t>
      </w:r>
      <w:r w:rsidRPr="000A1E00">
        <w:rPr>
          <w:lang w:val="fr-FR"/>
        </w:rPr>
        <w:t>Union européenne s</w:t>
      </w:r>
      <w:r w:rsidR="000A1E00">
        <w:rPr>
          <w:lang w:val="fr-FR"/>
        </w:rPr>
        <w:t>’</w:t>
      </w:r>
      <w:r w:rsidRPr="000A1E00">
        <w:rPr>
          <w:lang w:val="fr-FR"/>
        </w:rPr>
        <w:t>est déclaré disposé à coopérer avec l</w:t>
      </w:r>
      <w:r w:rsidR="000A1E00">
        <w:rPr>
          <w:lang w:val="fr-FR"/>
        </w:rPr>
        <w:t>’</w:t>
      </w:r>
      <w:r w:rsidRPr="000A1E00">
        <w:rPr>
          <w:lang w:val="fr-FR"/>
        </w:rPr>
        <w:t>expert de l</w:t>
      </w:r>
      <w:r w:rsidR="000A1E00">
        <w:rPr>
          <w:lang w:val="fr-FR"/>
        </w:rPr>
        <w:t>’</w:t>
      </w:r>
      <w:r w:rsidRPr="000A1E00">
        <w:rPr>
          <w:lang w:val="fr-FR"/>
        </w:rPr>
        <w:t xml:space="preserve">Autriche aux fins de la collecte de données. </w:t>
      </w:r>
    </w:p>
    <w:p w:rsidR="00286BDC" w:rsidRPr="000A1E00" w:rsidRDefault="00286BDC" w:rsidP="00C94F0A">
      <w:pPr>
        <w:pStyle w:val="H1G"/>
        <w:rPr>
          <w:lang w:val="fr-FR"/>
        </w:rPr>
      </w:pPr>
      <w:r w:rsidRPr="000A1E00">
        <w:rPr>
          <w:lang w:val="fr-FR"/>
        </w:rPr>
        <w:tab/>
        <w:t>J.</w:t>
      </w:r>
      <w:r w:rsidRPr="000A1E00">
        <w:rPr>
          <w:lang w:val="fr-FR"/>
        </w:rPr>
        <w:tab/>
        <w:t xml:space="preserve">Affectation de la disposition spéciale 356 au </w:t>
      </w:r>
      <w:r w:rsidR="00C94F0A" w:rsidRPr="000A1E00">
        <w:rPr>
          <w:lang w:val="fr-FR"/>
        </w:rPr>
        <w:t>No </w:t>
      </w:r>
      <w:r w:rsidRPr="000A1E00">
        <w:rPr>
          <w:lang w:val="fr-FR"/>
        </w:rPr>
        <w:t>ONU 3529</w:t>
      </w:r>
    </w:p>
    <w:p w:rsidR="00286BDC" w:rsidRPr="000A1E00" w:rsidRDefault="00286BDC" w:rsidP="00C94F0A">
      <w:pPr>
        <w:pStyle w:val="SingleTxtG"/>
        <w:tabs>
          <w:tab w:val="left" w:pos="3119"/>
        </w:tabs>
        <w:rPr>
          <w:lang w:val="fr-FR"/>
        </w:rPr>
      </w:pPr>
      <w:r w:rsidRPr="000A1E00">
        <w:rPr>
          <w:i/>
          <w:iCs/>
          <w:lang w:val="fr-FR"/>
        </w:rPr>
        <w:t>Documents informels</w:t>
      </w:r>
      <w:r w:rsidRPr="000A1E00">
        <w:rPr>
          <w:iCs/>
          <w:lang w:val="fr-FR"/>
        </w:rPr>
        <w:t> :</w:t>
      </w:r>
      <w:r w:rsidRPr="000A1E00">
        <w:rPr>
          <w:lang w:val="fr-FR"/>
        </w:rPr>
        <w:tab/>
        <w:t>INF.19 et INF.61 (IATA)</w:t>
      </w:r>
      <w:r w:rsidR="00C94F0A" w:rsidRPr="000A1E00">
        <w:rPr>
          <w:lang w:val="fr-FR"/>
        </w:rPr>
        <w:t>.</w:t>
      </w:r>
    </w:p>
    <w:p w:rsidR="00286BDC" w:rsidRPr="000A1E00" w:rsidRDefault="00286BDC" w:rsidP="00C94F0A">
      <w:pPr>
        <w:pStyle w:val="SingleTxtG"/>
        <w:rPr>
          <w:lang w:val="fr-FR"/>
        </w:rPr>
      </w:pPr>
      <w:r w:rsidRPr="000A1E00">
        <w:rPr>
          <w:lang w:val="fr-FR"/>
        </w:rPr>
        <w:t>55.</w:t>
      </w:r>
      <w:r w:rsidRPr="000A1E00">
        <w:rPr>
          <w:lang w:val="fr-FR"/>
        </w:rPr>
        <w:tab/>
        <w:t>Le Sous-Comité a adopté les amendements à la disposition spéciale 356 énoncés dans le document informel INF.61, moyennant quelques modifications supplémentaires, ainsi que l</w:t>
      </w:r>
      <w:r w:rsidR="000A1E00">
        <w:rPr>
          <w:lang w:val="fr-FR"/>
        </w:rPr>
        <w:t>’</w:t>
      </w:r>
      <w:r w:rsidRPr="000A1E00">
        <w:rPr>
          <w:lang w:val="fr-FR"/>
        </w:rPr>
        <w:t xml:space="preserve">affectation de la disposition au </w:t>
      </w:r>
      <w:r w:rsidR="00C94F0A" w:rsidRPr="000A1E00">
        <w:rPr>
          <w:lang w:val="fr-FR"/>
        </w:rPr>
        <w:t>No ONU </w:t>
      </w:r>
      <w:r w:rsidRPr="000A1E00">
        <w:rPr>
          <w:lang w:val="fr-FR"/>
        </w:rPr>
        <w:t>3259 (voir annexe I).</w:t>
      </w:r>
    </w:p>
    <w:p w:rsidR="00286BDC" w:rsidRPr="000A1E00" w:rsidRDefault="00286BDC" w:rsidP="00C94F0A">
      <w:pPr>
        <w:pStyle w:val="H1G"/>
        <w:rPr>
          <w:lang w:val="fr-FR"/>
        </w:rPr>
      </w:pPr>
      <w:r w:rsidRPr="000A1E00">
        <w:rPr>
          <w:lang w:val="fr-FR"/>
        </w:rPr>
        <w:tab/>
        <w:t>K.</w:t>
      </w:r>
      <w:r w:rsidRPr="000A1E00">
        <w:rPr>
          <w:lang w:val="fr-FR"/>
        </w:rPr>
        <w:tab/>
        <w:t>Modification de l</w:t>
      </w:r>
      <w:r w:rsidR="000A1E00">
        <w:rPr>
          <w:lang w:val="fr-FR"/>
        </w:rPr>
        <w:t>’</w:t>
      </w:r>
      <w:r w:rsidRPr="000A1E00">
        <w:rPr>
          <w:lang w:val="fr-FR"/>
        </w:rPr>
        <w:t>instruction d</w:t>
      </w:r>
      <w:r w:rsidR="000A1E00">
        <w:rPr>
          <w:lang w:val="fr-FR"/>
        </w:rPr>
        <w:t>’</w:t>
      </w:r>
      <w:r w:rsidRPr="000A1E00">
        <w:rPr>
          <w:lang w:val="fr-FR"/>
        </w:rPr>
        <w:t>emballage P404</w:t>
      </w:r>
    </w:p>
    <w:p w:rsidR="00286BDC" w:rsidRPr="000A1E00" w:rsidRDefault="00286BDC" w:rsidP="00286BDC">
      <w:pPr>
        <w:pStyle w:val="SingleTxtG"/>
        <w:tabs>
          <w:tab w:val="left" w:pos="3119"/>
        </w:tabs>
        <w:rPr>
          <w:lang w:val="fr-FR"/>
        </w:rPr>
      </w:pPr>
      <w:r w:rsidRPr="000A1E00">
        <w:rPr>
          <w:i/>
          <w:iCs/>
          <w:lang w:val="fr-FR"/>
        </w:rPr>
        <w:t>Document informel </w:t>
      </w:r>
      <w:r w:rsidRPr="000A1E00">
        <w:rPr>
          <w:iCs/>
          <w:lang w:val="fr-FR"/>
        </w:rPr>
        <w:t>:</w:t>
      </w:r>
      <w:r w:rsidRPr="000A1E00">
        <w:rPr>
          <w:lang w:val="fr-FR"/>
        </w:rPr>
        <w:t xml:space="preserve"> </w:t>
      </w:r>
      <w:r w:rsidRPr="000A1E00">
        <w:rPr>
          <w:lang w:val="fr-FR"/>
        </w:rPr>
        <w:tab/>
        <w:t>INF.23 (CEFIC)</w:t>
      </w:r>
      <w:r w:rsidR="00C94F0A" w:rsidRPr="000A1E00">
        <w:rPr>
          <w:lang w:val="fr-FR"/>
        </w:rPr>
        <w:t>.</w:t>
      </w:r>
    </w:p>
    <w:p w:rsidR="00286BDC" w:rsidRPr="000A1E00" w:rsidRDefault="00286BDC" w:rsidP="00C94F0A">
      <w:pPr>
        <w:pStyle w:val="SingleTxtG"/>
        <w:rPr>
          <w:lang w:val="fr-FR"/>
        </w:rPr>
      </w:pPr>
      <w:r w:rsidRPr="000A1E00">
        <w:rPr>
          <w:lang w:val="fr-FR"/>
        </w:rPr>
        <w:t>56.</w:t>
      </w:r>
      <w:r w:rsidRPr="000A1E00">
        <w:rPr>
          <w:lang w:val="fr-FR"/>
        </w:rPr>
        <w:tab/>
        <w:t>Les experts ont dans l</w:t>
      </w:r>
      <w:r w:rsidR="000A1E00">
        <w:rPr>
          <w:lang w:val="fr-FR"/>
        </w:rPr>
        <w:t>’</w:t>
      </w:r>
      <w:r w:rsidRPr="000A1E00">
        <w:rPr>
          <w:lang w:val="fr-FR"/>
        </w:rPr>
        <w:t xml:space="preserve">ensemble appuyé la proposition et le Sous-Comité a invité le représentant du CEFIC à réviser la proposition en tenant compte des observations formulées et à soumettre un document </w:t>
      </w:r>
      <w:r w:rsidR="00C94F0A" w:rsidRPr="000A1E00">
        <w:rPr>
          <w:lang w:val="fr-FR"/>
        </w:rPr>
        <w:t>officiel à la session suivante.</w:t>
      </w:r>
    </w:p>
    <w:p w:rsidR="00286BDC" w:rsidRPr="000A1E00" w:rsidRDefault="00286BDC" w:rsidP="00C94F0A">
      <w:pPr>
        <w:pStyle w:val="H1G"/>
        <w:rPr>
          <w:lang w:val="fr-FR"/>
        </w:rPr>
      </w:pPr>
      <w:r w:rsidRPr="000A1E00">
        <w:rPr>
          <w:lang w:val="fr-FR"/>
        </w:rPr>
        <w:tab/>
        <w:t>L.</w:t>
      </w:r>
      <w:r w:rsidRPr="000A1E00">
        <w:rPr>
          <w:lang w:val="fr-FR"/>
        </w:rPr>
        <w:tab/>
        <w:t>Noms techniques des marchandises dangereuses pour l</w:t>
      </w:r>
      <w:r w:rsidR="000A1E00">
        <w:rPr>
          <w:lang w:val="fr-FR"/>
        </w:rPr>
        <w:t>’</w:t>
      </w:r>
      <w:r w:rsidRPr="000A1E00">
        <w:rPr>
          <w:lang w:val="fr-FR"/>
        </w:rPr>
        <w:t>environnement de la classe 9 (Nos</w:t>
      </w:r>
      <w:r w:rsidR="00C94F0A" w:rsidRPr="000A1E00">
        <w:rPr>
          <w:lang w:val="fr-FR"/>
        </w:rPr>
        <w:t> </w:t>
      </w:r>
      <w:r w:rsidRPr="000A1E00">
        <w:rPr>
          <w:lang w:val="fr-FR"/>
        </w:rPr>
        <w:t>ONU 3077 et 3082)</w:t>
      </w:r>
    </w:p>
    <w:p w:rsidR="00286BDC" w:rsidRPr="000A1E00" w:rsidRDefault="00286BDC" w:rsidP="00C94F0A">
      <w:pPr>
        <w:pStyle w:val="SingleTxtG"/>
        <w:tabs>
          <w:tab w:val="left" w:pos="3119"/>
        </w:tabs>
        <w:rPr>
          <w:lang w:val="fr-FR"/>
        </w:rPr>
      </w:pPr>
      <w:r w:rsidRPr="000A1E00">
        <w:rPr>
          <w:i/>
          <w:lang w:val="fr-FR"/>
        </w:rPr>
        <w:t>Document informel</w:t>
      </w:r>
      <w:r w:rsidRPr="000A1E00">
        <w:rPr>
          <w:lang w:val="fr-FR"/>
        </w:rPr>
        <w:t xml:space="preserve"> : </w:t>
      </w:r>
      <w:r w:rsidRPr="000A1E00">
        <w:rPr>
          <w:lang w:val="fr-FR"/>
        </w:rPr>
        <w:tab/>
        <w:t>INF.26 (IPPIC)</w:t>
      </w:r>
      <w:r w:rsidR="00C94F0A" w:rsidRPr="000A1E00">
        <w:rPr>
          <w:lang w:val="fr-FR"/>
        </w:rPr>
        <w:t>.</w:t>
      </w:r>
    </w:p>
    <w:p w:rsidR="00286BDC" w:rsidRPr="000A1E00" w:rsidRDefault="00286BDC" w:rsidP="00C94F0A">
      <w:pPr>
        <w:pStyle w:val="SingleTxtG"/>
        <w:rPr>
          <w:lang w:val="fr-FR"/>
        </w:rPr>
      </w:pPr>
      <w:r w:rsidRPr="000A1E00">
        <w:rPr>
          <w:lang w:val="fr-FR"/>
        </w:rPr>
        <w:t>57.</w:t>
      </w:r>
      <w:r w:rsidRPr="000A1E00">
        <w:rPr>
          <w:lang w:val="fr-FR"/>
        </w:rPr>
        <w:tab/>
        <w:t>Le Sous-Comité n</w:t>
      </w:r>
      <w:r w:rsidR="000A1E00">
        <w:rPr>
          <w:lang w:val="fr-FR"/>
        </w:rPr>
        <w:t>’</w:t>
      </w:r>
      <w:r w:rsidRPr="000A1E00">
        <w:rPr>
          <w:lang w:val="fr-FR"/>
        </w:rPr>
        <w:t>a pas été favorable à la suppression de la disposition spéciale 274 pour ces deux rubriques. La plupart des experts ont estimé que le nom technique donnait sur les propriétés des matières transportées sous ces rubriques des renseignements pertinents et en particulier utiles en cas de déversement pour déterminer les mesures de confinement et de nettoyage appropriées. Il a en outre été souligné que la suppression de cette disposition se traduirait par une discordance avec le Code maritime international des marchandises dangereuses, qui exige que soient précisés les noms techniques des matières polluantes pour le milieu marin même lorsque celles-ci ne sont pas affectées de la disposition spéciale</w:t>
      </w:r>
      <w:r w:rsidR="00C94F0A" w:rsidRPr="000A1E00">
        <w:rPr>
          <w:lang w:val="fr-FR"/>
        </w:rPr>
        <w:t xml:space="preserve"> </w:t>
      </w:r>
      <w:r w:rsidRPr="000A1E00">
        <w:rPr>
          <w:lang w:val="fr-FR"/>
        </w:rPr>
        <w:t>274.</w:t>
      </w:r>
    </w:p>
    <w:p w:rsidR="00286BDC" w:rsidRPr="000A1E00" w:rsidRDefault="00286BDC" w:rsidP="00C94F0A">
      <w:pPr>
        <w:pStyle w:val="SingleTxtG"/>
        <w:rPr>
          <w:lang w:val="fr-FR"/>
        </w:rPr>
      </w:pPr>
      <w:r w:rsidRPr="000A1E00">
        <w:rPr>
          <w:lang w:val="fr-FR"/>
        </w:rPr>
        <w:t>58.</w:t>
      </w:r>
      <w:r w:rsidRPr="000A1E00">
        <w:rPr>
          <w:lang w:val="fr-FR"/>
        </w:rPr>
        <w:tab/>
        <w:t>S</w:t>
      </w:r>
      <w:r w:rsidR="000A1E00">
        <w:rPr>
          <w:lang w:val="fr-FR"/>
        </w:rPr>
        <w:t>’</w:t>
      </w:r>
      <w:r w:rsidRPr="000A1E00">
        <w:rPr>
          <w:lang w:val="fr-FR"/>
        </w:rPr>
        <w:t>agissant de la complexité des noms techniques, il a été signalé que le Règlement type autorisait l</w:t>
      </w:r>
      <w:r w:rsidR="000A1E00">
        <w:rPr>
          <w:lang w:val="fr-FR"/>
        </w:rPr>
        <w:t>’</w:t>
      </w:r>
      <w:r w:rsidRPr="000A1E00">
        <w:rPr>
          <w:lang w:val="fr-FR"/>
        </w:rPr>
        <w:t>utilisation de noms génériques ou de noms de familles chimiques. Un expert a suggéré que l</w:t>
      </w:r>
      <w:r w:rsidR="000A1E00">
        <w:rPr>
          <w:lang w:val="fr-FR"/>
        </w:rPr>
        <w:t>’</w:t>
      </w:r>
      <w:r w:rsidRPr="000A1E00">
        <w:rPr>
          <w:lang w:val="fr-FR"/>
        </w:rPr>
        <w:t>emploi de noms génériques tels que « encres » ou « peintures » pourrait être envisagé dans ce contexte.</w:t>
      </w:r>
    </w:p>
    <w:p w:rsidR="00286BDC" w:rsidRPr="000A1E00" w:rsidRDefault="00286BDC" w:rsidP="00C94F0A">
      <w:pPr>
        <w:pStyle w:val="SingleTxtG"/>
        <w:rPr>
          <w:lang w:val="fr-FR"/>
        </w:rPr>
      </w:pPr>
      <w:r w:rsidRPr="000A1E00">
        <w:rPr>
          <w:lang w:val="fr-FR"/>
        </w:rPr>
        <w:t>59.</w:t>
      </w:r>
      <w:r w:rsidRPr="000A1E00">
        <w:rPr>
          <w:lang w:val="fr-FR"/>
        </w:rPr>
        <w:tab/>
        <w:t>La représentante de l</w:t>
      </w:r>
      <w:r w:rsidR="000A1E00">
        <w:rPr>
          <w:lang w:val="fr-FR"/>
        </w:rPr>
        <w:t>’</w:t>
      </w:r>
      <w:r w:rsidRPr="000A1E00">
        <w:rPr>
          <w:lang w:val="fr-FR"/>
        </w:rPr>
        <w:t>IPPIC a pris note de l</w:t>
      </w:r>
      <w:r w:rsidR="000A1E00">
        <w:rPr>
          <w:lang w:val="fr-FR"/>
        </w:rPr>
        <w:t>’</w:t>
      </w:r>
      <w:r w:rsidRPr="000A1E00">
        <w:rPr>
          <w:lang w:val="fr-FR"/>
        </w:rPr>
        <w:t>interprétation du Sous-Comité concernant la possibilité d</w:t>
      </w:r>
      <w:r w:rsidR="000A1E00">
        <w:rPr>
          <w:lang w:val="fr-FR"/>
        </w:rPr>
        <w:t>’</w:t>
      </w:r>
      <w:r w:rsidRPr="000A1E00">
        <w:rPr>
          <w:lang w:val="fr-FR"/>
        </w:rPr>
        <w:t>utiliser des noms techniques simplifiés dans le contexte de l</w:t>
      </w:r>
      <w:r w:rsidR="000A1E00">
        <w:rPr>
          <w:lang w:val="fr-FR"/>
        </w:rPr>
        <w:t>’</w:t>
      </w:r>
      <w:r w:rsidRPr="000A1E00">
        <w:rPr>
          <w:lang w:val="fr-FR"/>
        </w:rPr>
        <w:t>application de la disposition spéciale 274 et a ajouté qu</w:t>
      </w:r>
      <w:r w:rsidR="000A1E00">
        <w:rPr>
          <w:lang w:val="fr-FR"/>
        </w:rPr>
        <w:t>’</w:t>
      </w:r>
      <w:r w:rsidRPr="000A1E00">
        <w:rPr>
          <w:lang w:val="fr-FR"/>
        </w:rPr>
        <w:t>elle réfléchirait à la nécessité de soumettre une proposition visant à préciser cette question dans le Règlement type.</w:t>
      </w:r>
    </w:p>
    <w:p w:rsidR="00286BDC" w:rsidRPr="000A1E00" w:rsidRDefault="00286BDC" w:rsidP="00C94F0A">
      <w:pPr>
        <w:pStyle w:val="H1G"/>
        <w:rPr>
          <w:lang w:val="fr-FR"/>
        </w:rPr>
      </w:pPr>
      <w:r w:rsidRPr="000A1E00">
        <w:rPr>
          <w:lang w:val="fr-FR"/>
        </w:rPr>
        <w:tab/>
        <w:t>M.</w:t>
      </w:r>
      <w:r w:rsidRPr="000A1E00">
        <w:rPr>
          <w:lang w:val="fr-FR"/>
        </w:rPr>
        <w:tab/>
        <w:t>Transport du carbonate de baryum en tant que marchandise non dangereuse</w:t>
      </w:r>
    </w:p>
    <w:p w:rsidR="00286BDC" w:rsidRPr="000A1E00" w:rsidRDefault="00286BDC" w:rsidP="00C94F0A">
      <w:pPr>
        <w:pStyle w:val="SingleTxtG"/>
        <w:tabs>
          <w:tab w:val="left" w:pos="3119"/>
        </w:tabs>
        <w:rPr>
          <w:lang w:val="fr-FR"/>
        </w:rPr>
      </w:pPr>
      <w:r w:rsidRPr="000A1E00">
        <w:rPr>
          <w:i/>
          <w:lang w:val="fr-FR"/>
        </w:rPr>
        <w:t>Document informel </w:t>
      </w:r>
      <w:r w:rsidRPr="000A1E00">
        <w:rPr>
          <w:lang w:val="fr-FR"/>
        </w:rPr>
        <w:t xml:space="preserve">: </w:t>
      </w:r>
      <w:r w:rsidRPr="000A1E00">
        <w:rPr>
          <w:lang w:val="fr-FR"/>
        </w:rPr>
        <w:tab/>
        <w:t>INF.32 (Espagne)</w:t>
      </w:r>
      <w:r w:rsidR="00C94F0A" w:rsidRPr="000A1E00">
        <w:rPr>
          <w:lang w:val="fr-FR"/>
        </w:rPr>
        <w:t>.</w:t>
      </w:r>
    </w:p>
    <w:p w:rsidR="00286BDC" w:rsidRPr="000A1E00" w:rsidRDefault="00286BDC" w:rsidP="00C94F0A">
      <w:pPr>
        <w:pStyle w:val="SingleTxtG"/>
        <w:rPr>
          <w:lang w:val="fr-FR"/>
        </w:rPr>
      </w:pPr>
      <w:r w:rsidRPr="000A1E00">
        <w:rPr>
          <w:lang w:val="fr-FR"/>
        </w:rPr>
        <w:t>60.</w:t>
      </w:r>
      <w:r w:rsidRPr="000A1E00">
        <w:rPr>
          <w:lang w:val="fr-FR"/>
        </w:rPr>
        <w:tab/>
        <w:t>Certains experts ont convenu que le carbonate de baryum pouvait être considéré comme non dangereux sur la base des données fournies, mais les avis étaient partagés sur la nécessité d</w:t>
      </w:r>
      <w:r w:rsidR="000A1E00">
        <w:rPr>
          <w:lang w:val="fr-FR"/>
        </w:rPr>
        <w:t>’</w:t>
      </w:r>
      <w:r w:rsidRPr="000A1E00">
        <w:rPr>
          <w:lang w:val="fr-FR"/>
        </w:rPr>
        <w:t>introduire une disposition spéciale indiquant qu</w:t>
      </w:r>
      <w:r w:rsidR="000A1E00">
        <w:rPr>
          <w:lang w:val="fr-FR"/>
        </w:rPr>
        <w:t>’</w:t>
      </w:r>
      <w:r w:rsidRPr="000A1E00">
        <w:rPr>
          <w:lang w:val="fr-FR"/>
        </w:rPr>
        <w:t>il n</w:t>
      </w:r>
      <w:r w:rsidR="000A1E00">
        <w:rPr>
          <w:lang w:val="fr-FR"/>
        </w:rPr>
        <w:t>’</w:t>
      </w:r>
      <w:r w:rsidRPr="000A1E00">
        <w:rPr>
          <w:lang w:val="fr-FR"/>
        </w:rPr>
        <w:t xml:space="preserve">était pas soumis à la réglementation concernant le transport des marchandises dangereuses. </w:t>
      </w:r>
    </w:p>
    <w:p w:rsidR="00286BDC" w:rsidRPr="000A1E00" w:rsidRDefault="00286BDC" w:rsidP="00C94F0A">
      <w:pPr>
        <w:pStyle w:val="SingleTxtG"/>
        <w:rPr>
          <w:lang w:val="fr-FR"/>
        </w:rPr>
      </w:pPr>
      <w:r w:rsidRPr="000A1E00">
        <w:rPr>
          <w:lang w:val="fr-FR"/>
        </w:rPr>
        <w:t>61.</w:t>
      </w:r>
      <w:r w:rsidRPr="000A1E00">
        <w:rPr>
          <w:lang w:val="fr-FR"/>
        </w:rPr>
        <w:tab/>
        <w:t>Certains experts ont fait observer que, par défaut, les matières qui ne répondaient pas aux critères de classement dans l</w:t>
      </w:r>
      <w:r w:rsidR="000A1E00">
        <w:rPr>
          <w:lang w:val="fr-FR"/>
        </w:rPr>
        <w:t>’</w:t>
      </w:r>
      <w:r w:rsidRPr="000A1E00">
        <w:rPr>
          <w:lang w:val="fr-FR"/>
        </w:rPr>
        <w:t>une des classes de marchandises dangereuses n</w:t>
      </w:r>
      <w:r w:rsidR="000A1E00">
        <w:rPr>
          <w:lang w:val="fr-FR"/>
        </w:rPr>
        <w:t>’</w:t>
      </w:r>
      <w:r w:rsidRPr="000A1E00">
        <w:rPr>
          <w:lang w:val="fr-FR"/>
        </w:rPr>
        <w:t>étaient pas soumises à la réglementation concernant le transport des marchandises dangereuses. Ils ont estimé qu</w:t>
      </w:r>
      <w:r w:rsidR="000A1E00">
        <w:rPr>
          <w:lang w:val="fr-FR"/>
        </w:rPr>
        <w:t>’</w:t>
      </w:r>
      <w:r w:rsidRPr="000A1E00">
        <w:rPr>
          <w:lang w:val="fr-FR"/>
        </w:rPr>
        <w:t>il n</w:t>
      </w:r>
      <w:r w:rsidR="000A1E00">
        <w:rPr>
          <w:lang w:val="fr-FR"/>
        </w:rPr>
        <w:t>’</w:t>
      </w:r>
      <w:r w:rsidRPr="000A1E00">
        <w:rPr>
          <w:lang w:val="fr-FR"/>
        </w:rPr>
        <w:t>était pas nécessaire d</w:t>
      </w:r>
      <w:r w:rsidR="000A1E00">
        <w:rPr>
          <w:lang w:val="fr-FR"/>
        </w:rPr>
        <w:t>’</w:t>
      </w:r>
      <w:r w:rsidRPr="000A1E00">
        <w:rPr>
          <w:lang w:val="fr-FR"/>
        </w:rPr>
        <w:t>ajouter dans le Règlement type des dispositions apportant des précisions au cas par cas. D</w:t>
      </w:r>
      <w:r w:rsidR="000A1E00">
        <w:rPr>
          <w:lang w:val="fr-FR"/>
        </w:rPr>
        <w:t>’</w:t>
      </w:r>
      <w:r w:rsidRPr="000A1E00">
        <w:rPr>
          <w:lang w:val="fr-FR"/>
        </w:rPr>
        <w:t>autres ont jugé l</w:t>
      </w:r>
      <w:r w:rsidR="000A1E00">
        <w:rPr>
          <w:lang w:val="fr-FR"/>
        </w:rPr>
        <w:t>’</w:t>
      </w:r>
      <w:r w:rsidRPr="000A1E00">
        <w:rPr>
          <w:lang w:val="fr-FR"/>
        </w:rPr>
        <w:t>idée acceptable, étant donné que la disposition spéciale 177 existante excluait expressément le sulfate de baryum. D</w:t>
      </w:r>
      <w:r w:rsidR="000A1E00">
        <w:rPr>
          <w:lang w:val="fr-FR"/>
        </w:rPr>
        <w:t>’</w:t>
      </w:r>
      <w:r w:rsidRPr="000A1E00">
        <w:rPr>
          <w:lang w:val="fr-FR"/>
        </w:rPr>
        <w:t>autres encore ont été d</w:t>
      </w:r>
      <w:r w:rsidR="000A1E00">
        <w:rPr>
          <w:lang w:val="fr-FR"/>
        </w:rPr>
        <w:t>’</w:t>
      </w:r>
      <w:r w:rsidRPr="000A1E00">
        <w:rPr>
          <w:lang w:val="fr-FR"/>
        </w:rPr>
        <w:t>avis qu</w:t>
      </w:r>
      <w:r w:rsidR="000A1E00">
        <w:rPr>
          <w:lang w:val="fr-FR"/>
        </w:rPr>
        <w:t>’</w:t>
      </w:r>
      <w:r w:rsidRPr="000A1E00">
        <w:rPr>
          <w:lang w:val="fr-FR"/>
        </w:rPr>
        <w:t>une analyse plus poussée pourrait être menée pour recenser d</w:t>
      </w:r>
      <w:r w:rsidR="000A1E00">
        <w:rPr>
          <w:lang w:val="fr-FR"/>
        </w:rPr>
        <w:t>’</w:t>
      </w:r>
      <w:r w:rsidRPr="000A1E00">
        <w:rPr>
          <w:lang w:val="fr-FR"/>
        </w:rPr>
        <w:t>autres matières se trouvant dans la même situation que celle décrite pour le carbonate de baryum.</w:t>
      </w:r>
    </w:p>
    <w:p w:rsidR="00286BDC" w:rsidRPr="000A1E00" w:rsidRDefault="00286BDC" w:rsidP="00286BDC">
      <w:pPr>
        <w:pStyle w:val="SingleTxtG"/>
        <w:tabs>
          <w:tab w:val="left" w:pos="1701"/>
          <w:tab w:val="left" w:pos="2977"/>
        </w:tabs>
        <w:rPr>
          <w:lang w:val="fr-FR"/>
        </w:rPr>
      </w:pPr>
      <w:r w:rsidRPr="000A1E00">
        <w:rPr>
          <w:lang w:val="fr-FR"/>
        </w:rPr>
        <w:t>62.</w:t>
      </w:r>
      <w:r w:rsidRPr="000A1E00">
        <w:rPr>
          <w:lang w:val="fr-FR"/>
        </w:rPr>
        <w:tab/>
        <w:t>L</w:t>
      </w:r>
      <w:r w:rsidR="000A1E00">
        <w:rPr>
          <w:lang w:val="fr-FR"/>
        </w:rPr>
        <w:t>’</w:t>
      </w:r>
      <w:r w:rsidRPr="000A1E00">
        <w:rPr>
          <w:lang w:val="fr-FR"/>
        </w:rPr>
        <w:t>experte de l</w:t>
      </w:r>
      <w:r w:rsidR="000A1E00">
        <w:rPr>
          <w:lang w:val="fr-FR"/>
        </w:rPr>
        <w:t>’</w:t>
      </w:r>
      <w:r w:rsidRPr="000A1E00">
        <w:rPr>
          <w:lang w:val="fr-FR"/>
        </w:rPr>
        <w:t>Espagne a fait valoir qu</w:t>
      </w:r>
      <w:r w:rsidR="000A1E00">
        <w:rPr>
          <w:lang w:val="fr-FR"/>
        </w:rPr>
        <w:t>’</w:t>
      </w:r>
      <w:r w:rsidRPr="000A1E00">
        <w:rPr>
          <w:lang w:val="fr-FR"/>
        </w:rPr>
        <w:t>en dépit de la disponibilité de données démontrant la nature non dangereuse du carbonate de baryum durant le transport, des problèmes subsistaient dans le transport international, certains pays continuant d</w:t>
      </w:r>
      <w:r w:rsidR="000A1E00">
        <w:rPr>
          <w:lang w:val="fr-FR"/>
        </w:rPr>
        <w:t>’</w:t>
      </w:r>
      <w:r w:rsidRPr="000A1E00">
        <w:rPr>
          <w:lang w:val="fr-FR"/>
        </w:rPr>
        <w:t>exiger qu</w:t>
      </w:r>
      <w:r w:rsidR="000A1E00">
        <w:rPr>
          <w:lang w:val="fr-FR"/>
        </w:rPr>
        <w:t>’</w:t>
      </w:r>
      <w:r w:rsidRPr="000A1E00">
        <w:rPr>
          <w:lang w:val="fr-FR"/>
        </w:rPr>
        <w:t>il soit transporté sous le N</w:t>
      </w:r>
      <w:r w:rsidR="00C94F0A" w:rsidRPr="000A1E00">
        <w:rPr>
          <w:lang w:val="fr-FR"/>
        </w:rPr>
        <w:t>o </w:t>
      </w:r>
      <w:r w:rsidRPr="000A1E00">
        <w:rPr>
          <w:lang w:val="fr-FR"/>
        </w:rPr>
        <w:t>ONU 1564. Après un échange de vues, elle a fait savoir qu</w:t>
      </w:r>
      <w:r w:rsidR="000A1E00">
        <w:rPr>
          <w:lang w:val="fr-FR"/>
        </w:rPr>
        <w:t>’</w:t>
      </w:r>
      <w:r w:rsidRPr="000A1E00">
        <w:rPr>
          <w:lang w:val="fr-FR"/>
        </w:rPr>
        <w:t>elle soumettrait à la session suivante un document officiel fournissant des renseignements détaillés appuyés sur des données pr</w:t>
      </w:r>
      <w:r w:rsidR="00C94F0A" w:rsidRPr="000A1E00">
        <w:rPr>
          <w:lang w:val="fr-FR"/>
        </w:rPr>
        <w:t>ovenant de différentes sources.</w:t>
      </w:r>
    </w:p>
    <w:p w:rsidR="00286BDC" w:rsidRPr="000A1E00" w:rsidRDefault="00286BDC" w:rsidP="00C94F0A">
      <w:pPr>
        <w:pStyle w:val="H1G"/>
        <w:rPr>
          <w:lang w:val="fr-FR"/>
        </w:rPr>
      </w:pPr>
      <w:r w:rsidRPr="000A1E00">
        <w:rPr>
          <w:lang w:val="fr-FR"/>
        </w:rPr>
        <w:tab/>
        <w:t>N.</w:t>
      </w:r>
      <w:r w:rsidRPr="000A1E00">
        <w:rPr>
          <w:lang w:val="fr-FR"/>
        </w:rPr>
        <w:tab/>
        <w:t>Exemptions pour les matières qui polymérisent</w:t>
      </w:r>
    </w:p>
    <w:p w:rsidR="00286BDC" w:rsidRPr="000A1E00" w:rsidRDefault="00286BDC" w:rsidP="00C94F0A">
      <w:pPr>
        <w:pStyle w:val="SingleTxtG"/>
        <w:rPr>
          <w:lang w:val="fr-FR"/>
        </w:rPr>
      </w:pPr>
      <w:r w:rsidRPr="000A1E00">
        <w:rPr>
          <w:i/>
          <w:lang w:val="fr-FR"/>
        </w:rPr>
        <w:t>Document informel</w:t>
      </w:r>
      <w:r w:rsidRPr="000A1E00">
        <w:rPr>
          <w:lang w:val="fr-FR"/>
        </w:rPr>
        <w:t xml:space="preserve"> : </w:t>
      </w:r>
      <w:r w:rsidRPr="000A1E00">
        <w:rPr>
          <w:lang w:val="fr-FR"/>
        </w:rPr>
        <w:tab/>
        <w:t>INF.50 (CEFIC)</w:t>
      </w:r>
      <w:r w:rsidR="00C94F0A" w:rsidRPr="000A1E00">
        <w:rPr>
          <w:lang w:val="fr-FR"/>
        </w:rPr>
        <w:t>.</w:t>
      </w:r>
    </w:p>
    <w:p w:rsidR="00286BDC" w:rsidRPr="000A1E00" w:rsidRDefault="00286BDC" w:rsidP="00C94F0A">
      <w:pPr>
        <w:pStyle w:val="SingleTxtG"/>
        <w:rPr>
          <w:lang w:val="fr-FR"/>
        </w:rPr>
      </w:pPr>
      <w:r w:rsidRPr="000A1E00">
        <w:rPr>
          <w:lang w:val="fr-FR"/>
        </w:rPr>
        <w:t>63.</w:t>
      </w:r>
      <w:r w:rsidRPr="000A1E00">
        <w:rPr>
          <w:lang w:val="fr-FR"/>
        </w:rPr>
        <w:tab/>
        <w:t>Une délégation a souligné qu</w:t>
      </w:r>
      <w:r w:rsidR="000A1E00">
        <w:rPr>
          <w:lang w:val="fr-FR"/>
        </w:rPr>
        <w:t>’</w:t>
      </w:r>
      <w:r w:rsidRPr="000A1E00">
        <w:rPr>
          <w:lang w:val="fr-FR"/>
        </w:rPr>
        <w:t>il était important de déterminer la sensibilité des matières visées au réchauffement en situation de confinement et s</w:t>
      </w:r>
      <w:r w:rsidR="000A1E00">
        <w:rPr>
          <w:lang w:val="fr-FR"/>
        </w:rPr>
        <w:t>’</w:t>
      </w:r>
      <w:r w:rsidRPr="000A1E00">
        <w:rPr>
          <w:lang w:val="fr-FR"/>
        </w:rPr>
        <w:t>est interrogée sur l</w:t>
      </w:r>
      <w:r w:rsidR="000A1E00">
        <w:rPr>
          <w:lang w:val="fr-FR"/>
        </w:rPr>
        <w:t>’</w:t>
      </w:r>
      <w:r w:rsidRPr="000A1E00">
        <w:rPr>
          <w:lang w:val="fr-FR"/>
        </w:rPr>
        <w:t>opportunité d</w:t>
      </w:r>
      <w:r w:rsidR="000A1E00">
        <w:rPr>
          <w:lang w:val="fr-FR"/>
        </w:rPr>
        <w:t>’</w:t>
      </w:r>
      <w:r w:rsidRPr="000A1E00">
        <w:rPr>
          <w:lang w:val="fr-FR"/>
        </w:rPr>
        <w:t>utiliser une exemption fondée sur les critères utilisés pour les matières explosibles au 2.1.3.6.4 a) et b), à savoir la température de la surface externe et le niveau de rupture ou de fragmentation de l</w:t>
      </w:r>
      <w:r w:rsidR="000A1E00">
        <w:rPr>
          <w:lang w:val="fr-FR"/>
        </w:rPr>
        <w:t>’</w:t>
      </w:r>
      <w:r w:rsidRPr="000A1E00">
        <w:rPr>
          <w:lang w:val="fr-FR"/>
        </w:rPr>
        <w:t>enveloppe externe. Une autre délégation a estimé qu</w:t>
      </w:r>
      <w:r w:rsidR="000A1E00">
        <w:rPr>
          <w:lang w:val="fr-FR"/>
        </w:rPr>
        <w:t>’</w:t>
      </w:r>
      <w:r w:rsidRPr="000A1E00">
        <w:rPr>
          <w:lang w:val="fr-FR"/>
        </w:rPr>
        <w:t>il conviendrait de préciser que l</w:t>
      </w:r>
      <w:r w:rsidR="000A1E00">
        <w:rPr>
          <w:lang w:val="fr-FR"/>
        </w:rPr>
        <w:t>’</w:t>
      </w:r>
      <w:r w:rsidRPr="000A1E00">
        <w:rPr>
          <w:lang w:val="fr-FR"/>
        </w:rPr>
        <w:t>exemption proposée ne s</w:t>
      </w:r>
      <w:r w:rsidR="000A1E00">
        <w:rPr>
          <w:lang w:val="fr-FR"/>
        </w:rPr>
        <w:t>’</w:t>
      </w:r>
      <w:r w:rsidRPr="000A1E00">
        <w:rPr>
          <w:lang w:val="fr-FR"/>
        </w:rPr>
        <w:t>appliquerait qu</w:t>
      </w:r>
      <w:r w:rsidR="000A1E00">
        <w:rPr>
          <w:lang w:val="fr-FR"/>
        </w:rPr>
        <w:t>’</w:t>
      </w:r>
      <w:r w:rsidRPr="000A1E00">
        <w:rPr>
          <w:lang w:val="fr-FR"/>
        </w:rPr>
        <w:t>aux matières qui polymérisent transpor</w:t>
      </w:r>
      <w:r w:rsidR="00C94F0A" w:rsidRPr="000A1E00">
        <w:rPr>
          <w:lang w:val="fr-FR"/>
        </w:rPr>
        <w:t>tées dans de petits emballages.</w:t>
      </w:r>
    </w:p>
    <w:p w:rsidR="00286BDC" w:rsidRPr="000A1E00" w:rsidRDefault="00286BDC" w:rsidP="00C94F0A">
      <w:pPr>
        <w:pStyle w:val="SingleTxtG"/>
        <w:rPr>
          <w:lang w:val="fr-FR"/>
        </w:rPr>
      </w:pPr>
      <w:r w:rsidRPr="000A1E00">
        <w:rPr>
          <w:lang w:val="fr-FR"/>
        </w:rPr>
        <w:t>64.</w:t>
      </w:r>
      <w:r w:rsidRPr="000A1E00">
        <w:rPr>
          <w:lang w:val="fr-FR"/>
        </w:rPr>
        <w:tab/>
        <w:t>Le représentant du CEFIC a dit qu</w:t>
      </w:r>
      <w:r w:rsidR="000A1E00">
        <w:rPr>
          <w:lang w:val="fr-FR"/>
        </w:rPr>
        <w:t>’</w:t>
      </w:r>
      <w:r w:rsidRPr="000A1E00">
        <w:rPr>
          <w:lang w:val="fr-FR"/>
        </w:rPr>
        <w:t xml:space="preserve">il collaborerait avec les délégations qui </w:t>
      </w:r>
      <w:r w:rsidRPr="00CF2192">
        <w:rPr>
          <w:lang w:val="fr-FR"/>
        </w:rPr>
        <w:t>formulaient</w:t>
      </w:r>
      <w:r w:rsidRPr="00CF2192">
        <w:rPr>
          <w:spacing w:val="-2"/>
          <w:lang w:val="fr-FR"/>
        </w:rPr>
        <w:t xml:space="preserve"> des observations afin de </w:t>
      </w:r>
      <w:r w:rsidRPr="00CF2192">
        <w:rPr>
          <w:lang w:val="fr-FR"/>
        </w:rPr>
        <w:t>soumettre</w:t>
      </w:r>
      <w:r w:rsidRPr="00CF2192">
        <w:rPr>
          <w:spacing w:val="-2"/>
          <w:lang w:val="fr-FR"/>
        </w:rPr>
        <w:t xml:space="preserve"> une proposition révisée à la</w:t>
      </w:r>
      <w:r w:rsidRPr="000A1E00">
        <w:rPr>
          <w:lang w:val="fr-FR"/>
        </w:rPr>
        <w:t xml:space="preserve"> session suivante.</w:t>
      </w:r>
    </w:p>
    <w:p w:rsidR="00286BDC" w:rsidRPr="000A1E00" w:rsidRDefault="00286BDC" w:rsidP="00C94F0A">
      <w:pPr>
        <w:pStyle w:val="H1G"/>
        <w:rPr>
          <w:lang w:val="fr-FR"/>
        </w:rPr>
      </w:pPr>
      <w:r w:rsidRPr="000A1E00">
        <w:rPr>
          <w:lang w:val="fr-FR"/>
        </w:rPr>
        <w:tab/>
        <w:t>O.</w:t>
      </w:r>
      <w:r w:rsidRPr="000A1E00">
        <w:rPr>
          <w:lang w:val="fr-FR"/>
        </w:rPr>
        <w:tab/>
        <w:t>Noms des explosifs en espagnol</w:t>
      </w:r>
    </w:p>
    <w:p w:rsidR="00286BDC" w:rsidRPr="000A1E00" w:rsidRDefault="00286BDC" w:rsidP="00C94F0A">
      <w:pPr>
        <w:pStyle w:val="SingleTxtG"/>
        <w:tabs>
          <w:tab w:val="left" w:pos="3119"/>
        </w:tabs>
        <w:rPr>
          <w:lang w:val="fr-FR"/>
        </w:rPr>
      </w:pPr>
      <w:r w:rsidRPr="000A1E00">
        <w:rPr>
          <w:i/>
          <w:iCs/>
          <w:lang w:val="fr-FR"/>
        </w:rPr>
        <w:t>Document </w:t>
      </w:r>
      <w:r w:rsidRPr="000A1E00">
        <w:rPr>
          <w:iCs/>
          <w:lang w:val="fr-FR"/>
        </w:rPr>
        <w:t>:</w:t>
      </w:r>
      <w:r w:rsidRPr="000A1E00">
        <w:rPr>
          <w:lang w:val="fr-FR"/>
        </w:rPr>
        <w:t xml:space="preserve"> </w:t>
      </w:r>
      <w:r w:rsidRPr="000A1E00">
        <w:rPr>
          <w:lang w:val="fr-FR"/>
        </w:rPr>
        <w:tab/>
        <w:t>ST/SG/AC.10/C.3/2018/14 (Espagne)</w:t>
      </w:r>
      <w:r w:rsidR="00C94F0A" w:rsidRPr="000A1E00">
        <w:rPr>
          <w:lang w:val="fr-FR"/>
        </w:rPr>
        <w:t>.</w:t>
      </w:r>
    </w:p>
    <w:p w:rsidR="00286BDC" w:rsidRPr="000A1E00" w:rsidRDefault="00286BDC" w:rsidP="00286BDC">
      <w:pPr>
        <w:pStyle w:val="SingleTxtG"/>
        <w:rPr>
          <w:lang w:val="fr-FR"/>
        </w:rPr>
      </w:pPr>
      <w:r w:rsidRPr="000A1E00">
        <w:rPr>
          <w:lang w:val="fr-FR"/>
        </w:rPr>
        <w:t>65.</w:t>
      </w:r>
      <w:r w:rsidRPr="000A1E00">
        <w:rPr>
          <w:lang w:val="fr-FR"/>
        </w:rPr>
        <w:tab/>
        <w:t>L</w:t>
      </w:r>
      <w:r w:rsidR="000A1E00">
        <w:rPr>
          <w:lang w:val="fr-FR"/>
        </w:rPr>
        <w:t>’</w:t>
      </w:r>
      <w:r w:rsidRPr="000A1E00">
        <w:rPr>
          <w:lang w:val="fr-FR"/>
        </w:rPr>
        <w:t>experte de l</w:t>
      </w:r>
      <w:r w:rsidR="000A1E00">
        <w:rPr>
          <w:lang w:val="fr-FR"/>
        </w:rPr>
        <w:t>’</w:t>
      </w:r>
      <w:r w:rsidRPr="000A1E00">
        <w:rPr>
          <w:lang w:val="fr-FR"/>
        </w:rPr>
        <w:t>Espagne a informé le Sous-Comité que les délégations hispanophones du Sous-Comité avaient approuvé les corrections proposées dans le document ST/SG/AC.10/C.3/2018/14 moyennant quelques modifications. Le Sous-Comité a invité le secrétariat à s</w:t>
      </w:r>
      <w:r w:rsidR="000A1E00">
        <w:rPr>
          <w:lang w:val="fr-FR"/>
        </w:rPr>
        <w:t>’</w:t>
      </w:r>
      <w:r w:rsidRPr="000A1E00">
        <w:rPr>
          <w:lang w:val="fr-FR"/>
        </w:rPr>
        <w:t>assurer que ces corrections seraient prises en compte dans la version espagnole de l</w:t>
      </w:r>
      <w:r w:rsidR="000A1E00">
        <w:rPr>
          <w:lang w:val="fr-FR"/>
        </w:rPr>
        <w:t>’</w:t>
      </w:r>
      <w:r w:rsidRPr="000A1E00">
        <w:rPr>
          <w:lang w:val="fr-FR"/>
        </w:rPr>
        <w:t>édition révisée à venir du Règlement type.</w:t>
      </w:r>
    </w:p>
    <w:p w:rsidR="00286BDC" w:rsidRPr="000A1E00" w:rsidRDefault="00286BDC" w:rsidP="00286BDC">
      <w:pPr>
        <w:pStyle w:val="H1G"/>
        <w:rPr>
          <w:lang w:val="fr-FR"/>
        </w:rPr>
      </w:pPr>
      <w:r w:rsidRPr="000A1E00">
        <w:rPr>
          <w:lang w:val="fr-FR"/>
        </w:rPr>
        <w:tab/>
        <w:t>P.</w:t>
      </w:r>
      <w:r w:rsidRPr="000A1E00">
        <w:rPr>
          <w:lang w:val="fr-FR"/>
        </w:rPr>
        <w:tab/>
      </w:r>
      <w:r w:rsidRPr="000A1E00">
        <w:rPr>
          <w:bCs/>
          <w:lang w:val="fr-FR"/>
        </w:rPr>
        <w:t>Précisions à propos des prescriptions du chapitre 6.3 relatives à l</w:t>
      </w:r>
      <w:r w:rsidR="000A1E00">
        <w:rPr>
          <w:bCs/>
          <w:lang w:val="fr-FR"/>
        </w:rPr>
        <w:t>’</w:t>
      </w:r>
      <w:r w:rsidRPr="000A1E00">
        <w:rPr>
          <w:bCs/>
          <w:lang w:val="fr-FR"/>
        </w:rPr>
        <w:t xml:space="preserve">épreuve de résistance des emballages de matières infectieuses </w:t>
      </w:r>
    </w:p>
    <w:p w:rsidR="00286BDC" w:rsidRPr="000A1E00" w:rsidRDefault="00286BDC" w:rsidP="00C94F0A">
      <w:pPr>
        <w:pStyle w:val="SingleTxtG"/>
        <w:tabs>
          <w:tab w:val="left" w:pos="3119"/>
        </w:tabs>
        <w:rPr>
          <w:lang w:val="en-US"/>
        </w:rPr>
      </w:pPr>
      <w:r w:rsidRPr="000A1E00">
        <w:rPr>
          <w:i/>
          <w:iCs/>
          <w:lang w:val="en-US"/>
        </w:rPr>
        <w:t>Document </w:t>
      </w:r>
      <w:r w:rsidRPr="000A1E00">
        <w:rPr>
          <w:iCs/>
          <w:lang w:val="en-US"/>
        </w:rPr>
        <w:t>:</w:t>
      </w:r>
      <w:r w:rsidRPr="000A1E00">
        <w:rPr>
          <w:lang w:val="en-US"/>
        </w:rPr>
        <w:t xml:space="preserve"> </w:t>
      </w:r>
      <w:r w:rsidRPr="000A1E00">
        <w:rPr>
          <w:lang w:val="en-US"/>
        </w:rPr>
        <w:tab/>
        <w:t>ST/SG/AC.10/C.3/2018/25 (Canada)</w:t>
      </w:r>
    </w:p>
    <w:p w:rsidR="00286BDC" w:rsidRPr="000A1E00" w:rsidRDefault="00286BDC" w:rsidP="00C73F6E">
      <w:pPr>
        <w:pStyle w:val="SingleTxtG"/>
        <w:tabs>
          <w:tab w:val="left" w:pos="3119"/>
        </w:tabs>
        <w:ind w:left="3119" w:hanging="1985"/>
        <w:jc w:val="left"/>
        <w:rPr>
          <w:lang w:val="fr-FR"/>
        </w:rPr>
      </w:pPr>
      <w:r w:rsidRPr="000A1E00">
        <w:rPr>
          <w:i/>
          <w:iCs/>
          <w:lang w:val="fr-FR"/>
        </w:rPr>
        <w:t>Documents informels</w:t>
      </w:r>
      <w:r w:rsidRPr="000A1E00">
        <w:rPr>
          <w:iCs/>
          <w:lang w:val="fr-FR"/>
        </w:rPr>
        <w:t> :</w:t>
      </w:r>
      <w:r w:rsidRPr="000A1E00">
        <w:rPr>
          <w:lang w:val="fr-FR"/>
        </w:rPr>
        <w:t xml:space="preserve"> </w:t>
      </w:r>
      <w:r w:rsidRPr="000A1E00">
        <w:rPr>
          <w:lang w:val="fr-FR"/>
        </w:rPr>
        <w:tab/>
        <w:t>INF.31 (Royaume-Uni)</w:t>
      </w:r>
      <w:r w:rsidR="00C73F6E">
        <w:rPr>
          <w:lang w:val="fr-FR"/>
        </w:rPr>
        <w:br/>
      </w:r>
      <w:r w:rsidRPr="000A1E00">
        <w:rPr>
          <w:lang w:val="fr-FR"/>
        </w:rPr>
        <w:t>INF.59 (Canada et Royaume-Uni)</w:t>
      </w:r>
      <w:r w:rsidR="00C94F0A" w:rsidRPr="000A1E00">
        <w:rPr>
          <w:lang w:val="fr-FR"/>
        </w:rPr>
        <w:t>.</w:t>
      </w:r>
    </w:p>
    <w:p w:rsidR="00286BDC" w:rsidRPr="000A1E00" w:rsidRDefault="00286BDC" w:rsidP="00C94F0A">
      <w:pPr>
        <w:pStyle w:val="SingleTxtG"/>
        <w:rPr>
          <w:lang w:val="fr-FR"/>
        </w:rPr>
      </w:pPr>
      <w:r w:rsidRPr="000A1E00">
        <w:rPr>
          <w:lang w:val="fr-FR"/>
        </w:rPr>
        <w:t>66.</w:t>
      </w:r>
      <w:r w:rsidRPr="000A1E00">
        <w:rPr>
          <w:lang w:val="fr-FR"/>
        </w:rPr>
        <w:tab/>
        <w:t>Le Sous-Comité a adopté la proposition énoncée dans le document ST/SG/AC.10/</w:t>
      </w:r>
      <w:r w:rsidR="00C94F0A" w:rsidRPr="000A1E00">
        <w:rPr>
          <w:lang w:val="fr-FR"/>
        </w:rPr>
        <w:t xml:space="preserve"> </w:t>
      </w:r>
      <w:r w:rsidRPr="000A1E00">
        <w:rPr>
          <w:lang w:val="fr-FR"/>
        </w:rPr>
        <w:t>C.3/2018/25 telle que modifiée par le document informel INF.59 moyennant quelques modifications supplémentaires (voir annexe I).</w:t>
      </w:r>
    </w:p>
    <w:p w:rsidR="00286BDC" w:rsidRPr="000A1E00" w:rsidRDefault="00286BDC" w:rsidP="00C94F0A">
      <w:pPr>
        <w:pStyle w:val="H1G"/>
        <w:rPr>
          <w:lang w:val="fr-FR"/>
        </w:rPr>
      </w:pPr>
      <w:r w:rsidRPr="000A1E00">
        <w:rPr>
          <w:lang w:val="fr-FR"/>
        </w:rPr>
        <w:tab/>
        <w:t>Q.</w:t>
      </w:r>
      <w:r w:rsidRPr="000A1E00">
        <w:rPr>
          <w:lang w:val="fr-FR"/>
        </w:rPr>
        <w:tab/>
        <w:t>Révision de l</w:t>
      </w:r>
      <w:r w:rsidR="000A1E00">
        <w:rPr>
          <w:lang w:val="fr-FR"/>
        </w:rPr>
        <w:t>’</w:t>
      </w:r>
      <w:r w:rsidRPr="000A1E00">
        <w:rPr>
          <w:lang w:val="fr-FR"/>
        </w:rPr>
        <w:t>instruction d</w:t>
      </w:r>
      <w:r w:rsidR="000A1E00">
        <w:rPr>
          <w:lang w:val="fr-FR"/>
        </w:rPr>
        <w:t>’</w:t>
      </w:r>
      <w:r w:rsidRPr="000A1E00">
        <w:rPr>
          <w:lang w:val="fr-FR"/>
        </w:rPr>
        <w:t>emballage P801</w:t>
      </w:r>
    </w:p>
    <w:p w:rsidR="00286BDC" w:rsidRPr="000A1E00" w:rsidRDefault="00286BDC" w:rsidP="00C94F0A">
      <w:pPr>
        <w:pStyle w:val="SingleTxtG"/>
        <w:tabs>
          <w:tab w:val="left" w:pos="3119"/>
        </w:tabs>
        <w:rPr>
          <w:lang w:val="en-US"/>
        </w:rPr>
      </w:pPr>
      <w:r w:rsidRPr="000A1E00">
        <w:rPr>
          <w:i/>
          <w:iCs/>
          <w:lang w:val="en-US"/>
        </w:rPr>
        <w:t>Document </w:t>
      </w:r>
      <w:r w:rsidRPr="000A1E00">
        <w:rPr>
          <w:iCs/>
          <w:lang w:val="en-US"/>
        </w:rPr>
        <w:t>:</w:t>
      </w:r>
      <w:r w:rsidRPr="000A1E00">
        <w:rPr>
          <w:lang w:val="en-US"/>
        </w:rPr>
        <w:t xml:space="preserve"> </w:t>
      </w:r>
      <w:r w:rsidRPr="000A1E00">
        <w:rPr>
          <w:lang w:val="en-US"/>
        </w:rPr>
        <w:tab/>
        <w:t>ST/SG/AC.10/C.3/2018/21 (Canada)</w:t>
      </w:r>
    </w:p>
    <w:p w:rsidR="00286BDC" w:rsidRPr="000A1E00" w:rsidRDefault="00286BDC" w:rsidP="00C94F0A">
      <w:pPr>
        <w:pStyle w:val="SingleTxtG"/>
        <w:tabs>
          <w:tab w:val="left" w:pos="3119"/>
        </w:tabs>
        <w:rPr>
          <w:lang w:val="fr-FR"/>
        </w:rPr>
      </w:pPr>
      <w:r w:rsidRPr="000A1E00">
        <w:rPr>
          <w:i/>
          <w:lang w:val="fr-FR"/>
        </w:rPr>
        <w:t>Document informel</w:t>
      </w:r>
      <w:r w:rsidRPr="000A1E00">
        <w:rPr>
          <w:lang w:val="fr-FR"/>
        </w:rPr>
        <w:t xml:space="preserve"> : </w:t>
      </w:r>
      <w:r w:rsidRPr="000A1E00">
        <w:rPr>
          <w:lang w:val="fr-FR"/>
        </w:rPr>
        <w:tab/>
        <w:t>INF.62 (Canada)</w:t>
      </w:r>
      <w:r w:rsidR="00C94F0A" w:rsidRPr="000A1E00">
        <w:rPr>
          <w:lang w:val="fr-FR"/>
        </w:rPr>
        <w:t>.</w:t>
      </w:r>
    </w:p>
    <w:p w:rsidR="00286BDC" w:rsidRPr="000A1E00" w:rsidRDefault="00286BDC" w:rsidP="00C94F0A">
      <w:pPr>
        <w:pStyle w:val="SingleTxtG"/>
        <w:rPr>
          <w:lang w:val="fr-FR"/>
        </w:rPr>
      </w:pPr>
      <w:r w:rsidRPr="000A1E00">
        <w:rPr>
          <w:lang w:val="fr-FR"/>
        </w:rPr>
        <w:t>67.</w:t>
      </w:r>
      <w:r w:rsidRPr="000A1E00">
        <w:rPr>
          <w:lang w:val="fr-FR"/>
        </w:rPr>
        <w:tab/>
        <w:t>La proposition d</w:t>
      </w:r>
      <w:r w:rsidR="000A1E00">
        <w:rPr>
          <w:lang w:val="fr-FR"/>
        </w:rPr>
        <w:t>’</w:t>
      </w:r>
      <w:r w:rsidRPr="000A1E00">
        <w:rPr>
          <w:lang w:val="fr-FR"/>
        </w:rPr>
        <w:t>amendement de l</w:t>
      </w:r>
      <w:r w:rsidR="000A1E00">
        <w:rPr>
          <w:lang w:val="fr-FR"/>
        </w:rPr>
        <w:t>’</w:t>
      </w:r>
      <w:r w:rsidRPr="000A1E00">
        <w:rPr>
          <w:lang w:val="fr-FR"/>
        </w:rPr>
        <w:t>instruction P801 formulée au paragraphe 8 du document ST/SG/AC.10/C.3/2018/21 a été adoptée telle que modifiée par le document informel INF.62 moyennant quelques modifications supplémentaires (voir annexe I). La proposition d</w:t>
      </w:r>
      <w:r w:rsidR="000A1E00">
        <w:rPr>
          <w:lang w:val="fr-FR"/>
        </w:rPr>
        <w:t>’</w:t>
      </w:r>
      <w:r w:rsidRPr="000A1E00">
        <w:rPr>
          <w:lang w:val="fr-FR"/>
        </w:rPr>
        <w:t>amendement à la disposition spéciale d</w:t>
      </w:r>
      <w:r w:rsidR="000A1E00">
        <w:rPr>
          <w:lang w:val="fr-FR"/>
        </w:rPr>
        <w:t>’</w:t>
      </w:r>
      <w:r w:rsidRPr="000A1E00">
        <w:rPr>
          <w:lang w:val="fr-FR"/>
        </w:rPr>
        <w:t>emballage PP16 a été retirée.</w:t>
      </w:r>
    </w:p>
    <w:p w:rsidR="00286BDC" w:rsidRPr="000A1E00" w:rsidRDefault="00286BDC" w:rsidP="00C94F0A">
      <w:pPr>
        <w:pStyle w:val="H1G"/>
        <w:rPr>
          <w:lang w:val="fr-FR"/>
        </w:rPr>
      </w:pPr>
      <w:r w:rsidRPr="000A1E00">
        <w:rPr>
          <w:lang w:val="fr-FR"/>
        </w:rPr>
        <w:tab/>
        <w:t>R.</w:t>
      </w:r>
      <w:r w:rsidRPr="000A1E00">
        <w:rPr>
          <w:lang w:val="fr-FR"/>
        </w:rPr>
        <w:tab/>
        <w:t>Classification et emballage des déchets infectieux de la catégorie A</w:t>
      </w:r>
    </w:p>
    <w:p w:rsidR="00286BDC" w:rsidRPr="000A1E00" w:rsidRDefault="00286BDC" w:rsidP="00C94F0A">
      <w:pPr>
        <w:pStyle w:val="SingleTxtG"/>
        <w:tabs>
          <w:tab w:val="left" w:pos="3119"/>
        </w:tabs>
        <w:rPr>
          <w:lang w:val="en-US"/>
        </w:rPr>
      </w:pPr>
      <w:r w:rsidRPr="000A1E00">
        <w:rPr>
          <w:i/>
          <w:iCs/>
          <w:lang w:val="en-US"/>
        </w:rPr>
        <w:t>Document </w:t>
      </w:r>
      <w:r w:rsidRPr="000A1E00">
        <w:rPr>
          <w:iCs/>
          <w:lang w:val="en-US"/>
        </w:rPr>
        <w:t>:</w:t>
      </w:r>
      <w:r w:rsidRPr="000A1E00">
        <w:rPr>
          <w:lang w:val="en-US"/>
        </w:rPr>
        <w:t xml:space="preserve"> </w:t>
      </w:r>
      <w:r w:rsidRPr="000A1E00">
        <w:rPr>
          <w:lang w:val="en-US"/>
        </w:rPr>
        <w:tab/>
        <w:t>ST/SG/AC.10/C.3/2018/20 (Canada)</w:t>
      </w:r>
    </w:p>
    <w:p w:rsidR="00286BDC" w:rsidRPr="000A1E00" w:rsidRDefault="00286BDC" w:rsidP="00C94F0A">
      <w:pPr>
        <w:pStyle w:val="SingleTxtG"/>
        <w:tabs>
          <w:tab w:val="left" w:pos="3119"/>
        </w:tabs>
        <w:rPr>
          <w:lang w:val="fr-FR"/>
        </w:rPr>
      </w:pPr>
      <w:r w:rsidRPr="000A1E00">
        <w:rPr>
          <w:i/>
          <w:lang w:val="fr-FR"/>
        </w:rPr>
        <w:t>Document informel</w:t>
      </w:r>
      <w:r w:rsidRPr="000A1E00">
        <w:rPr>
          <w:lang w:val="fr-FR"/>
        </w:rPr>
        <w:t xml:space="preserve"> : </w:t>
      </w:r>
      <w:r w:rsidRPr="000A1E00">
        <w:rPr>
          <w:lang w:val="fr-FR"/>
        </w:rPr>
        <w:tab/>
        <w:t>INF.70 (Canada)</w:t>
      </w:r>
      <w:r w:rsidR="00C94F0A" w:rsidRPr="000A1E00">
        <w:rPr>
          <w:lang w:val="fr-FR"/>
        </w:rPr>
        <w:t>.</w:t>
      </w:r>
    </w:p>
    <w:p w:rsidR="00286BDC" w:rsidRPr="000A1E00" w:rsidRDefault="00286BDC" w:rsidP="00C94F0A">
      <w:pPr>
        <w:pStyle w:val="SingleTxtG"/>
        <w:rPr>
          <w:lang w:val="fr-FR"/>
        </w:rPr>
      </w:pPr>
      <w:r w:rsidRPr="000A1E00">
        <w:rPr>
          <w:lang w:val="fr-FR"/>
        </w:rPr>
        <w:t>68.</w:t>
      </w:r>
      <w:r w:rsidRPr="000A1E00">
        <w:rPr>
          <w:lang w:val="fr-FR"/>
        </w:rPr>
        <w:tab/>
        <w:t>Les experts ont généralement appuyé les propositions formulées dans le document ST/SG/AC.10/C.3/2018/20 tel que modifié par le document informel INF.70, moyennant quelques modifications supplémentaires. Toutefois, notant que certains experts avaient besoin d</w:t>
      </w:r>
      <w:r w:rsidR="000A1E00">
        <w:rPr>
          <w:lang w:val="fr-FR"/>
        </w:rPr>
        <w:t>’</w:t>
      </w:r>
      <w:r w:rsidRPr="000A1E00">
        <w:rPr>
          <w:lang w:val="fr-FR"/>
        </w:rPr>
        <w:t>un délai supplémentaire pour consulter leurs autorités nationales, le Sous-Comité a décidé de placer ces modifications entre crochets dans l</w:t>
      </w:r>
      <w:r w:rsidR="000A1E00">
        <w:rPr>
          <w:lang w:val="fr-FR"/>
        </w:rPr>
        <w:t>’</w:t>
      </w:r>
      <w:r w:rsidRPr="000A1E00">
        <w:rPr>
          <w:lang w:val="fr-FR"/>
        </w:rPr>
        <w:t>attente d</w:t>
      </w:r>
      <w:r w:rsidR="000A1E00">
        <w:rPr>
          <w:lang w:val="fr-FR"/>
        </w:rPr>
        <w:t>’</w:t>
      </w:r>
      <w:r w:rsidRPr="000A1E00">
        <w:rPr>
          <w:lang w:val="fr-FR"/>
        </w:rPr>
        <w:t>une confirmation à la session suivante (voir annexe I).</w:t>
      </w:r>
    </w:p>
    <w:p w:rsidR="00286BDC" w:rsidRPr="000A1E00" w:rsidRDefault="00286BDC" w:rsidP="00286BDC">
      <w:pPr>
        <w:pStyle w:val="H1G"/>
        <w:rPr>
          <w:lang w:val="fr-FR"/>
        </w:rPr>
      </w:pPr>
      <w:r w:rsidRPr="000A1E00">
        <w:rPr>
          <w:lang w:val="fr-FR"/>
        </w:rPr>
        <w:tab/>
        <w:t>S.</w:t>
      </w:r>
      <w:r w:rsidRPr="000A1E00">
        <w:rPr>
          <w:lang w:val="fr-FR"/>
        </w:rPr>
        <w:tab/>
      </w:r>
      <w:r w:rsidRPr="000A1E00">
        <w:rPr>
          <w:bCs/>
          <w:lang w:val="fr-FR"/>
        </w:rPr>
        <w:t xml:space="preserve">Révision de </w:t>
      </w:r>
      <w:r w:rsidRPr="000A1E00">
        <w:rPr>
          <w:rStyle w:val="SingleTxtGChar"/>
        </w:rPr>
        <w:t>l</w:t>
      </w:r>
      <w:r w:rsidRPr="000A1E00">
        <w:rPr>
          <w:bCs/>
          <w:lang w:val="fr-FR"/>
        </w:rPr>
        <w:t>a définition des matières infectieuses et du tableau du paragraphe 2.6.3.2.2.1</w:t>
      </w:r>
    </w:p>
    <w:p w:rsidR="00286BDC" w:rsidRPr="000A1E00" w:rsidRDefault="00286BDC" w:rsidP="00C94F0A">
      <w:pPr>
        <w:pStyle w:val="SingleTxtG"/>
        <w:tabs>
          <w:tab w:val="left" w:pos="3119"/>
        </w:tabs>
        <w:rPr>
          <w:lang w:val="en-US"/>
        </w:rPr>
      </w:pPr>
      <w:r w:rsidRPr="000A1E00">
        <w:rPr>
          <w:i/>
          <w:iCs/>
          <w:lang w:val="en-US"/>
        </w:rPr>
        <w:t>Document </w:t>
      </w:r>
      <w:r w:rsidRPr="000A1E00">
        <w:rPr>
          <w:iCs/>
          <w:lang w:val="en-US"/>
        </w:rPr>
        <w:t>:</w:t>
      </w:r>
      <w:r w:rsidRPr="000A1E00">
        <w:rPr>
          <w:lang w:val="en-US"/>
        </w:rPr>
        <w:t xml:space="preserve"> </w:t>
      </w:r>
      <w:r w:rsidRPr="000A1E00">
        <w:rPr>
          <w:lang w:val="en-US"/>
        </w:rPr>
        <w:tab/>
        <w:t>ST/SG/AC.10/C.3/2018/26 (Canada)</w:t>
      </w:r>
    </w:p>
    <w:p w:rsidR="00286BDC" w:rsidRPr="000A1E00" w:rsidRDefault="00286BDC" w:rsidP="00C94F0A">
      <w:pPr>
        <w:pStyle w:val="SingleTxtG"/>
        <w:tabs>
          <w:tab w:val="left" w:pos="3119"/>
        </w:tabs>
        <w:rPr>
          <w:lang w:val="fr-FR"/>
        </w:rPr>
      </w:pPr>
      <w:r w:rsidRPr="000A1E00">
        <w:rPr>
          <w:i/>
          <w:lang w:val="fr-FR"/>
        </w:rPr>
        <w:t>Document informel</w:t>
      </w:r>
      <w:r w:rsidRPr="000A1E00">
        <w:rPr>
          <w:lang w:val="fr-FR"/>
        </w:rPr>
        <w:t xml:space="preserve"> : </w:t>
      </w:r>
      <w:r w:rsidRPr="000A1E00">
        <w:rPr>
          <w:lang w:val="fr-FR"/>
        </w:rPr>
        <w:tab/>
        <w:t>INF.68 (Canada)</w:t>
      </w:r>
      <w:r w:rsidR="00C94F0A" w:rsidRPr="000A1E00">
        <w:rPr>
          <w:lang w:val="fr-FR"/>
        </w:rPr>
        <w:t>.</w:t>
      </w:r>
    </w:p>
    <w:p w:rsidR="00286BDC" w:rsidRPr="000A1E00" w:rsidRDefault="00286BDC" w:rsidP="00C94F0A">
      <w:pPr>
        <w:pStyle w:val="SingleTxtG"/>
        <w:rPr>
          <w:lang w:val="fr-FR"/>
        </w:rPr>
      </w:pPr>
      <w:r w:rsidRPr="000A1E00">
        <w:rPr>
          <w:lang w:val="fr-FR"/>
        </w:rPr>
        <w:t>69.</w:t>
      </w:r>
      <w:r w:rsidRPr="000A1E00">
        <w:rPr>
          <w:lang w:val="fr-FR"/>
        </w:rPr>
        <w:tab/>
        <w:t>Les participants n</w:t>
      </w:r>
      <w:r w:rsidR="000A1E00">
        <w:rPr>
          <w:lang w:val="fr-FR"/>
        </w:rPr>
        <w:t>’</w:t>
      </w:r>
      <w:r w:rsidRPr="000A1E00">
        <w:rPr>
          <w:lang w:val="fr-FR"/>
        </w:rPr>
        <w:t>ont pas appuyé les modifications d</w:t>
      </w:r>
      <w:r w:rsidR="000A1E00">
        <w:rPr>
          <w:lang w:val="fr-FR"/>
        </w:rPr>
        <w:t>’</w:t>
      </w:r>
      <w:r w:rsidRPr="000A1E00">
        <w:rPr>
          <w:lang w:val="fr-FR"/>
        </w:rPr>
        <w:t>ordre rédactionnel qu</w:t>
      </w:r>
      <w:r w:rsidR="000A1E00">
        <w:rPr>
          <w:lang w:val="fr-FR"/>
        </w:rPr>
        <w:t>’</w:t>
      </w:r>
      <w:r w:rsidRPr="000A1E00">
        <w:rPr>
          <w:lang w:val="fr-FR"/>
        </w:rPr>
        <w:t>il était proposé d</w:t>
      </w:r>
      <w:r w:rsidR="000A1E00">
        <w:rPr>
          <w:lang w:val="fr-FR"/>
        </w:rPr>
        <w:t>’</w:t>
      </w:r>
      <w:r w:rsidRPr="000A1E00">
        <w:rPr>
          <w:lang w:val="fr-FR"/>
        </w:rPr>
        <w:t>apporter aux paragraphes 7 à 13 du document ST/SG/AC.10/C.3/2018/26. Les propositions figurant aux paragraphes 5 et 6 (amendements au 2.6.1 b), au 2.6.3.1.1 et au Nota 3 du paragraphe 2.6.3.2.2.1 du Règlement type) ont été adoptées (voir annexe I).</w:t>
      </w:r>
    </w:p>
    <w:p w:rsidR="00286BDC" w:rsidRPr="000A1E00" w:rsidRDefault="00286BDC" w:rsidP="00C94F0A">
      <w:pPr>
        <w:pStyle w:val="HChG"/>
        <w:rPr>
          <w:lang w:val="fr-FR"/>
        </w:rPr>
      </w:pPr>
      <w:r w:rsidRPr="000A1E00">
        <w:rPr>
          <w:lang w:val="fr-FR"/>
        </w:rPr>
        <w:tab/>
        <w:t>VI.</w:t>
      </w:r>
      <w:r w:rsidRPr="000A1E00">
        <w:rPr>
          <w:lang w:val="fr-FR"/>
        </w:rPr>
        <w:tab/>
        <w:t>Systèmes de stockage de l</w:t>
      </w:r>
      <w:r w:rsidR="000A1E00">
        <w:rPr>
          <w:lang w:val="fr-FR"/>
        </w:rPr>
        <w:t>’</w:t>
      </w:r>
      <w:r w:rsidRPr="000A1E00">
        <w:rPr>
          <w:lang w:val="fr-FR"/>
        </w:rPr>
        <w:t xml:space="preserve">électricité </w:t>
      </w:r>
      <w:r w:rsidRPr="000A1E00">
        <w:rPr>
          <w:lang w:val="fr-FR"/>
        </w:rPr>
        <w:br/>
        <w:t>(point 4 de l</w:t>
      </w:r>
      <w:r w:rsidR="000A1E00">
        <w:rPr>
          <w:lang w:val="fr-FR"/>
        </w:rPr>
        <w:t>’</w:t>
      </w:r>
      <w:r w:rsidRPr="000A1E00">
        <w:rPr>
          <w:lang w:val="fr-FR"/>
        </w:rPr>
        <w:t>ordre du jour)</w:t>
      </w:r>
    </w:p>
    <w:p w:rsidR="00286BDC" w:rsidRPr="000A1E00" w:rsidRDefault="00286BDC" w:rsidP="00C94F0A">
      <w:pPr>
        <w:pStyle w:val="H1G"/>
        <w:rPr>
          <w:lang w:val="fr-FR"/>
        </w:rPr>
      </w:pPr>
      <w:r w:rsidRPr="000A1E00">
        <w:rPr>
          <w:lang w:val="fr-FR"/>
        </w:rPr>
        <w:tab/>
        <w:t>A.</w:t>
      </w:r>
      <w:r w:rsidRPr="000A1E00">
        <w:rPr>
          <w:lang w:val="fr-FR"/>
        </w:rPr>
        <w:tab/>
        <w:t>Épreuves des batteries au lithium</w:t>
      </w:r>
    </w:p>
    <w:p w:rsidR="00286BDC" w:rsidRPr="000A1E00" w:rsidRDefault="00286BDC" w:rsidP="00C94F0A">
      <w:pPr>
        <w:pStyle w:val="SingleTxtG"/>
        <w:tabs>
          <w:tab w:val="left" w:pos="3119"/>
        </w:tabs>
        <w:rPr>
          <w:lang w:val="fr-FR"/>
        </w:rPr>
      </w:pPr>
      <w:r w:rsidRPr="000A1E00">
        <w:rPr>
          <w:i/>
          <w:iCs/>
          <w:lang w:val="fr-FR"/>
        </w:rPr>
        <w:t>Document</w:t>
      </w:r>
      <w:r w:rsidRPr="000A1E00">
        <w:rPr>
          <w:iCs/>
          <w:lang w:val="fr-FR"/>
        </w:rPr>
        <w:t> :</w:t>
      </w:r>
      <w:r w:rsidRPr="000A1E00">
        <w:rPr>
          <w:lang w:val="fr-FR"/>
        </w:rPr>
        <w:t xml:space="preserve"> </w:t>
      </w:r>
      <w:r w:rsidRPr="000A1E00">
        <w:rPr>
          <w:lang w:val="fr-FR"/>
        </w:rPr>
        <w:tab/>
        <w:t>ST/SG/AC.10/C.3/2018/50 (PRBA et RECHARGE)</w:t>
      </w:r>
      <w:r w:rsidR="00C94F0A" w:rsidRPr="000A1E00">
        <w:rPr>
          <w:lang w:val="fr-FR"/>
        </w:rPr>
        <w:t>.</w:t>
      </w:r>
    </w:p>
    <w:p w:rsidR="00286BDC" w:rsidRPr="000A1E00" w:rsidRDefault="00286BDC" w:rsidP="00C94F0A">
      <w:pPr>
        <w:pStyle w:val="SingleTxtG"/>
        <w:rPr>
          <w:lang w:val="fr-FR"/>
        </w:rPr>
      </w:pPr>
      <w:r w:rsidRPr="000A1E00">
        <w:rPr>
          <w:lang w:val="fr-FR"/>
        </w:rPr>
        <w:t>70.</w:t>
      </w:r>
      <w:r w:rsidRPr="000A1E00">
        <w:rPr>
          <w:lang w:val="fr-FR"/>
        </w:rPr>
        <w:tab/>
        <w:t>Les participants n</w:t>
      </w:r>
      <w:r w:rsidR="000A1E00">
        <w:rPr>
          <w:lang w:val="fr-FR"/>
        </w:rPr>
        <w:t>’</w:t>
      </w:r>
      <w:r w:rsidRPr="000A1E00">
        <w:rPr>
          <w:lang w:val="fr-FR"/>
        </w:rPr>
        <w:t>ont pas appuyé la proposition telle qu</w:t>
      </w:r>
      <w:r w:rsidR="000A1E00">
        <w:rPr>
          <w:lang w:val="fr-FR"/>
        </w:rPr>
        <w:t>’</w:t>
      </w:r>
      <w:r w:rsidRPr="000A1E00">
        <w:rPr>
          <w:lang w:val="fr-FR"/>
        </w:rPr>
        <w:t>elle avait été présentée. La plupart des experts ont estimé qu</w:t>
      </w:r>
      <w:r w:rsidR="000A1E00">
        <w:rPr>
          <w:lang w:val="fr-FR"/>
        </w:rPr>
        <w:t>’</w:t>
      </w:r>
      <w:r w:rsidRPr="000A1E00">
        <w:rPr>
          <w:lang w:val="fr-FR"/>
        </w:rPr>
        <w:t>il était prématuré d</w:t>
      </w:r>
      <w:r w:rsidR="000A1E00">
        <w:rPr>
          <w:lang w:val="fr-FR"/>
        </w:rPr>
        <w:t>’</w:t>
      </w:r>
      <w:r w:rsidRPr="000A1E00">
        <w:rPr>
          <w:lang w:val="fr-FR"/>
        </w:rPr>
        <w:t>exempter des prescriptions relatives aux épreuves T.1 à T.6 tous les types de piles et batteries primaires au lithium déchargées, en l</w:t>
      </w:r>
      <w:r w:rsidR="000A1E00">
        <w:rPr>
          <w:lang w:val="fr-FR"/>
        </w:rPr>
        <w:t>’</w:t>
      </w:r>
      <w:r w:rsidRPr="000A1E00">
        <w:rPr>
          <w:lang w:val="fr-FR"/>
        </w:rPr>
        <w:t>absence de données plus détaillées concernant les résultats d</w:t>
      </w:r>
      <w:r w:rsidR="000A1E00">
        <w:rPr>
          <w:lang w:val="fr-FR"/>
        </w:rPr>
        <w:t>’</w:t>
      </w:r>
      <w:r w:rsidRPr="000A1E00">
        <w:rPr>
          <w:lang w:val="fr-FR"/>
        </w:rPr>
        <w:t>épreuves et d</w:t>
      </w:r>
      <w:r w:rsidR="000A1E00">
        <w:rPr>
          <w:lang w:val="fr-FR"/>
        </w:rPr>
        <w:t>’</w:t>
      </w:r>
      <w:r w:rsidRPr="000A1E00">
        <w:rPr>
          <w:lang w:val="fr-FR"/>
        </w:rPr>
        <w:t>autres éléments tels que : la description des types et dimensions des piles et batteries au lithium visées par cette exemption ; la comparaison des résultats des épreuves pour chaque type de pile ou batterie au lithium lorsque celle-ci était respectivement pleinement chargée et déchargée, etc. L</w:t>
      </w:r>
      <w:r w:rsidR="000A1E00">
        <w:rPr>
          <w:lang w:val="fr-FR"/>
        </w:rPr>
        <w:t>’</w:t>
      </w:r>
      <w:r w:rsidRPr="000A1E00">
        <w:rPr>
          <w:lang w:val="fr-FR"/>
        </w:rPr>
        <w:t>expert de la Chine a indiqué que, dans certains cas, les épreuves réalisées sur des batteries primaires déchargées avaient entraîné une inflammation, des fuites, et même l</w:t>
      </w:r>
      <w:r w:rsidR="000A1E00">
        <w:rPr>
          <w:lang w:val="fr-FR"/>
        </w:rPr>
        <w:t>’</w:t>
      </w:r>
      <w:r w:rsidRPr="000A1E00">
        <w:rPr>
          <w:lang w:val="fr-FR"/>
        </w:rPr>
        <w:t xml:space="preserve">explosion des batteries </w:t>
      </w:r>
      <w:r w:rsidR="00C94F0A" w:rsidRPr="000A1E00">
        <w:rPr>
          <w:lang w:val="fr-FR"/>
        </w:rPr>
        <w:t>soumises à ces épreuves.</w:t>
      </w:r>
    </w:p>
    <w:p w:rsidR="00286BDC" w:rsidRPr="000A1E00" w:rsidRDefault="00286BDC" w:rsidP="00C94F0A">
      <w:pPr>
        <w:pStyle w:val="SingleTxtG"/>
        <w:rPr>
          <w:lang w:val="fr-FR"/>
        </w:rPr>
      </w:pPr>
      <w:r w:rsidRPr="000A1E00">
        <w:rPr>
          <w:lang w:val="fr-FR"/>
        </w:rPr>
        <w:t>71.</w:t>
      </w:r>
      <w:r w:rsidRPr="000A1E00">
        <w:rPr>
          <w:lang w:val="fr-FR"/>
        </w:rPr>
        <w:tab/>
        <w:t>Les représentants des associations PRBA et RECHARGE ont invité l</w:t>
      </w:r>
      <w:r w:rsidR="000A1E00">
        <w:rPr>
          <w:lang w:val="fr-FR"/>
        </w:rPr>
        <w:t>’</w:t>
      </w:r>
      <w:r w:rsidRPr="000A1E00">
        <w:rPr>
          <w:lang w:val="fr-FR"/>
        </w:rPr>
        <w:t>expert de la Chine à leur communiquer dans le détail les résultats des épreuves évoquées ; ils ont dit qu</w:t>
      </w:r>
      <w:r w:rsidR="000A1E00">
        <w:rPr>
          <w:lang w:val="fr-FR"/>
        </w:rPr>
        <w:t>’</w:t>
      </w:r>
      <w:r w:rsidRPr="000A1E00">
        <w:rPr>
          <w:lang w:val="fr-FR"/>
        </w:rPr>
        <w:t>ils tiendraient compte des observations reçues et qu</w:t>
      </w:r>
      <w:r w:rsidR="000A1E00">
        <w:rPr>
          <w:lang w:val="fr-FR"/>
        </w:rPr>
        <w:t>’</w:t>
      </w:r>
      <w:r w:rsidRPr="000A1E00">
        <w:rPr>
          <w:lang w:val="fr-FR"/>
        </w:rPr>
        <w:t>ils soumettraient, à une session ultérieure, une proposition révisée ainsi que les données supplémentaire</w:t>
      </w:r>
      <w:r w:rsidR="00C94F0A" w:rsidRPr="000A1E00">
        <w:rPr>
          <w:lang w:val="fr-FR"/>
        </w:rPr>
        <w:t>s demandées par le Sous-Comité.</w:t>
      </w:r>
    </w:p>
    <w:p w:rsidR="00286BDC" w:rsidRPr="000A1E00" w:rsidRDefault="00286BDC" w:rsidP="00C94F0A">
      <w:pPr>
        <w:pStyle w:val="H1G"/>
        <w:rPr>
          <w:lang w:val="fr-FR"/>
        </w:rPr>
      </w:pPr>
      <w:r w:rsidRPr="000A1E00">
        <w:rPr>
          <w:lang w:val="fr-FR"/>
        </w:rPr>
        <w:tab/>
        <w:t>B.</w:t>
      </w:r>
      <w:r w:rsidRPr="000A1E00">
        <w:rPr>
          <w:lang w:val="fr-FR"/>
        </w:rPr>
        <w:tab/>
        <w:t>Système de classification des piles au lithium en fonction du danger</w:t>
      </w:r>
    </w:p>
    <w:p w:rsidR="00286BDC" w:rsidRPr="000A1E00" w:rsidRDefault="00286BDC" w:rsidP="00C94F0A">
      <w:pPr>
        <w:pStyle w:val="SingleTxtG"/>
        <w:tabs>
          <w:tab w:val="left" w:pos="3119"/>
        </w:tabs>
        <w:jc w:val="left"/>
        <w:rPr>
          <w:lang w:val="fr-FR"/>
        </w:rPr>
      </w:pPr>
      <w:r w:rsidRPr="000A1E00">
        <w:rPr>
          <w:i/>
          <w:iCs/>
          <w:lang w:val="fr-FR"/>
        </w:rPr>
        <w:t>Document </w:t>
      </w:r>
      <w:r w:rsidRPr="00CF30D6">
        <w:rPr>
          <w:iCs/>
          <w:lang w:val="fr-FR"/>
        </w:rPr>
        <w:t>:</w:t>
      </w:r>
      <w:r w:rsidRPr="000A1E00">
        <w:rPr>
          <w:lang w:val="fr-FR"/>
        </w:rPr>
        <w:t xml:space="preserve"> </w:t>
      </w:r>
      <w:r w:rsidRPr="000A1E00">
        <w:rPr>
          <w:lang w:val="fr-FR"/>
        </w:rPr>
        <w:tab/>
        <w:t>ST/SG/AC.10/C.3/2018/59 (France et RECHARGE)</w:t>
      </w:r>
    </w:p>
    <w:p w:rsidR="00286BDC" w:rsidRPr="000A1E00" w:rsidRDefault="00286BDC" w:rsidP="00C94F0A">
      <w:pPr>
        <w:pStyle w:val="SingleTxtG"/>
        <w:tabs>
          <w:tab w:val="left" w:pos="3119"/>
        </w:tabs>
        <w:ind w:left="3119" w:hanging="1985"/>
        <w:jc w:val="left"/>
        <w:rPr>
          <w:lang w:val="fr-FR"/>
        </w:rPr>
      </w:pPr>
      <w:r w:rsidRPr="000A1E00">
        <w:rPr>
          <w:i/>
          <w:iCs/>
          <w:lang w:val="fr-FR"/>
        </w:rPr>
        <w:t>Documents informels </w:t>
      </w:r>
      <w:r w:rsidRPr="00CF30D6">
        <w:rPr>
          <w:iCs/>
          <w:lang w:val="fr-FR"/>
        </w:rPr>
        <w:t>:</w:t>
      </w:r>
      <w:r w:rsidRPr="000A1E00">
        <w:rPr>
          <w:lang w:val="fr-FR"/>
        </w:rPr>
        <w:tab/>
        <w:t>INF.37 (France et RECHARGE)</w:t>
      </w:r>
      <w:r w:rsidRPr="000A1E00">
        <w:rPr>
          <w:lang w:val="fr-FR"/>
        </w:rPr>
        <w:br/>
        <w:t>INF.66 (France, au nom du groupe de travail réuni pendant la pause déjeuner)</w:t>
      </w:r>
      <w:r w:rsidR="00C94F0A" w:rsidRPr="000A1E00">
        <w:rPr>
          <w:lang w:val="fr-FR"/>
        </w:rPr>
        <w:t>.</w:t>
      </w:r>
    </w:p>
    <w:p w:rsidR="00286BDC" w:rsidRPr="000A1E00" w:rsidRDefault="00286BDC" w:rsidP="00C94F0A">
      <w:pPr>
        <w:pStyle w:val="SingleTxtG"/>
        <w:rPr>
          <w:lang w:val="fr-FR"/>
        </w:rPr>
      </w:pPr>
      <w:r w:rsidRPr="000A1E00">
        <w:rPr>
          <w:lang w:val="fr-FR"/>
        </w:rPr>
        <w:t>72.</w:t>
      </w:r>
      <w:r w:rsidRPr="000A1E00">
        <w:rPr>
          <w:lang w:val="fr-FR"/>
        </w:rPr>
        <w:tab/>
        <w:t>Le Sous-Comité a pris note des résultats de la réunion du groupe de travail réuni pendant la pause déjeuner tels que présentés dans le document informel INF.66. Il a été noté que, dans un premier temps, le groupe de travail se concentrait sur l</w:t>
      </w:r>
      <w:r w:rsidR="000A1E00">
        <w:rPr>
          <w:lang w:val="fr-FR"/>
        </w:rPr>
        <w:t>’</w:t>
      </w:r>
      <w:r w:rsidRPr="000A1E00">
        <w:rPr>
          <w:lang w:val="fr-FR"/>
        </w:rPr>
        <w:t>élaboration d</w:t>
      </w:r>
      <w:r w:rsidR="000A1E00">
        <w:rPr>
          <w:lang w:val="fr-FR"/>
        </w:rPr>
        <w:t>’</w:t>
      </w:r>
      <w:r w:rsidRPr="000A1E00">
        <w:rPr>
          <w:lang w:val="fr-FR"/>
        </w:rPr>
        <w:t>un système de classification des batteries au lithium en fonction du danger, conformément aux tâches énumérées au paragraphe 17 du document informel INF.66. D</w:t>
      </w:r>
      <w:r w:rsidR="000A1E00">
        <w:rPr>
          <w:lang w:val="fr-FR"/>
        </w:rPr>
        <w:t>’</w:t>
      </w:r>
      <w:r w:rsidRPr="000A1E00">
        <w:rPr>
          <w:lang w:val="fr-FR"/>
        </w:rPr>
        <w:t>autres facteurs tels que les propriétés d</w:t>
      </w:r>
      <w:r w:rsidR="000A1E00">
        <w:rPr>
          <w:lang w:val="fr-FR"/>
        </w:rPr>
        <w:t>’</w:t>
      </w:r>
      <w:r w:rsidRPr="000A1E00">
        <w:rPr>
          <w:lang w:val="fr-FR"/>
        </w:rPr>
        <w:t>atténuation des emballages se</w:t>
      </w:r>
      <w:r w:rsidR="00C94F0A" w:rsidRPr="000A1E00">
        <w:rPr>
          <w:lang w:val="fr-FR"/>
        </w:rPr>
        <w:t>raient examinés ultérieurement.</w:t>
      </w:r>
    </w:p>
    <w:p w:rsidR="00286BDC" w:rsidRPr="000A1E00" w:rsidRDefault="00286BDC" w:rsidP="00CF2192">
      <w:pPr>
        <w:pStyle w:val="SingleTxtG"/>
        <w:keepNext/>
        <w:keepLines/>
        <w:rPr>
          <w:lang w:val="fr-FR"/>
        </w:rPr>
      </w:pPr>
      <w:r w:rsidRPr="000A1E00">
        <w:rPr>
          <w:lang w:val="fr-FR"/>
        </w:rPr>
        <w:t>73.</w:t>
      </w:r>
      <w:r w:rsidRPr="000A1E00">
        <w:rPr>
          <w:lang w:val="fr-FR"/>
        </w:rPr>
        <w:tab/>
        <w:t>L</w:t>
      </w:r>
      <w:r w:rsidR="000A1E00">
        <w:rPr>
          <w:lang w:val="fr-FR"/>
        </w:rPr>
        <w:t>’</w:t>
      </w:r>
      <w:r w:rsidRPr="000A1E00">
        <w:rPr>
          <w:lang w:val="fr-FR"/>
        </w:rPr>
        <w:t>expert de la France a informé le Sous-Comité que la réunion suivante du groupe de travail informel se tiendrait dans les bureaux de la IATA, à Genève, du 4 au 6 décembre 2018. De plus amples renseignements sur l</w:t>
      </w:r>
      <w:r w:rsidR="000A1E00">
        <w:rPr>
          <w:lang w:val="fr-FR"/>
        </w:rPr>
        <w:t>’</w:t>
      </w:r>
      <w:r w:rsidRPr="000A1E00">
        <w:rPr>
          <w:lang w:val="fr-FR"/>
        </w:rPr>
        <w:t xml:space="preserve">organisation de cette réunion seraient fournis ultérieurement. </w:t>
      </w:r>
    </w:p>
    <w:p w:rsidR="00286BDC" w:rsidRPr="000A1E00" w:rsidRDefault="00286BDC" w:rsidP="00C94F0A">
      <w:pPr>
        <w:pStyle w:val="H1G"/>
        <w:rPr>
          <w:lang w:val="fr-FR"/>
        </w:rPr>
      </w:pPr>
      <w:r w:rsidRPr="000A1E00">
        <w:rPr>
          <w:lang w:val="fr-FR"/>
        </w:rPr>
        <w:tab/>
        <w:t>C.</w:t>
      </w:r>
      <w:r w:rsidRPr="000A1E00">
        <w:rPr>
          <w:lang w:val="fr-FR"/>
        </w:rPr>
        <w:tab/>
        <w:t>Dispositions relatives au transport</w:t>
      </w:r>
    </w:p>
    <w:p w:rsidR="00286BDC" w:rsidRPr="000A1E00" w:rsidRDefault="00286BDC" w:rsidP="00C94F0A">
      <w:pPr>
        <w:pStyle w:val="H23G"/>
        <w:rPr>
          <w:lang w:val="fr-FR"/>
        </w:rPr>
      </w:pPr>
      <w:r w:rsidRPr="000A1E00">
        <w:rPr>
          <w:lang w:val="fr-FR"/>
        </w:rPr>
        <w:tab/>
      </w:r>
      <w:r w:rsidRPr="000A1E00">
        <w:rPr>
          <w:lang w:val="fr-FR"/>
        </w:rPr>
        <w:tab/>
        <w:t>Harmonisation des désignations officielles de transport des N</w:t>
      </w:r>
      <w:r w:rsidRPr="000A1E00">
        <w:rPr>
          <w:vertAlign w:val="superscript"/>
          <w:lang w:val="fr-FR"/>
        </w:rPr>
        <w:t>os</w:t>
      </w:r>
      <w:r w:rsidRPr="000A1E00">
        <w:rPr>
          <w:lang w:val="fr-FR"/>
        </w:rPr>
        <w:t xml:space="preserve"> ONU 3481 et 3091</w:t>
      </w:r>
    </w:p>
    <w:p w:rsidR="00286BDC" w:rsidRPr="000A1E00" w:rsidRDefault="00286BDC" w:rsidP="00C94F0A">
      <w:pPr>
        <w:pStyle w:val="SingleTxtG"/>
        <w:tabs>
          <w:tab w:val="left" w:pos="3119"/>
        </w:tabs>
        <w:rPr>
          <w:lang w:val="fr-FR"/>
        </w:rPr>
      </w:pPr>
      <w:r w:rsidRPr="000A1E00">
        <w:rPr>
          <w:i/>
          <w:iCs/>
          <w:lang w:val="fr-FR"/>
        </w:rPr>
        <w:t>Document </w:t>
      </w:r>
      <w:r w:rsidRPr="000A1E00">
        <w:rPr>
          <w:iCs/>
          <w:lang w:val="fr-FR"/>
        </w:rPr>
        <w:t>:</w:t>
      </w:r>
      <w:r w:rsidRPr="000A1E00">
        <w:rPr>
          <w:lang w:val="fr-FR"/>
        </w:rPr>
        <w:t xml:space="preserve"> </w:t>
      </w:r>
      <w:r w:rsidRPr="000A1E00">
        <w:rPr>
          <w:lang w:val="fr-FR"/>
        </w:rPr>
        <w:tab/>
        <w:t>ST/SG/AC.10/C.3/2018/37 (RECHARGE et PRBA)</w:t>
      </w:r>
    </w:p>
    <w:p w:rsidR="00286BDC" w:rsidRPr="000A1E00" w:rsidRDefault="00286BDC" w:rsidP="00C94F0A">
      <w:pPr>
        <w:pStyle w:val="SingleTxtG"/>
        <w:tabs>
          <w:tab w:val="left" w:pos="3119"/>
        </w:tabs>
        <w:rPr>
          <w:lang w:val="fr-FR"/>
        </w:rPr>
      </w:pPr>
      <w:r w:rsidRPr="000A1E00">
        <w:rPr>
          <w:i/>
          <w:iCs/>
          <w:lang w:val="fr-FR"/>
        </w:rPr>
        <w:t>Document informel</w:t>
      </w:r>
      <w:r w:rsidRPr="000A1E00">
        <w:rPr>
          <w:iCs/>
          <w:lang w:val="fr-FR"/>
        </w:rPr>
        <w:t> :</w:t>
      </w:r>
      <w:r w:rsidRPr="000A1E00">
        <w:rPr>
          <w:lang w:val="fr-FR"/>
        </w:rPr>
        <w:tab/>
        <w:t>INF.65/Rev.1 (RECHARGE et PRBA)</w:t>
      </w:r>
      <w:r w:rsidR="00C94F0A" w:rsidRPr="000A1E00">
        <w:rPr>
          <w:lang w:val="fr-FR"/>
        </w:rPr>
        <w:t>.</w:t>
      </w:r>
    </w:p>
    <w:p w:rsidR="00286BDC" w:rsidRPr="000A1E00" w:rsidRDefault="00286BDC" w:rsidP="00C94F0A">
      <w:pPr>
        <w:pStyle w:val="SingleTxtG"/>
        <w:rPr>
          <w:lang w:val="fr-FR"/>
        </w:rPr>
      </w:pPr>
      <w:r w:rsidRPr="000A1E00">
        <w:rPr>
          <w:lang w:val="fr-FR"/>
        </w:rPr>
        <w:t>74.</w:t>
      </w:r>
      <w:r w:rsidRPr="000A1E00">
        <w:rPr>
          <w:lang w:val="fr-FR"/>
        </w:rPr>
        <w:tab/>
        <w:t>Le Sous-Comité a adopté la proposition 1 du document ST/SG/AC.10/C.3/2018/37 telle que modifiée par le document informel INF.65/Rev.1, moyennant quelques modifications (voir annexe I).</w:t>
      </w:r>
    </w:p>
    <w:p w:rsidR="00286BDC" w:rsidRPr="000A1E00" w:rsidRDefault="00286BDC" w:rsidP="00C94F0A">
      <w:pPr>
        <w:pStyle w:val="H1G"/>
        <w:rPr>
          <w:lang w:val="fr-FR"/>
        </w:rPr>
      </w:pPr>
      <w:r w:rsidRPr="000A1E00">
        <w:rPr>
          <w:lang w:val="fr-FR"/>
        </w:rPr>
        <w:tab/>
        <w:t>D.</w:t>
      </w:r>
      <w:r w:rsidRPr="000A1E00">
        <w:rPr>
          <w:lang w:val="fr-FR"/>
        </w:rPr>
        <w:tab/>
        <w:t>Batteries au lithium endommagées ou défectueuses</w:t>
      </w:r>
    </w:p>
    <w:p w:rsidR="00286BDC" w:rsidRPr="000A1E00" w:rsidRDefault="00286BDC" w:rsidP="00C94F0A">
      <w:pPr>
        <w:pStyle w:val="SingleTxtG"/>
        <w:tabs>
          <w:tab w:val="left" w:pos="3119"/>
        </w:tabs>
        <w:rPr>
          <w:lang w:val="fr-FR"/>
        </w:rPr>
      </w:pPr>
      <w:r w:rsidRPr="000A1E00">
        <w:rPr>
          <w:i/>
          <w:iCs/>
          <w:lang w:val="fr-FR"/>
        </w:rPr>
        <w:t>Document </w:t>
      </w:r>
      <w:r w:rsidRPr="000A1E00">
        <w:rPr>
          <w:iCs/>
          <w:lang w:val="fr-FR"/>
        </w:rPr>
        <w:t>:</w:t>
      </w:r>
      <w:r w:rsidRPr="000A1E00">
        <w:rPr>
          <w:lang w:val="fr-FR"/>
        </w:rPr>
        <w:t xml:space="preserve"> </w:t>
      </w:r>
      <w:r w:rsidRPr="000A1E00">
        <w:rPr>
          <w:lang w:val="fr-FR"/>
        </w:rPr>
        <w:tab/>
        <w:t>ST/SG/AC.10/C.3/2018/51 (PRBA, MDBTC et RECHARGE)</w:t>
      </w:r>
    </w:p>
    <w:p w:rsidR="00286BDC" w:rsidRPr="000A1E00" w:rsidRDefault="00286BDC" w:rsidP="00C94F0A">
      <w:pPr>
        <w:pStyle w:val="SingleTxtG"/>
        <w:tabs>
          <w:tab w:val="left" w:pos="3119"/>
        </w:tabs>
        <w:rPr>
          <w:lang w:val="fr-FR"/>
        </w:rPr>
      </w:pPr>
      <w:r w:rsidRPr="000A1E00">
        <w:rPr>
          <w:i/>
          <w:iCs/>
          <w:lang w:val="fr-FR"/>
        </w:rPr>
        <w:t>Document informel </w:t>
      </w:r>
      <w:r w:rsidRPr="00CF30D6">
        <w:rPr>
          <w:iCs/>
          <w:lang w:val="fr-FR"/>
        </w:rPr>
        <w:t>:</w:t>
      </w:r>
      <w:r w:rsidRPr="000A1E00">
        <w:rPr>
          <w:lang w:val="fr-FR"/>
        </w:rPr>
        <w:tab/>
        <w:t>INF.69/Rev.1 (PRBA, MDBTC et RECHARGE)</w:t>
      </w:r>
      <w:r w:rsidR="00C94F0A" w:rsidRPr="000A1E00">
        <w:rPr>
          <w:lang w:val="fr-FR"/>
        </w:rPr>
        <w:t>.</w:t>
      </w:r>
    </w:p>
    <w:p w:rsidR="00286BDC" w:rsidRPr="000A1E00" w:rsidRDefault="00286BDC" w:rsidP="00C94F0A">
      <w:pPr>
        <w:pStyle w:val="SingleTxtG"/>
        <w:rPr>
          <w:lang w:val="fr-FR"/>
        </w:rPr>
      </w:pPr>
      <w:r w:rsidRPr="000A1E00">
        <w:rPr>
          <w:lang w:val="fr-FR"/>
        </w:rPr>
        <w:t>75.</w:t>
      </w:r>
      <w:r w:rsidRPr="000A1E00">
        <w:rPr>
          <w:lang w:val="fr-FR"/>
        </w:rPr>
        <w:tab/>
        <w:t>Le Sous-Comité a adopté la proposition formulée au paragraphe 6 du document ST/SG/AC.10/C.3/2018/51 telle que modifiée par le document informel INF.69/Rev.1 (voir annexe I).</w:t>
      </w:r>
    </w:p>
    <w:p w:rsidR="00286BDC" w:rsidRPr="000A1E00" w:rsidRDefault="00286BDC" w:rsidP="00C94F0A">
      <w:pPr>
        <w:pStyle w:val="H1G"/>
        <w:rPr>
          <w:lang w:val="fr-FR"/>
        </w:rPr>
      </w:pPr>
      <w:r w:rsidRPr="000A1E00">
        <w:rPr>
          <w:lang w:val="fr-FR"/>
        </w:rPr>
        <w:tab/>
        <w:t>E.</w:t>
      </w:r>
      <w:r w:rsidRPr="000A1E00">
        <w:rPr>
          <w:lang w:val="fr-FR"/>
        </w:rPr>
        <w:tab/>
        <w:t>Batteries au sodium ionique</w:t>
      </w:r>
    </w:p>
    <w:p w:rsidR="00286BDC" w:rsidRPr="000A1E00" w:rsidRDefault="00286BDC" w:rsidP="00C94F0A">
      <w:pPr>
        <w:pStyle w:val="SingleTxtG"/>
        <w:tabs>
          <w:tab w:val="left" w:pos="3119"/>
        </w:tabs>
        <w:rPr>
          <w:lang w:val="fr-FR"/>
        </w:rPr>
      </w:pPr>
      <w:r w:rsidRPr="000A1E00">
        <w:rPr>
          <w:i/>
          <w:iCs/>
          <w:lang w:val="fr-FR"/>
        </w:rPr>
        <w:t>Document</w:t>
      </w:r>
      <w:r w:rsidRPr="000A1E00">
        <w:rPr>
          <w:iCs/>
          <w:lang w:val="fr-FR"/>
        </w:rPr>
        <w:t> :</w:t>
      </w:r>
      <w:r w:rsidRPr="000A1E00">
        <w:rPr>
          <w:lang w:val="fr-FR"/>
        </w:rPr>
        <w:t xml:space="preserve"> </w:t>
      </w:r>
      <w:r w:rsidRPr="000A1E00">
        <w:rPr>
          <w:lang w:val="fr-FR"/>
        </w:rPr>
        <w:tab/>
        <w:t>ST/SG/AC.10/C.3/2018/3 (Royaume-Uni)</w:t>
      </w:r>
      <w:r w:rsidR="00C94F0A" w:rsidRPr="000A1E00">
        <w:rPr>
          <w:lang w:val="fr-FR"/>
        </w:rPr>
        <w:t>.</w:t>
      </w:r>
    </w:p>
    <w:p w:rsidR="00286BDC" w:rsidRPr="000A1E00" w:rsidRDefault="00286BDC" w:rsidP="00C94F0A">
      <w:pPr>
        <w:pStyle w:val="SingleTxtG"/>
        <w:rPr>
          <w:lang w:val="fr-FR"/>
        </w:rPr>
      </w:pPr>
      <w:r w:rsidRPr="000A1E00">
        <w:rPr>
          <w:lang w:val="fr-FR"/>
        </w:rPr>
        <w:t>76.</w:t>
      </w:r>
      <w:r w:rsidRPr="000A1E00">
        <w:rPr>
          <w:lang w:val="fr-FR"/>
        </w:rPr>
        <w:tab/>
        <w:t>La proposition a fait l</w:t>
      </w:r>
      <w:r w:rsidR="000A1E00">
        <w:rPr>
          <w:lang w:val="fr-FR"/>
        </w:rPr>
        <w:t>’</w:t>
      </w:r>
      <w:r w:rsidRPr="000A1E00">
        <w:rPr>
          <w:lang w:val="fr-FR"/>
        </w:rPr>
        <w:t>objet d</w:t>
      </w:r>
      <w:r w:rsidR="000A1E00">
        <w:rPr>
          <w:lang w:val="fr-FR"/>
        </w:rPr>
        <w:t>’</w:t>
      </w:r>
      <w:r w:rsidRPr="000A1E00">
        <w:rPr>
          <w:lang w:val="fr-FR"/>
        </w:rPr>
        <w:t>un accord de principe, mais le Sous-Comité a toutefois estimé qu</w:t>
      </w:r>
      <w:r w:rsidR="000A1E00">
        <w:rPr>
          <w:lang w:val="fr-FR"/>
        </w:rPr>
        <w:t>’</w:t>
      </w:r>
      <w:r w:rsidRPr="000A1E00">
        <w:rPr>
          <w:lang w:val="fr-FR"/>
        </w:rPr>
        <w:t>elle devrait être étoffée avant d</w:t>
      </w:r>
      <w:r w:rsidR="000A1E00">
        <w:rPr>
          <w:lang w:val="fr-FR"/>
        </w:rPr>
        <w:t>’</w:t>
      </w:r>
      <w:r w:rsidRPr="000A1E00">
        <w:rPr>
          <w:lang w:val="fr-FR"/>
        </w:rPr>
        <w:t>être adoptée. La plupart des experts ont estimé qu</w:t>
      </w:r>
      <w:r w:rsidR="000A1E00">
        <w:rPr>
          <w:lang w:val="fr-FR"/>
        </w:rPr>
        <w:t>’</w:t>
      </w:r>
      <w:r w:rsidRPr="000A1E00">
        <w:rPr>
          <w:lang w:val="fr-FR"/>
        </w:rPr>
        <w:t>il convenait de disposer d</w:t>
      </w:r>
      <w:r w:rsidR="000A1E00">
        <w:rPr>
          <w:lang w:val="fr-FR"/>
        </w:rPr>
        <w:t>’</w:t>
      </w:r>
      <w:r w:rsidRPr="000A1E00">
        <w:rPr>
          <w:lang w:val="fr-FR"/>
        </w:rPr>
        <w:t>informations additionnelles sur les propriétés chimiques des batteries au sodium ionique déchargées, ainsi que sur leurs dimensions, leur composition (par exemple la quantité d</w:t>
      </w:r>
      <w:r w:rsidR="000A1E00">
        <w:rPr>
          <w:lang w:val="fr-FR"/>
        </w:rPr>
        <w:t>’</w:t>
      </w:r>
      <w:r w:rsidRPr="000A1E00">
        <w:rPr>
          <w:lang w:val="fr-FR"/>
        </w:rPr>
        <w:t>électrolyte), leur comportement à l</w:t>
      </w:r>
      <w:r w:rsidR="000A1E00">
        <w:rPr>
          <w:lang w:val="fr-FR"/>
        </w:rPr>
        <w:t>’</w:t>
      </w:r>
      <w:r w:rsidRPr="000A1E00">
        <w:rPr>
          <w:lang w:val="fr-FR"/>
        </w:rPr>
        <w:t>état déchargé (par exemple, absence totale de risque électrique dans des conditions normales de transport), sur les mesures mises en place pour prévenir une activation accidentelle, etc. D</w:t>
      </w:r>
      <w:r w:rsidR="000A1E00">
        <w:rPr>
          <w:lang w:val="fr-FR"/>
        </w:rPr>
        <w:t>’</w:t>
      </w:r>
      <w:r w:rsidRPr="000A1E00">
        <w:rPr>
          <w:lang w:val="fr-FR"/>
        </w:rPr>
        <w:t>autres experts ont souligné que les batteries au sodium ionique ne pouvaient être comparées à d</w:t>
      </w:r>
      <w:r w:rsidR="000A1E00">
        <w:rPr>
          <w:lang w:val="fr-FR"/>
        </w:rPr>
        <w:t>’</w:t>
      </w:r>
      <w:r w:rsidRPr="000A1E00">
        <w:rPr>
          <w:lang w:val="fr-FR"/>
        </w:rPr>
        <w:t>autres systèmes de stockage d</w:t>
      </w:r>
      <w:r w:rsidR="000A1E00">
        <w:rPr>
          <w:lang w:val="fr-FR"/>
        </w:rPr>
        <w:t>’</w:t>
      </w:r>
      <w:r w:rsidRPr="000A1E00">
        <w:rPr>
          <w:lang w:val="fr-FR"/>
        </w:rPr>
        <w:t>énergie tels que les supercondensateurs, étant donné que leurs modes de fonctionnement étaient différents.</w:t>
      </w:r>
    </w:p>
    <w:p w:rsidR="00286BDC" w:rsidRPr="000A1E00" w:rsidRDefault="00286BDC" w:rsidP="00C94F0A">
      <w:pPr>
        <w:pStyle w:val="SingleTxtG"/>
        <w:rPr>
          <w:lang w:val="fr-FR"/>
        </w:rPr>
      </w:pPr>
      <w:r w:rsidRPr="000A1E00">
        <w:rPr>
          <w:lang w:val="fr-FR"/>
        </w:rPr>
        <w:t>77.</w:t>
      </w:r>
      <w:r w:rsidRPr="000A1E00">
        <w:rPr>
          <w:lang w:val="fr-FR"/>
        </w:rPr>
        <w:tab/>
        <w:t>L</w:t>
      </w:r>
      <w:r w:rsidR="000A1E00">
        <w:rPr>
          <w:lang w:val="fr-FR"/>
        </w:rPr>
        <w:t>’</w:t>
      </w:r>
      <w:r w:rsidRPr="000A1E00">
        <w:rPr>
          <w:lang w:val="fr-FR"/>
        </w:rPr>
        <w:t>expert du Royaume-Uni a retiré la proposition et a déclaré qu</w:t>
      </w:r>
      <w:r w:rsidR="000A1E00">
        <w:rPr>
          <w:lang w:val="fr-FR"/>
        </w:rPr>
        <w:t>’</w:t>
      </w:r>
      <w:r w:rsidRPr="000A1E00">
        <w:rPr>
          <w:lang w:val="fr-FR"/>
        </w:rPr>
        <w:t>il prendrait en compte les observations formulées et envisagerait de soumettre une proposition révisée à une session ultérieure.</w:t>
      </w:r>
    </w:p>
    <w:p w:rsidR="00286BDC" w:rsidRPr="000A1E00" w:rsidRDefault="00286BDC" w:rsidP="00C94F0A">
      <w:pPr>
        <w:pStyle w:val="H1G"/>
        <w:rPr>
          <w:lang w:val="fr-FR"/>
        </w:rPr>
      </w:pPr>
      <w:r w:rsidRPr="000A1E00">
        <w:rPr>
          <w:lang w:val="fr-FR"/>
        </w:rPr>
        <w:tab/>
        <w:t>F.</w:t>
      </w:r>
      <w:r w:rsidRPr="000A1E00">
        <w:rPr>
          <w:lang w:val="fr-FR"/>
        </w:rPr>
        <w:tab/>
        <w:t>Divers</w:t>
      </w:r>
    </w:p>
    <w:p w:rsidR="00286BDC" w:rsidRPr="000A1E00" w:rsidRDefault="00286BDC" w:rsidP="00C94F0A">
      <w:pPr>
        <w:pStyle w:val="H23G"/>
        <w:rPr>
          <w:lang w:val="fr-FR"/>
        </w:rPr>
      </w:pPr>
      <w:r w:rsidRPr="000A1E00">
        <w:rPr>
          <w:lang w:val="fr-FR"/>
        </w:rPr>
        <w:tab/>
        <w:t>1.</w:t>
      </w:r>
      <w:r w:rsidRPr="000A1E00">
        <w:rPr>
          <w:lang w:val="fr-FR"/>
        </w:rPr>
        <w:tab/>
        <w:t>Exemples de procès-verbal d</w:t>
      </w:r>
      <w:r w:rsidR="000A1E00">
        <w:rPr>
          <w:lang w:val="fr-FR"/>
        </w:rPr>
        <w:t>’</w:t>
      </w:r>
      <w:r w:rsidRPr="000A1E00">
        <w:rPr>
          <w:lang w:val="fr-FR"/>
        </w:rPr>
        <w:t xml:space="preserve">essai de batteries au lithium et questions </w:t>
      </w:r>
      <w:r w:rsidR="00C94F0A" w:rsidRPr="000A1E00">
        <w:rPr>
          <w:lang w:val="fr-FR"/>
        </w:rPr>
        <w:br/>
      </w:r>
      <w:r w:rsidRPr="000A1E00">
        <w:rPr>
          <w:lang w:val="fr-FR"/>
        </w:rPr>
        <w:t>et réponses complémentaires</w:t>
      </w:r>
    </w:p>
    <w:p w:rsidR="00286BDC" w:rsidRPr="000A1E00" w:rsidRDefault="00286BDC" w:rsidP="00C94F0A">
      <w:pPr>
        <w:pStyle w:val="SingleTxtG"/>
        <w:tabs>
          <w:tab w:val="left" w:pos="3119"/>
        </w:tabs>
        <w:rPr>
          <w:lang w:val="fr-FR"/>
        </w:rPr>
      </w:pPr>
      <w:r w:rsidRPr="000A1E00">
        <w:rPr>
          <w:i/>
          <w:iCs/>
          <w:lang w:val="fr-FR"/>
        </w:rPr>
        <w:t>Document informel </w:t>
      </w:r>
      <w:r w:rsidRPr="000A1E00">
        <w:rPr>
          <w:iCs/>
          <w:lang w:val="fr-FR"/>
        </w:rPr>
        <w:t>:</w:t>
      </w:r>
      <w:r w:rsidRPr="000A1E00">
        <w:rPr>
          <w:lang w:val="fr-FR"/>
        </w:rPr>
        <w:tab/>
        <w:t>INF.38 (PRBA, RECHARGE et MDBTC)</w:t>
      </w:r>
      <w:r w:rsidR="00C94F0A" w:rsidRPr="000A1E00">
        <w:rPr>
          <w:lang w:val="fr-FR"/>
        </w:rPr>
        <w:t>.</w:t>
      </w:r>
    </w:p>
    <w:p w:rsidR="00286BDC" w:rsidRPr="000A1E00" w:rsidRDefault="00286BDC" w:rsidP="00C94F0A">
      <w:pPr>
        <w:pStyle w:val="SingleTxtG"/>
        <w:rPr>
          <w:lang w:val="fr-FR"/>
        </w:rPr>
      </w:pPr>
      <w:r w:rsidRPr="000A1E00">
        <w:rPr>
          <w:lang w:val="fr-FR"/>
        </w:rPr>
        <w:t>78.</w:t>
      </w:r>
      <w:r w:rsidRPr="000A1E00">
        <w:rPr>
          <w:lang w:val="fr-FR"/>
        </w:rPr>
        <w:tab/>
        <w:t>Le Sous-Comité a pris note des informations fournies. Les auteurs du document ont dit qu</w:t>
      </w:r>
      <w:r w:rsidR="000A1E00">
        <w:rPr>
          <w:lang w:val="fr-FR"/>
        </w:rPr>
        <w:t>’</w:t>
      </w:r>
      <w:r w:rsidRPr="000A1E00">
        <w:rPr>
          <w:lang w:val="fr-FR"/>
        </w:rPr>
        <w:t>ils continueraient d</w:t>
      </w:r>
      <w:r w:rsidR="000A1E00">
        <w:rPr>
          <w:lang w:val="fr-FR"/>
        </w:rPr>
        <w:t>’</w:t>
      </w:r>
      <w:r w:rsidRPr="000A1E00">
        <w:rPr>
          <w:lang w:val="fr-FR"/>
        </w:rPr>
        <w:t>informer le Sous-Comité des questions relatives à la conformité au procès-verbal d</w:t>
      </w:r>
      <w:r w:rsidR="000A1E00">
        <w:rPr>
          <w:lang w:val="fr-FR"/>
        </w:rPr>
        <w:t>’</w:t>
      </w:r>
      <w:r w:rsidRPr="000A1E00">
        <w:rPr>
          <w:lang w:val="fr-FR"/>
        </w:rPr>
        <w:t>épreuve requis dans la section 2.9.4, et qu</w:t>
      </w:r>
      <w:r w:rsidR="000A1E00">
        <w:rPr>
          <w:lang w:val="fr-FR"/>
        </w:rPr>
        <w:t>’</w:t>
      </w:r>
      <w:r w:rsidRPr="000A1E00">
        <w:rPr>
          <w:lang w:val="fr-FR"/>
        </w:rPr>
        <w:t>ils lui demanderaient d</w:t>
      </w:r>
      <w:r w:rsidR="000A1E00">
        <w:rPr>
          <w:lang w:val="fr-FR"/>
        </w:rPr>
        <w:t>’</w:t>
      </w:r>
      <w:r w:rsidRPr="000A1E00">
        <w:rPr>
          <w:lang w:val="fr-FR"/>
        </w:rPr>
        <w:t>organiser un groupe de travail de pause déjeuner lors de sa cinquante-cinquième session.</w:t>
      </w:r>
    </w:p>
    <w:p w:rsidR="00286BDC" w:rsidRPr="000A1E00" w:rsidRDefault="00286BDC" w:rsidP="00C94F0A">
      <w:pPr>
        <w:pStyle w:val="H23G"/>
        <w:rPr>
          <w:lang w:val="fr-FR"/>
        </w:rPr>
      </w:pPr>
      <w:r w:rsidRPr="000A1E00">
        <w:rPr>
          <w:lang w:val="fr-FR"/>
        </w:rPr>
        <w:tab/>
        <w:t>2.</w:t>
      </w:r>
      <w:r w:rsidRPr="000A1E00">
        <w:rPr>
          <w:lang w:val="fr-FR"/>
        </w:rPr>
        <w:tab/>
        <w:t>Dimensions de la marque pour les batteries au lithium</w:t>
      </w:r>
    </w:p>
    <w:p w:rsidR="00286BDC" w:rsidRPr="000A1E00" w:rsidRDefault="00286BDC" w:rsidP="00C94F0A">
      <w:pPr>
        <w:pStyle w:val="SingleTxtG"/>
        <w:tabs>
          <w:tab w:val="left" w:pos="3119"/>
        </w:tabs>
        <w:rPr>
          <w:lang w:val="fr-FR"/>
        </w:rPr>
      </w:pPr>
      <w:r w:rsidRPr="000A1E00">
        <w:rPr>
          <w:i/>
          <w:iCs/>
          <w:lang w:val="fr-FR"/>
        </w:rPr>
        <w:t>Document informel </w:t>
      </w:r>
      <w:r w:rsidRPr="000A1E00">
        <w:rPr>
          <w:iCs/>
          <w:lang w:val="fr-FR"/>
        </w:rPr>
        <w:t>:</w:t>
      </w:r>
      <w:r w:rsidRPr="000A1E00">
        <w:rPr>
          <w:lang w:val="fr-FR"/>
        </w:rPr>
        <w:tab/>
        <w:t>INF.41 (PRBA et RECHARGE)</w:t>
      </w:r>
      <w:r w:rsidR="00C94F0A" w:rsidRPr="000A1E00">
        <w:rPr>
          <w:lang w:val="fr-FR"/>
        </w:rPr>
        <w:t>.</w:t>
      </w:r>
    </w:p>
    <w:p w:rsidR="00286BDC" w:rsidRPr="000A1E00" w:rsidRDefault="00286BDC" w:rsidP="00C94F0A">
      <w:pPr>
        <w:pStyle w:val="SingleTxtG"/>
        <w:rPr>
          <w:lang w:val="fr-FR"/>
        </w:rPr>
      </w:pPr>
      <w:r w:rsidRPr="000A1E00">
        <w:rPr>
          <w:lang w:val="fr-FR"/>
        </w:rPr>
        <w:t>79.</w:t>
      </w:r>
      <w:r w:rsidRPr="000A1E00">
        <w:rPr>
          <w:lang w:val="fr-FR"/>
        </w:rPr>
        <w:tab/>
        <w:t>Certains experts se sont déclarés préoccupés par les incidences de la proposition (par exemple la réduction potentielle du niveau de sécurité et la possibilité d</w:t>
      </w:r>
      <w:r w:rsidR="000A1E00">
        <w:rPr>
          <w:lang w:val="fr-FR"/>
        </w:rPr>
        <w:t>’</w:t>
      </w:r>
      <w:r w:rsidRPr="000A1E00">
        <w:rPr>
          <w:lang w:val="fr-FR"/>
        </w:rPr>
        <w:t>utiliser de petites marques indépendamment de la taille du colis). Ils ont été d</w:t>
      </w:r>
      <w:r w:rsidR="000A1E00">
        <w:rPr>
          <w:lang w:val="fr-FR"/>
        </w:rPr>
        <w:t>’</w:t>
      </w:r>
      <w:r w:rsidRPr="000A1E00">
        <w:rPr>
          <w:lang w:val="fr-FR"/>
        </w:rPr>
        <w:t>avis que les marques devaient res</w:t>
      </w:r>
      <w:r w:rsidR="00C94F0A" w:rsidRPr="000A1E00">
        <w:rPr>
          <w:lang w:val="fr-FR"/>
        </w:rPr>
        <w:t>ter visibles dans tous les cas.</w:t>
      </w:r>
    </w:p>
    <w:p w:rsidR="00286BDC" w:rsidRPr="000A1E00" w:rsidRDefault="00286BDC" w:rsidP="00C94F0A">
      <w:pPr>
        <w:pStyle w:val="SingleTxtG"/>
        <w:rPr>
          <w:lang w:val="fr-FR"/>
        </w:rPr>
      </w:pPr>
      <w:r w:rsidRPr="000A1E00">
        <w:rPr>
          <w:lang w:val="fr-FR"/>
        </w:rPr>
        <w:t>80.</w:t>
      </w:r>
      <w:r w:rsidRPr="000A1E00">
        <w:rPr>
          <w:lang w:val="fr-FR"/>
        </w:rPr>
        <w:tab/>
        <w:t>Il a été souligné que le 5.2.1.9 dans sa version actuelle permettait déjà d</w:t>
      </w:r>
      <w:r w:rsidR="000A1E00">
        <w:rPr>
          <w:lang w:val="fr-FR"/>
        </w:rPr>
        <w:t>’</w:t>
      </w:r>
      <w:r w:rsidRPr="000A1E00">
        <w:rPr>
          <w:lang w:val="fr-FR"/>
        </w:rPr>
        <w:t>utiliser des marques plus petites lorsque les dimensions du colis l</w:t>
      </w:r>
      <w:r w:rsidR="000A1E00">
        <w:rPr>
          <w:lang w:val="fr-FR"/>
        </w:rPr>
        <w:t>’</w:t>
      </w:r>
      <w:r w:rsidRPr="000A1E00">
        <w:rPr>
          <w:lang w:val="fr-FR"/>
        </w:rPr>
        <w:t>imposaient. Ayant pris note des préoccupations exprimées par certaines délégations quant aux difficultés rencontrées dans la pratique pour interpréter cette disposition, certains experts ont suggéré aux auteurs de la proposition de revoir la formulation du texte actuel afin de le rendre plus clair sans en modifier les dispositions.</w:t>
      </w:r>
    </w:p>
    <w:p w:rsidR="00286BDC" w:rsidRPr="000A1E00" w:rsidRDefault="00286BDC" w:rsidP="00C94F0A">
      <w:pPr>
        <w:pStyle w:val="SingleTxtG"/>
        <w:rPr>
          <w:lang w:val="fr-FR"/>
        </w:rPr>
      </w:pPr>
      <w:r w:rsidRPr="000A1E00">
        <w:rPr>
          <w:lang w:val="fr-FR"/>
        </w:rPr>
        <w:t>81.</w:t>
      </w:r>
      <w:r w:rsidRPr="000A1E00">
        <w:rPr>
          <w:lang w:val="fr-FR"/>
        </w:rPr>
        <w:tab/>
        <w:t>La représentante de l</w:t>
      </w:r>
      <w:r w:rsidR="000A1E00">
        <w:rPr>
          <w:lang w:val="fr-FR"/>
        </w:rPr>
        <w:t>’</w:t>
      </w:r>
      <w:r w:rsidRPr="000A1E00">
        <w:rPr>
          <w:lang w:val="fr-FR"/>
        </w:rPr>
        <w:t>OACI a informé le Sous-Comité que cette question serait portée à l</w:t>
      </w:r>
      <w:r w:rsidR="000A1E00">
        <w:rPr>
          <w:lang w:val="fr-FR"/>
        </w:rPr>
        <w:t>’</w:t>
      </w:r>
      <w:r w:rsidRPr="000A1E00">
        <w:rPr>
          <w:lang w:val="fr-FR"/>
        </w:rPr>
        <w:t>attention du Groupe d</w:t>
      </w:r>
      <w:r w:rsidR="000A1E00">
        <w:rPr>
          <w:lang w:val="fr-FR"/>
        </w:rPr>
        <w:t>’</w:t>
      </w:r>
      <w:r w:rsidRPr="000A1E00">
        <w:rPr>
          <w:lang w:val="fr-FR"/>
        </w:rPr>
        <w:t>experts sur les marchandises dangereuses à sa réunion suivante, en octobre 2018, et qu</w:t>
      </w:r>
      <w:r w:rsidR="000A1E00">
        <w:rPr>
          <w:lang w:val="fr-FR"/>
        </w:rPr>
        <w:t>’</w:t>
      </w:r>
      <w:r w:rsidRPr="000A1E00">
        <w:rPr>
          <w:lang w:val="fr-FR"/>
        </w:rPr>
        <w:t>un rapport sur les résultats des discussions serait communiqué au Sous-Comité à sa cinquante-quatrième session.</w:t>
      </w:r>
    </w:p>
    <w:p w:rsidR="00286BDC" w:rsidRPr="000A1E00" w:rsidRDefault="00286BDC" w:rsidP="00C94F0A">
      <w:pPr>
        <w:pStyle w:val="SingleTxtG"/>
        <w:rPr>
          <w:lang w:val="fr-FR"/>
        </w:rPr>
      </w:pPr>
      <w:r w:rsidRPr="000A1E00">
        <w:rPr>
          <w:lang w:val="fr-FR"/>
        </w:rPr>
        <w:t>82.</w:t>
      </w:r>
      <w:r w:rsidRPr="000A1E00">
        <w:rPr>
          <w:lang w:val="fr-FR"/>
        </w:rPr>
        <w:tab/>
        <w:t>Les représentants de RECHARGE et de la PRBA ont retiré la proposition et annoncé qu</w:t>
      </w:r>
      <w:r w:rsidR="000A1E00">
        <w:rPr>
          <w:lang w:val="fr-FR"/>
        </w:rPr>
        <w:t>’</w:t>
      </w:r>
      <w:r w:rsidRPr="000A1E00">
        <w:rPr>
          <w:lang w:val="fr-FR"/>
        </w:rPr>
        <w:t xml:space="preserve">ils soumettraient à la session suivante un document révisé tenant compte des observations formulées. </w:t>
      </w:r>
    </w:p>
    <w:p w:rsidR="00286BDC" w:rsidRPr="000A1E00" w:rsidRDefault="00286BDC" w:rsidP="00C94F0A">
      <w:pPr>
        <w:pStyle w:val="H23G"/>
        <w:rPr>
          <w:lang w:val="fr-FR"/>
        </w:rPr>
      </w:pPr>
      <w:r w:rsidRPr="000A1E00">
        <w:rPr>
          <w:lang w:val="fr-FR"/>
        </w:rPr>
        <w:tab/>
        <w:t>3.</w:t>
      </w:r>
      <w:r w:rsidRPr="000A1E00">
        <w:rPr>
          <w:lang w:val="fr-FR"/>
        </w:rPr>
        <w:tab/>
        <w:t>Piles et batteries au sodium-chlorure de nickel (Na-NiCl</w:t>
      </w:r>
      <w:r w:rsidRPr="000A1E00">
        <w:rPr>
          <w:vertAlign w:val="subscript"/>
          <w:lang w:val="fr-FR"/>
        </w:rPr>
        <w:t>2</w:t>
      </w:r>
      <w:r w:rsidRPr="000A1E00">
        <w:rPr>
          <w:lang w:val="fr-FR"/>
        </w:rPr>
        <w:t>)</w:t>
      </w:r>
    </w:p>
    <w:p w:rsidR="00286BDC" w:rsidRPr="000A1E00" w:rsidRDefault="00286BDC" w:rsidP="00C94F0A">
      <w:pPr>
        <w:pStyle w:val="SingleTxtG"/>
        <w:tabs>
          <w:tab w:val="left" w:pos="3119"/>
        </w:tabs>
        <w:rPr>
          <w:lang w:val="fr-FR"/>
        </w:rPr>
      </w:pPr>
      <w:r w:rsidRPr="000A1E00">
        <w:rPr>
          <w:i/>
          <w:iCs/>
          <w:lang w:val="fr-FR"/>
        </w:rPr>
        <w:t>Document informel </w:t>
      </w:r>
      <w:r w:rsidRPr="000A1E00">
        <w:rPr>
          <w:iCs/>
          <w:lang w:val="fr-FR"/>
        </w:rPr>
        <w:t>:</w:t>
      </w:r>
      <w:r w:rsidRPr="000A1E00">
        <w:rPr>
          <w:lang w:val="fr-FR"/>
        </w:rPr>
        <w:tab/>
        <w:t>INF.45 et Add.1 (Suisse)</w:t>
      </w:r>
      <w:r w:rsidR="00C94F0A" w:rsidRPr="000A1E00">
        <w:rPr>
          <w:lang w:val="fr-FR"/>
        </w:rPr>
        <w:t>.</w:t>
      </w:r>
    </w:p>
    <w:p w:rsidR="00286BDC" w:rsidRPr="000A1E00" w:rsidRDefault="00286BDC" w:rsidP="00C94F0A">
      <w:pPr>
        <w:pStyle w:val="SingleTxtG"/>
        <w:rPr>
          <w:lang w:val="fr-FR"/>
        </w:rPr>
      </w:pPr>
      <w:r w:rsidRPr="000A1E00">
        <w:rPr>
          <w:lang w:val="fr-FR"/>
        </w:rPr>
        <w:t>83.</w:t>
      </w:r>
      <w:r w:rsidRPr="000A1E00">
        <w:rPr>
          <w:lang w:val="fr-FR"/>
        </w:rPr>
        <w:tab/>
        <w:t>La plupart des experts qui sont intervenus en séance étaient peu disposés à exempter du Règlement type le transport des piles et batteries au sodium-chlorure de nickel. Ils avaient constaté, d</w:t>
      </w:r>
      <w:r w:rsidR="000A1E00">
        <w:rPr>
          <w:lang w:val="fr-FR"/>
        </w:rPr>
        <w:t>’</w:t>
      </w:r>
      <w:r w:rsidRPr="000A1E00">
        <w:rPr>
          <w:lang w:val="fr-FR"/>
        </w:rPr>
        <w:t>après les informations fournies, qu</w:t>
      </w:r>
      <w:r w:rsidR="000A1E00">
        <w:rPr>
          <w:lang w:val="fr-FR"/>
        </w:rPr>
        <w:t>’</w:t>
      </w:r>
      <w:r w:rsidRPr="000A1E00">
        <w:rPr>
          <w:lang w:val="fr-FR"/>
        </w:rPr>
        <w:t>une certaine quantité de sodium restait dans la batterie même lorsqu</w:t>
      </w:r>
      <w:r w:rsidR="000A1E00">
        <w:rPr>
          <w:lang w:val="fr-FR"/>
        </w:rPr>
        <w:t>’</w:t>
      </w:r>
      <w:r w:rsidRPr="000A1E00">
        <w:rPr>
          <w:lang w:val="fr-FR"/>
        </w:rPr>
        <w:t xml:space="preserve">elle était déchargée, et que le risque chimique ne pouvait donc pas être écarté. </w:t>
      </w:r>
    </w:p>
    <w:p w:rsidR="00286BDC" w:rsidRPr="000A1E00" w:rsidRDefault="00286BDC" w:rsidP="00C94F0A">
      <w:pPr>
        <w:pStyle w:val="SingleTxtG"/>
        <w:rPr>
          <w:lang w:val="fr-FR"/>
        </w:rPr>
      </w:pPr>
      <w:r w:rsidRPr="000A1E00">
        <w:rPr>
          <w:lang w:val="fr-FR"/>
        </w:rPr>
        <w:t>84.</w:t>
      </w:r>
      <w:r w:rsidRPr="000A1E00">
        <w:rPr>
          <w:lang w:val="fr-FR"/>
        </w:rPr>
        <w:tab/>
        <w:t>Cert</w:t>
      </w:r>
      <w:r w:rsidR="00C94F0A" w:rsidRPr="000A1E00">
        <w:rPr>
          <w:lang w:val="fr-FR"/>
        </w:rPr>
        <w:t>ains experts ont estimé que le No </w:t>
      </w:r>
      <w:r w:rsidRPr="000A1E00">
        <w:rPr>
          <w:lang w:val="fr-FR"/>
        </w:rPr>
        <w:t>ONU</w:t>
      </w:r>
      <w:r w:rsidR="00C94F0A" w:rsidRPr="000A1E00">
        <w:rPr>
          <w:lang w:val="fr-FR"/>
        </w:rPr>
        <w:t> </w:t>
      </w:r>
      <w:r w:rsidRPr="000A1E00">
        <w:rPr>
          <w:lang w:val="fr-FR"/>
        </w:rPr>
        <w:t>3292 était la rubrique la plus appropriée pour rendre compte du risque chimique associé au transport de ces piles et batteries, et ont été d</w:t>
      </w:r>
      <w:r w:rsidR="000A1E00">
        <w:rPr>
          <w:lang w:val="fr-FR"/>
        </w:rPr>
        <w:t>’</w:t>
      </w:r>
      <w:r w:rsidRPr="000A1E00">
        <w:rPr>
          <w:lang w:val="fr-FR"/>
        </w:rPr>
        <w:t>avis qu</w:t>
      </w:r>
      <w:r w:rsidR="000A1E00">
        <w:rPr>
          <w:lang w:val="fr-FR"/>
        </w:rPr>
        <w:t>’</w:t>
      </w:r>
      <w:r w:rsidRPr="000A1E00">
        <w:rPr>
          <w:lang w:val="fr-FR"/>
        </w:rPr>
        <w:t>il était possible d</w:t>
      </w:r>
      <w:r w:rsidR="000A1E00">
        <w:rPr>
          <w:lang w:val="fr-FR"/>
        </w:rPr>
        <w:t>’</w:t>
      </w:r>
      <w:r w:rsidRPr="000A1E00">
        <w:rPr>
          <w:lang w:val="fr-FR"/>
        </w:rPr>
        <w:t>élaborer pour ces dernières des dispositions spéciales de transport ou d</w:t>
      </w:r>
      <w:r w:rsidR="000A1E00">
        <w:rPr>
          <w:lang w:val="fr-FR"/>
        </w:rPr>
        <w:t>’</w:t>
      </w:r>
      <w:r w:rsidRPr="000A1E00">
        <w:rPr>
          <w:lang w:val="fr-FR"/>
        </w:rPr>
        <w:t>emballage sous cette rubrique.</w:t>
      </w:r>
    </w:p>
    <w:p w:rsidR="00286BDC" w:rsidRPr="000A1E00" w:rsidRDefault="00286BDC" w:rsidP="00C94F0A">
      <w:pPr>
        <w:pStyle w:val="SingleTxtG"/>
        <w:rPr>
          <w:lang w:val="fr-FR"/>
        </w:rPr>
      </w:pPr>
      <w:r w:rsidRPr="000A1E00">
        <w:rPr>
          <w:lang w:val="fr-FR"/>
        </w:rPr>
        <w:t>85.</w:t>
      </w:r>
      <w:r w:rsidRPr="000A1E00">
        <w:rPr>
          <w:lang w:val="fr-FR"/>
        </w:rPr>
        <w:tab/>
        <w:t>L</w:t>
      </w:r>
      <w:r w:rsidR="000A1E00">
        <w:rPr>
          <w:lang w:val="fr-FR"/>
        </w:rPr>
        <w:t>’</w:t>
      </w:r>
      <w:r w:rsidRPr="000A1E00">
        <w:rPr>
          <w:lang w:val="fr-FR"/>
        </w:rPr>
        <w:t>expert de la Suisse a fait observer qu</w:t>
      </w:r>
      <w:r w:rsidR="000A1E00">
        <w:rPr>
          <w:lang w:val="fr-FR"/>
        </w:rPr>
        <w:t>’</w:t>
      </w:r>
      <w:r w:rsidRPr="000A1E00">
        <w:rPr>
          <w:lang w:val="fr-FR"/>
        </w:rPr>
        <w:t>aucun incident durant le transport des piles et batteries de ce type n</w:t>
      </w:r>
      <w:r w:rsidR="000A1E00">
        <w:rPr>
          <w:lang w:val="fr-FR"/>
        </w:rPr>
        <w:t>’</w:t>
      </w:r>
      <w:r w:rsidRPr="000A1E00">
        <w:rPr>
          <w:lang w:val="fr-FR"/>
        </w:rPr>
        <w:t>avait été signalé pendant de nombreuses années. Selon lui, cette constatation sur le plan de la sécurité devait être prise en compte pour réfléchir à des prescriptions de transport moins strictes. Le Sous-Comité l</w:t>
      </w:r>
      <w:r w:rsidR="000A1E00">
        <w:rPr>
          <w:lang w:val="fr-FR"/>
        </w:rPr>
        <w:t>’</w:t>
      </w:r>
      <w:r w:rsidRPr="000A1E00">
        <w:rPr>
          <w:lang w:val="fr-FR"/>
        </w:rPr>
        <w:t>a invité à prendre en considération les observations formulées et à soumettre un document officiel à la session suivante.</w:t>
      </w:r>
    </w:p>
    <w:p w:rsidR="00286BDC" w:rsidRPr="000A1E00" w:rsidRDefault="00286BDC" w:rsidP="00C94F0A">
      <w:pPr>
        <w:pStyle w:val="HChG"/>
        <w:rPr>
          <w:lang w:val="fr-FR"/>
        </w:rPr>
      </w:pPr>
      <w:r w:rsidRPr="000A1E00">
        <w:rPr>
          <w:lang w:val="fr-FR"/>
        </w:rPr>
        <w:tab/>
        <w:t>VII.</w:t>
      </w:r>
      <w:r w:rsidRPr="000A1E00">
        <w:rPr>
          <w:lang w:val="fr-FR"/>
        </w:rPr>
        <w:tab/>
        <w:t>Transport de gaz (point 5 de l</w:t>
      </w:r>
      <w:r w:rsidR="000A1E00">
        <w:rPr>
          <w:lang w:val="fr-FR"/>
        </w:rPr>
        <w:t>’</w:t>
      </w:r>
      <w:r w:rsidRPr="000A1E00">
        <w:rPr>
          <w:lang w:val="fr-FR"/>
        </w:rPr>
        <w:t>ordre du jour)</w:t>
      </w:r>
    </w:p>
    <w:p w:rsidR="00286BDC" w:rsidRPr="000A1E00" w:rsidRDefault="00286BDC" w:rsidP="00C94F0A">
      <w:pPr>
        <w:pStyle w:val="H1G"/>
        <w:rPr>
          <w:lang w:val="fr-FR"/>
        </w:rPr>
      </w:pPr>
      <w:r w:rsidRPr="000A1E00">
        <w:rPr>
          <w:lang w:val="fr-FR"/>
        </w:rPr>
        <w:tab/>
        <w:t>A.</w:t>
      </w:r>
      <w:r w:rsidRPr="000A1E00">
        <w:rPr>
          <w:lang w:val="fr-FR"/>
        </w:rPr>
        <w:tab/>
        <w:t>Reconnaissance universelle des récipients à pression ONU et non-ONU</w:t>
      </w:r>
    </w:p>
    <w:p w:rsidR="00286BDC" w:rsidRPr="000A1E00" w:rsidRDefault="00286BDC" w:rsidP="00C94F0A">
      <w:pPr>
        <w:pStyle w:val="SingleTxtG"/>
        <w:rPr>
          <w:lang w:val="fr-FR"/>
        </w:rPr>
      </w:pPr>
      <w:r w:rsidRPr="000A1E00">
        <w:rPr>
          <w:lang w:val="fr-FR"/>
        </w:rPr>
        <w:t>86.</w:t>
      </w:r>
      <w:r w:rsidRPr="000A1E00">
        <w:rPr>
          <w:lang w:val="fr-FR"/>
        </w:rPr>
        <w:tab/>
        <w:t>Aucun document n</w:t>
      </w:r>
      <w:r w:rsidR="000A1E00">
        <w:rPr>
          <w:lang w:val="fr-FR"/>
        </w:rPr>
        <w:t>’</w:t>
      </w:r>
      <w:r w:rsidRPr="000A1E00">
        <w:rPr>
          <w:lang w:val="fr-FR"/>
        </w:rPr>
        <w:t>ayant été soumis au titre de ce point de l</w:t>
      </w:r>
      <w:r w:rsidR="000A1E00">
        <w:rPr>
          <w:lang w:val="fr-FR"/>
        </w:rPr>
        <w:t>’</w:t>
      </w:r>
      <w:r w:rsidRPr="000A1E00">
        <w:rPr>
          <w:lang w:val="fr-FR"/>
        </w:rPr>
        <w:t>ordre du jour, cette question n</w:t>
      </w:r>
      <w:r w:rsidR="000A1E00">
        <w:rPr>
          <w:lang w:val="fr-FR"/>
        </w:rPr>
        <w:t>’</w:t>
      </w:r>
      <w:r w:rsidRPr="000A1E00">
        <w:rPr>
          <w:lang w:val="fr-FR"/>
        </w:rPr>
        <w:t>a pas été abordée.</w:t>
      </w:r>
    </w:p>
    <w:p w:rsidR="00286BDC" w:rsidRPr="000A1E00" w:rsidRDefault="00286BDC" w:rsidP="00C94F0A">
      <w:pPr>
        <w:pStyle w:val="H1G"/>
        <w:rPr>
          <w:lang w:val="fr-FR"/>
        </w:rPr>
      </w:pPr>
      <w:r w:rsidRPr="000A1E00">
        <w:rPr>
          <w:lang w:val="fr-FR"/>
        </w:rPr>
        <w:tab/>
        <w:t>B.</w:t>
      </w:r>
      <w:r w:rsidRPr="000A1E00">
        <w:rPr>
          <w:lang w:val="fr-FR"/>
        </w:rPr>
        <w:tab/>
        <w:t>Divers</w:t>
      </w:r>
    </w:p>
    <w:p w:rsidR="00286BDC" w:rsidRPr="000A1E00" w:rsidRDefault="00286BDC" w:rsidP="00C94F0A">
      <w:pPr>
        <w:pStyle w:val="H23G"/>
        <w:rPr>
          <w:lang w:val="fr-FR"/>
        </w:rPr>
      </w:pPr>
      <w:r w:rsidRPr="000A1E00">
        <w:rPr>
          <w:lang w:val="fr-FR"/>
        </w:rPr>
        <w:tab/>
        <w:t>1.</w:t>
      </w:r>
      <w:r w:rsidRPr="000A1E00">
        <w:rPr>
          <w:lang w:val="fr-FR"/>
        </w:rPr>
        <w:tab/>
        <w:t>Enveloppes pour bouteilles d</w:t>
      </w:r>
      <w:r w:rsidR="000A1E00">
        <w:rPr>
          <w:lang w:val="fr-FR"/>
        </w:rPr>
        <w:t>’</w:t>
      </w:r>
      <w:r w:rsidRPr="000A1E00">
        <w:rPr>
          <w:lang w:val="fr-FR"/>
        </w:rPr>
        <w:t>acétylène «</w:t>
      </w:r>
      <w:r w:rsidR="00C94F0A" w:rsidRPr="000A1E00">
        <w:rPr>
          <w:lang w:val="fr-FR"/>
        </w:rPr>
        <w:t> UN </w:t>
      </w:r>
      <w:r w:rsidRPr="000A1E00">
        <w:rPr>
          <w:lang w:val="fr-FR"/>
        </w:rPr>
        <w:t>»</w:t>
      </w:r>
    </w:p>
    <w:p w:rsidR="00286BDC" w:rsidRPr="000A1E00" w:rsidRDefault="00286BDC" w:rsidP="00C94F0A">
      <w:pPr>
        <w:pStyle w:val="SingleTxtG"/>
        <w:tabs>
          <w:tab w:val="left" w:pos="3119"/>
        </w:tabs>
        <w:rPr>
          <w:lang w:val="en-US"/>
        </w:rPr>
      </w:pPr>
      <w:r w:rsidRPr="000A1E00">
        <w:rPr>
          <w:i/>
          <w:iCs/>
          <w:lang w:val="en-US"/>
        </w:rPr>
        <w:t>Document</w:t>
      </w:r>
      <w:r w:rsidR="00C94F0A" w:rsidRPr="000A1E00">
        <w:rPr>
          <w:i/>
          <w:iCs/>
          <w:lang w:val="en-US"/>
        </w:rPr>
        <w:t> </w:t>
      </w:r>
      <w:r w:rsidRPr="000A1E00">
        <w:rPr>
          <w:iCs/>
          <w:lang w:val="en-US"/>
        </w:rPr>
        <w:t>:</w:t>
      </w:r>
      <w:r w:rsidRPr="000A1E00">
        <w:rPr>
          <w:lang w:val="en-US"/>
        </w:rPr>
        <w:t xml:space="preserve"> </w:t>
      </w:r>
      <w:r w:rsidRPr="000A1E00">
        <w:rPr>
          <w:lang w:val="en-US"/>
        </w:rPr>
        <w:tab/>
        <w:t>ST/SG/AC.10/C.3/2018/8 (Canada)</w:t>
      </w:r>
    </w:p>
    <w:p w:rsidR="00286BDC" w:rsidRPr="000A1E00" w:rsidRDefault="00286BDC" w:rsidP="00C73F6E">
      <w:pPr>
        <w:pStyle w:val="SingleTxtG"/>
        <w:tabs>
          <w:tab w:val="left" w:pos="3119"/>
        </w:tabs>
        <w:ind w:left="3119" w:hanging="1985"/>
        <w:jc w:val="left"/>
        <w:rPr>
          <w:lang w:val="fr-FR"/>
        </w:rPr>
      </w:pPr>
      <w:r w:rsidRPr="000A1E00">
        <w:rPr>
          <w:i/>
          <w:lang w:val="fr-FR"/>
        </w:rPr>
        <w:t>Documents informels</w:t>
      </w:r>
      <w:r w:rsidR="00C94F0A" w:rsidRPr="000A1E00">
        <w:rPr>
          <w:lang w:val="fr-FR"/>
        </w:rPr>
        <w:t> </w:t>
      </w:r>
      <w:r w:rsidRPr="000A1E00">
        <w:rPr>
          <w:lang w:val="fr-FR"/>
        </w:rPr>
        <w:t>:</w:t>
      </w:r>
      <w:r w:rsidR="00C94F0A" w:rsidRPr="000A1E00">
        <w:rPr>
          <w:lang w:val="fr-FR"/>
        </w:rPr>
        <w:tab/>
        <w:t>INF.18 (ISO)</w:t>
      </w:r>
      <w:r w:rsidR="00C94F0A" w:rsidRPr="000A1E00">
        <w:rPr>
          <w:lang w:val="fr-FR"/>
        </w:rPr>
        <w:br/>
      </w:r>
      <w:r w:rsidRPr="000A1E00">
        <w:rPr>
          <w:lang w:val="fr-FR"/>
        </w:rPr>
        <w:t>INF.36 (Allemagne)</w:t>
      </w:r>
      <w:r w:rsidR="00C94F0A" w:rsidRPr="000A1E00">
        <w:rPr>
          <w:lang w:val="fr-FR"/>
        </w:rPr>
        <w:t>.</w:t>
      </w:r>
    </w:p>
    <w:p w:rsidR="00286BDC" w:rsidRPr="000A1E00" w:rsidRDefault="00286BDC" w:rsidP="00C94F0A">
      <w:pPr>
        <w:pStyle w:val="SingleTxtG"/>
        <w:rPr>
          <w:lang w:val="fr-FR"/>
        </w:rPr>
      </w:pPr>
      <w:r w:rsidRPr="000A1E00">
        <w:rPr>
          <w:lang w:val="fr-FR"/>
        </w:rPr>
        <w:t>87.</w:t>
      </w:r>
      <w:r w:rsidRPr="000A1E00">
        <w:rPr>
          <w:lang w:val="fr-FR"/>
        </w:rPr>
        <w:tab/>
        <w:t>Le Sous-Comité a adopté la proposition formulée au paragraphe 2 du document ST/SG/AC.10/C.3/2018/8 telle que modifiée par les documents informels INF.18 et INF.36 (voir l</w:t>
      </w:r>
      <w:r w:rsidR="000A1E00">
        <w:rPr>
          <w:lang w:val="fr-FR"/>
        </w:rPr>
        <w:t>’</w:t>
      </w:r>
      <w:r w:rsidRPr="000A1E00">
        <w:rPr>
          <w:lang w:val="fr-FR"/>
        </w:rPr>
        <w:t>annexe I).</w:t>
      </w:r>
    </w:p>
    <w:p w:rsidR="00286BDC" w:rsidRPr="000A1E00" w:rsidRDefault="00286BDC" w:rsidP="00C94F0A">
      <w:pPr>
        <w:pStyle w:val="H23G"/>
        <w:rPr>
          <w:lang w:val="fr-FR"/>
        </w:rPr>
      </w:pPr>
      <w:r w:rsidRPr="000A1E00">
        <w:rPr>
          <w:lang w:val="fr-FR"/>
        </w:rPr>
        <w:tab/>
        <w:t>2.</w:t>
      </w:r>
      <w:r w:rsidRPr="000A1E00">
        <w:rPr>
          <w:lang w:val="fr-FR"/>
        </w:rPr>
        <w:tab/>
        <w:t>Clarification d</w:t>
      </w:r>
      <w:r w:rsidR="000A1E00">
        <w:rPr>
          <w:lang w:val="fr-FR"/>
        </w:rPr>
        <w:t>’</w:t>
      </w:r>
      <w:r w:rsidRPr="000A1E00">
        <w:rPr>
          <w:lang w:val="fr-FR"/>
        </w:rPr>
        <w:t>une disposition concernant le marquage des récipients à pression «</w:t>
      </w:r>
      <w:r w:rsidR="00C94F0A" w:rsidRPr="000A1E00">
        <w:rPr>
          <w:lang w:val="fr-FR"/>
        </w:rPr>
        <w:t> </w:t>
      </w:r>
      <w:r w:rsidRPr="000A1E00">
        <w:rPr>
          <w:lang w:val="fr-FR"/>
        </w:rPr>
        <w:t>UN »</w:t>
      </w:r>
    </w:p>
    <w:p w:rsidR="00286BDC" w:rsidRPr="000A1E00" w:rsidRDefault="00286BDC" w:rsidP="00C94F0A">
      <w:pPr>
        <w:pStyle w:val="SingleTxtG"/>
        <w:tabs>
          <w:tab w:val="left" w:pos="3119"/>
        </w:tabs>
        <w:rPr>
          <w:lang w:val="fr-FR"/>
        </w:rPr>
      </w:pPr>
      <w:r w:rsidRPr="000A1E00">
        <w:rPr>
          <w:i/>
          <w:iCs/>
          <w:lang w:val="fr-FR"/>
        </w:rPr>
        <w:t>Document</w:t>
      </w:r>
      <w:r w:rsidR="00C94F0A" w:rsidRPr="000A1E00">
        <w:rPr>
          <w:i/>
          <w:iCs/>
          <w:lang w:val="fr-FR"/>
        </w:rPr>
        <w:t> </w:t>
      </w:r>
      <w:r w:rsidRPr="000A1E00">
        <w:rPr>
          <w:iCs/>
          <w:lang w:val="fr-FR"/>
        </w:rPr>
        <w:t>:</w:t>
      </w:r>
      <w:r w:rsidRPr="000A1E00">
        <w:rPr>
          <w:lang w:val="fr-FR"/>
        </w:rPr>
        <w:t xml:space="preserve"> </w:t>
      </w:r>
      <w:r w:rsidRPr="000A1E00">
        <w:rPr>
          <w:lang w:val="fr-FR"/>
        </w:rPr>
        <w:tab/>
        <w:t>ST/SG/AC.10/C.3/2018/22 (ISO)</w:t>
      </w:r>
    </w:p>
    <w:p w:rsidR="00286BDC" w:rsidRPr="000A1E00" w:rsidRDefault="00286BDC" w:rsidP="00C94F0A">
      <w:pPr>
        <w:pStyle w:val="SingleTxtG"/>
        <w:tabs>
          <w:tab w:val="left" w:pos="3119"/>
        </w:tabs>
        <w:rPr>
          <w:lang w:val="fr-FR"/>
        </w:rPr>
      </w:pPr>
      <w:r w:rsidRPr="000A1E00">
        <w:rPr>
          <w:i/>
          <w:lang w:val="fr-FR"/>
        </w:rPr>
        <w:t>Document informel</w:t>
      </w:r>
      <w:r w:rsidR="00C94F0A" w:rsidRPr="000A1E00">
        <w:rPr>
          <w:lang w:val="fr-FR"/>
        </w:rPr>
        <w:t> </w:t>
      </w:r>
      <w:r w:rsidRPr="000A1E00">
        <w:rPr>
          <w:lang w:val="fr-FR"/>
        </w:rPr>
        <w:t>:</w:t>
      </w:r>
      <w:r w:rsidRPr="000A1E00">
        <w:rPr>
          <w:lang w:val="fr-FR"/>
        </w:rPr>
        <w:tab/>
        <w:t>INF.57 (ISO)</w:t>
      </w:r>
      <w:r w:rsidR="00C94F0A" w:rsidRPr="000A1E00">
        <w:rPr>
          <w:lang w:val="fr-FR"/>
        </w:rPr>
        <w:t>.</w:t>
      </w:r>
    </w:p>
    <w:p w:rsidR="00286BDC" w:rsidRPr="000A1E00" w:rsidRDefault="00286BDC" w:rsidP="00A5213A">
      <w:pPr>
        <w:pStyle w:val="SingleTxtG"/>
        <w:rPr>
          <w:lang w:val="fr-FR"/>
        </w:rPr>
      </w:pPr>
      <w:r w:rsidRPr="000A1E00">
        <w:rPr>
          <w:lang w:val="fr-FR"/>
        </w:rPr>
        <w:t>88.</w:t>
      </w:r>
      <w:r w:rsidRPr="000A1E00">
        <w:rPr>
          <w:lang w:val="fr-FR"/>
        </w:rPr>
        <w:tab/>
        <w:t>Le Sous-Comité a adopté la pro</w:t>
      </w:r>
      <w:r w:rsidR="00C94F0A" w:rsidRPr="000A1E00">
        <w:rPr>
          <w:lang w:val="fr-FR"/>
        </w:rPr>
        <w:t xml:space="preserve">position formulée au paragraphe </w:t>
      </w:r>
      <w:r w:rsidRPr="000A1E00">
        <w:rPr>
          <w:lang w:val="fr-FR"/>
        </w:rPr>
        <w:t>2 du document ST/SG/AC.10/C.3/2018/22 telle que modifiée par le document informel INF.57, moyennant quelques modifications. Un amendement corollaire au 6.2.2.9.2 a également été adopté (voir l</w:t>
      </w:r>
      <w:r w:rsidR="000A1E00">
        <w:rPr>
          <w:lang w:val="fr-FR"/>
        </w:rPr>
        <w:t>’</w:t>
      </w:r>
      <w:r w:rsidRPr="000A1E00">
        <w:rPr>
          <w:lang w:val="fr-FR"/>
        </w:rPr>
        <w:t>annexe I).</w:t>
      </w:r>
    </w:p>
    <w:p w:rsidR="00286BDC" w:rsidRPr="000A1E00" w:rsidRDefault="00286BDC" w:rsidP="00A5213A">
      <w:pPr>
        <w:pStyle w:val="H23G"/>
        <w:rPr>
          <w:lang w:val="fr-FR"/>
        </w:rPr>
      </w:pPr>
      <w:r w:rsidRPr="000A1E00">
        <w:rPr>
          <w:lang w:val="fr-FR"/>
        </w:rPr>
        <w:tab/>
        <w:t>3.</w:t>
      </w:r>
      <w:r w:rsidRPr="000A1E00">
        <w:rPr>
          <w:lang w:val="fr-FR"/>
        </w:rPr>
        <w:tab/>
        <w:t>Ajout de nouvelles normes ISO relatives à la classe 2 et mises à jour</w:t>
      </w:r>
    </w:p>
    <w:p w:rsidR="00286BDC" w:rsidRPr="000A1E00" w:rsidRDefault="00286BDC" w:rsidP="00A5213A">
      <w:pPr>
        <w:pStyle w:val="SingleTxtG"/>
        <w:tabs>
          <w:tab w:val="left" w:pos="3119"/>
        </w:tabs>
        <w:rPr>
          <w:i/>
          <w:iCs/>
          <w:lang w:val="fr-FR"/>
        </w:rPr>
      </w:pPr>
      <w:r w:rsidRPr="000A1E00">
        <w:rPr>
          <w:i/>
          <w:iCs/>
          <w:lang w:val="fr-FR"/>
        </w:rPr>
        <w:t>Document</w:t>
      </w:r>
      <w:r w:rsidR="00A5213A" w:rsidRPr="000A1E00">
        <w:rPr>
          <w:i/>
          <w:iCs/>
          <w:lang w:val="fr-FR"/>
        </w:rPr>
        <w:t> </w:t>
      </w:r>
      <w:r w:rsidRPr="000A1E00">
        <w:rPr>
          <w:iCs/>
          <w:lang w:val="fr-FR"/>
        </w:rPr>
        <w:t>:</w:t>
      </w:r>
      <w:r w:rsidRPr="000A1E00">
        <w:rPr>
          <w:lang w:val="fr-FR"/>
        </w:rPr>
        <w:t xml:space="preserve"> </w:t>
      </w:r>
      <w:r w:rsidRPr="000A1E00">
        <w:rPr>
          <w:lang w:val="fr-FR"/>
        </w:rPr>
        <w:tab/>
        <w:t>ST/SG/AC.10/C.3/2018/23 (ISO)</w:t>
      </w:r>
      <w:r w:rsidR="00A5213A" w:rsidRPr="000A1E00">
        <w:rPr>
          <w:lang w:val="fr-FR"/>
        </w:rPr>
        <w:t>.</w:t>
      </w:r>
    </w:p>
    <w:p w:rsidR="00286BDC" w:rsidRPr="000A1E00" w:rsidRDefault="00286BDC" w:rsidP="00A5213A">
      <w:pPr>
        <w:pStyle w:val="SingleTxtG"/>
        <w:rPr>
          <w:lang w:val="fr-FR"/>
        </w:rPr>
      </w:pPr>
      <w:r w:rsidRPr="000A1E00">
        <w:rPr>
          <w:lang w:val="fr-FR"/>
        </w:rPr>
        <w:t>89.</w:t>
      </w:r>
      <w:r w:rsidRPr="000A1E00">
        <w:rPr>
          <w:lang w:val="fr-FR"/>
        </w:rPr>
        <w:tab/>
        <w:t>Le Sous-Comité a adopté les propositions 1, 2, 3, 5 et 6 énoncées dans le document ST/SG/AC.10/C.3/2018/23 (voir l</w:t>
      </w:r>
      <w:r w:rsidR="000A1E00">
        <w:rPr>
          <w:lang w:val="fr-FR"/>
        </w:rPr>
        <w:t>’</w:t>
      </w:r>
      <w:r w:rsidRPr="000A1E00">
        <w:rPr>
          <w:lang w:val="fr-FR"/>
        </w:rPr>
        <w:t>annexe I).</w:t>
      </w:r>
    </w:p>
    <w:p w:rsidR="00286BDC" w:rsidRPr="000A1E00" w:rsidRDefault="00286BDC" w:rsidP="00A5213A">
      <w:pPr>
        <w:pStyle w:val="SingleTxtG"/>
        <w:rPr>
          <w:lang w:val="fr-FR"/>
        </w:rPr>
      </w:pPr>
      <w:r w:rsidRPr="000A1E00">
        <w:rPr>
          <w:lang w:val="fr-FR"/>
        </w:rPr>
        <w:t>90.</w:t>
      </w:r>
      <w:r w:rsidRPr="000A1E00">
        <w:rPr>
          <w:lang w:val="fr-FR"/>
        </w:rPr>
        <w:tab/>
        <w:t>Constatant que la proposition d</w:t>
      </w:r>
      <w:r w:rsidR="000A1E00">
        <w:rPr>
          <w:lang w:val="fr-FR"/>
        </w:rPr>
        <w:t>’</w:t>
      </w:r>
      <w:r w:rsidRPr="000A1E00">
        <w:rPr>
          <w:lang w:val="fr-FR"/>
        </w:rPr>
        <w:t>amendement 4 se traduirait par une augmentation sensible de la pression pour l</w:t>
      </w:r>
      <w:r w:rsidR="000A1E00">
        <w:rPr>
          <w:lang w:val="fr-FR"/>
        </w:rPr>
        <w:t>’</w:t>
      </w:r>
      <w:r w:rsidRPr="000A1E00">
        <w:rPr>
          <w:lang w:val="fr-FR"/>
        </w:rPr>
        <w:t>épreuve d</w:t>
      </w:r>
      <w:r w:rsidR="000A1E00">
        <w:rPr>
          <w:lang w:val="fr-FR"/>
        </w:rPr>
        <w:t>’</w:t>
      </w:r>
      <w:r w:rsidRPr="000A1E00">
        <w:rPr>
          <w:lang w:val="fr-FR"/>
        </w:rPr>
        <w:t>éclatement applicable aux robinets de bouteilles équipés de clapets auto-obturants et que la décision sur cette proposition n</w:t>
      </w:r>
      <w:r w:rsidR="000A1E00">
        <w:rPr>
          <w:lang w:val="fr-FR"/>
        </w:rPr>
        <w:t>’</w:t>
      </w:r>
      <w:r w:rsidRPr="000A1E00">
        <w:rPr>
          <w:lang w:val="fr-FR"/>
        </w:rPr>
        <w:t>avait pas été prise par consensus au sein de l</w:t>
      </w:r>
      <w:r w:rsidR="000A1E00">
        <w:rPr>
          <w:lang w:val="fr-FR"/>
        </w:rPr>
        <w:t>’</w:t>
      </w:r>
      <w:r w:rsidRPr="000A1E00">
        <w:rPr>
          <w:lang w:val="fr-FR"/>
        </w:rPr>
        <w:t>ISO, certains experts ont fait part de leur objection quant à son adoption. Il a par ailleurs été noté qu</w:t>
      </w:r>
      <w:r w:rsidR="000A1E00">
        <w:rPr>
          <w:lang w:val="fr-FR"/>
        </w:rPr>
        <w:t>’</w:t>
      </w:r>
      <w:r w:rsidRPr="000A1E00">
        <w:rPr>
          <w:lang w:val="fr-FR"/>
        </w:rPr>
        <w:t>aucun incident n</w:t>
      </w:r>
      <w:r w:rsidR="000A1E00">
        <w:rPr>
          <w:lang w:val="fr-FR"/>
        </w:rPr>
        <w:t>’</w:t>
      </w:r>
      <w:r w:rsidRPr="000A1E00">
        <w:rPr>
          <w:lang w:val="fr-FR"/>
        </w:rPr>
        <w:t>avait été signalé concernant les robinets éprouvés à la pression actuelle de 450 bars. Le représentant de l</w:t>
      </w:r>
      <w:r w:rsidR="000A1E00">
        <w:rPr>
          <w:lang w:val="fr-FR"/>
        </w:rPr>
        <w:t>’</w:t>
      </w:r>
      <w:r w:rsidRPr="000A1E00">
        <w:rPr>
          <w:lang w:val="fr-FR"/>
        </w:rPr>
        <w:t>ISO a retiré la proposition 4 et a ajouté qu</w:t>
      </w:r>
      <w:r w:rsidR="000A1E00">
        <w:rPr>
          <w:lang w:val="fr-FR"/>
        </w:rPr>
        <w:t>’</w:t>
      </w:r>
      <w:r w:rsidRPr="000A1E00">
        <w:rPr>
          <w:lang w:val="fr-FR"/>
        </w:rPr>
        <w:t>il collaborerait avec l</w:t>
      </w:r>
      <w:r w:rsidR="000A1E00">
        <w:rPr>
          <w:lang w:val="fr-FR"/>
        </w:rPr>
        <w:t>’</w:t>
      </w:r>
      <w:r w:rsidRPr="000A1E00">
        <w:rPr>
          <w:lang w:val="fr-FR"/>
        </w:rPr>
        <w:t>EIGA et la CGA en vue d</w:t>
      </w:r>
      <w:r w:rsidR="000A1E00">
        <w:rPr>
          <w:lang w:val="fr-FR"/>
        </w:rPr>
        <w:t>’</w:t>
      </w:r>
      <w:r w:rsidRPr="000A1E00">
        <w:rPr>
          <w:lang w:val="fr-FR"/>
        </w:rPr>
        <w:t xml:space="preserve">obtenir un consensus sur la question et tiendrait le Sous-Comité informé du résultat. </w:t>
      </w:r>
    </w:p>
    <w:p w:rsidR="00286BDC" w:rsidRPr="000A1E00" w:rsidRDefault="00286BDC" w:rsidP="00A5213A">
      <w:pPr>
        <w:pStyle w:val="SingleTxtG"/>
        <w:rPr>
          <w:lang w:val="fr-FR"/>
        </w:rPr>
      </w:pPr>
      <w:r w:rsidRPr="000A1E00">
        <w:rPr>
          <w:lang w:val="fr-FR"/>
        </w:rPr>
        <w:t>91.</w:t>
      </w:r>
      <w:r w:rsidRPr="000A1E00">
        <w:rPr>
          <w:lang w:val="fr-FR"/>
        </w:rPr>
        <w:tab/>
        <w:t>À la suite d</w:t>
      </w:r>
      <w:r w:rsidR="000A1E00">
        <w:rPr>
          <w:lang w:val="fr-FR"/>
        </w:rPr>
        <w:t>’</w:t>
      </w:r>
      <w:r w:rsidRPr="000A1E00">
        <w:rPr>
          <w:lang w:val="fr-FR"/>
        </w:rPr>
        <w:t>une observation faite par l</w:t>
      </w:r>
      <w:r w:rsidR="000A1E00">
        <w:rPr>
          <w:lang w:val="fr-FR"/>
        </w:rPr>
        <w:t>’</w:t>
      </w:r>
      <w:r w:rsidRPr="000A1E00">
        <w:rPr>
          <w:lang w:val="fr-FR"/>
        </w:rPr>
        <w:t>experte de l</w:t>
      </w:r>
      <w:r w:rsidR="000A1E00">
        <w:rPr>
          <w:lang w:val="fr-FR"/>
        </w:rPr>
        <w:t>’</w:t>
      </w:r>
      <w:r w:rsidRPr="000A1E00">
        <w:rPr>
          <w:lang w:val="fr-FR"/>
        </w:rPr>
        <w:t>Allemagne au sujet de la proposition 6, le Sous-Comité a relevé que d</w:t>
      </w:r>
      <w:r w:rsidR="000A1E00">
        <w:rPr>
          <w:lang w:val="fr-FR"/>
        </w:rPr>
        <w:t>’</w:t>
      </w:r>
      <w:r w:rsidRPr="000A1E00">
        <w:rPr>
          <w:lang w:val="fr-FR"/>
        </w:rPr>
        <w:t>autres normes dans le chapitre 6.2 pourraient avoir été remplacées par des versions plus récentes. Le représentant de l</w:t>
      </w:r>
      <w:r w:rsidR="000A1E00">
        <w:rPr>
          <w:lang w:val="fr-FR"/>
        </w:rPr>
        <w:t>’</w:t>
      </w:r>
      <w:r w:rsidRPr="000A1E00">
        <w:rPr>
          <w:lang w:val="fr-FR"/>
        </w:rPr>
        <w:t xml:space="preserve">ISO a bien voulu passer en revue tous les renvois dans ce chapitre et soumettre en vue de la prochaine session une proposition relative aux mises à jour requises. </w:t>
      </w:r>
    </w:p>
    <w:p w:rsidR="00286BDC" w:rsidRPr="000A1E00" w:rsidRDefault="00286BDC" w:rsidP="00A5213A">
      <w:pPr>
        <w:pStyle w:val="H23G"/>
        <w:rPr>
          <w:lang w:val="fr-FR"/>
        </w:rPr>
      </w:pPr>
      <w:r w:rsidRPr="000A1E00">
        <w:rPr>
          <w:lang w:val="fr-FR"/>
        </w:rPr>
        <w:tab/>
        <w:t>4.</w:t>
      </w:r>
      <w:r w:rsidRPr="000A1E00">
        <w:rPr>
          <w:lang w:val="fr-FR"/>
        </w:rPr>
        <w:tab/>
        <w:t>Mise à jour des valeurs de la CL</w:t>
      </w:r>
      <w:r w:rsidRPr="000A1E00">
        <w:rPr>
          <w:vertAlign w:val="subscript"/>
          <w:lang w:val="fr-FR"/>
        </w:rPr>
        <w:t>50</w:t>
      </w:r>
      <w:r w:rsidRPr="000A1E00">
        <w:rPr>
          <w:lang w:val="fr-FR"/>
        </w:rPr>
        <w:t xml:space="preserve"> dans l</w:t>
      </w:r>
      <w:r w:rsidR="000A1E00">
        <w:rPr>
          <w:lang w:val="fr-FR"/>
        </w:rPr>
        <w:t>’</w:t>
      </w:r>
      <w:r w:rsidRPr="000A1E00">
        <w:rPr>
          <w:lang w:val="fr-FR"/>
        </w:rPr>
        <w:t>instruction d</w:t>
      </w:r>
      <w:r w:rsidR="000A1E00">
        <w:rPr>
          <w:lang w:val="fr-FR"/>
        </w:rPr>
        <w:t>’</w:t>
      </w:r>
      <w:r w:rsidRPr="000A1E00">
        <w:rPr>
          <w:lang w:val="fr-FR"/>
        </w:rPr>
        <w:t>emballage P200</w:t>
      </w:r>
    </w:p>
    <w:p w:rsidR="00286BDC" w:rsidRPr="000A1E00" w:rsidRDefault="00286BDC" w:rsidP="00A5213A">
      <w:pPr>
        <w:pStyle w:val="SingleTxtG"/>
        <w:tabs>
          <w:tab w:val="left" w:pos="3119"/>
        </w:tabs>
        <w:rPr>
          <w:lang w:val="fr-FR"/>
        </w:rPr>
      </w:pPr>
      <w:r w:rsidRPr="000A1E00">
        <w:rPr>
          <w:i/>
          <w:iCs/>
          <w:lang w:val="fr-FR"/>
        </w:rPr>
        <w:t>Document</w:t>
      </w:r>
      <w:r w:rsidR="00A5213A" w:rsidRPr="000A1E00">
        <w:rPr>
          <w:i/>
          <w:iCs/>
          <w:lang w:val="fr-FR"/>
        </w:rPr>
        <w:t> </w:t>
      </w:r>
      <w:r w:rsidRPr="000A1E00">
        <w:rPr>
          <w:iCs/>
          <w:lang w:val="fr-FR"/>
        </w:rPr>
        <w:t>:</w:t>
      </w:r>
      <w:r w:rsidRPr="000A1E00">
        <w:rPr>
          <w:lang w:val="fr-FR"/>
        </w:rPr>
        <w:t xml:space="preserve"> </w:t>
      </w:r>
      <w:r w:rsidRPr="000A1E00">
        <w:rPr>
          <w:lang w:val="fr-FR"/>
        </w:rPr>
        <w:tab/>
        <w:t>ST/SG/AC.10/C.3/2018/24 (ISO)</w:t>
      </w:r>
      <w:r w:rsidR="00A5213A" w:rsidRPr="000A1E00">
        <w:rPr>
          <w:lang w:val="fr-FR"/>
        </w:rPr>
        <w:t>.</w:t>
      </w:r>
    </w:p>
    <w:p w:rsidR="00286BDC" w:rsidRPr="000A1E00" w:rsidRDefault="00286BDC" w:rsidP="00A5213A">
      <w:pPr>
        <w:pStyle w:val="SingleTxtG"/>
        <w:rPr>
          <w:lang w:val="fr-FR"/>
        </w:rPr>
      </w:pPr>
      <w:r w:rsidRPr="000A1E00">
        <w:rPr>
          <w:lang w:val="fr-FR"/>
        </w:rPr>
        <w:t>92.</w:t>
      </w:r>
      <w:r w:rsidRPr="000A1E00">
        <w:rPr>
          <w:lang w:val="fr-FR"/>
        </w:rPr>
        <w:tab/>
        <w:t>Le Sous-Comité a appuyé la proposition dans son principe. Toutefois, plusieurs experts ont estimé que des informations complémentaires sur les raisons ayant motivé le choix des valeurs proposées devaient être fournies avant qu</w:t>
      </w:r>
      <w:r w:rsidR="000A1E00">
        <w:rPr>
          <w:lang w:val="fr-FR"/>
        </w:rPr>
        <w:t>’</w:t>
      </w:r>
      <w:r w:rsidRPr="000A1E00">
        <w:rPr>
          <w:lang w:val="fr-FR"/>
        </w:rPr>
        <w:t xml:space="preserve">une décision puisse être prise. </w:t>
      </w:r>
    </w:p>
    <w:p w:rsidR="00286BDC" w:rsidRPr="000A1E00" w:rsidRDefault="00286BDC" w:rsidP="00A5213A">
      <w:pPr>
        <w:pStyle w:val="SingleTxtG"/>
        <w:rPr>
          <w:lang w:val="fr-FR"/>
        </w:rPr>
      </w:pPr>
      <w:r w:rsidRPr="000A1E00">
        <w:rPr>
          <w:lang w:val="fr-FR"/>
        </w:rPr>
        <w:t>93.</w:t>
      </w:r>
      <w:r w:rsidRPr="000A1E00">
        <w:rPr>
          <w:lang w:val="fr-FR"/>
        </w:rPr>
        <w:tab/>
        <w:t>Répondant à une question posée par l</w:t>
      </w:r>
      <w:r w:rsidR="000A1E00">
        <w:rPr>
          <w:lang w:val="fr-FR"/>
        </w:rPr>
        <w:t>’</w:t>
      </w:r>
      <w:r w:rsidRPr="000A1E00">
        <w:rPr>
          <w:lang w:val="fr-FR"/>
        </w:rPr>
        <w:t>expert de la Suisse au sujet de la pertinence de ces données dans le contexte de l</w:t>
      </w:r>
      <w:r w:rsidR="000A1E00">
        <w:rPr>
          <w:lang w:val="fr-FR"/>
        </w:rPr>
        <w:t>’</w:t>
      </w:r>
      <w:r w:rsidRPr="000A1E00">
        <w:rPr>
          <w:lang w:val="fr-FR"/>
        </w:rPr>
        <w:t>instruction d</w:t>
      </w:r>
      <w:r w:rsidR="000A1E00">
        <w:rPr>
          <w:lang w:val="fr-FR"/>
        </w:rPr>
        <w:t>’</w:t>
      </w:r>
      <w:r w:rsidRPr="000A1E00">
        <w:rPr>
          <w:lang w:val="fr-FR"/>
        </w:rPr>
        <w:t>emballage P200, plusieurs représentants de l</w:t>
      </w:r>
      <w:r w:rsidR="000A1E00">
        <w:rPr>
          <w:lang w:val="fr-FR"/>
        </w:rPr>
        <w:t>’</w:t>
      </w:r>
      <w:r w:rsidRPr="000A1E00">
        <w:rPr>
          <w:lang w:val="fr-FR"/>
        </w:rPr>
        <w:t>industrie ont indiqué que les valeurs de toxicité servaient entre autres à déterminer la toxicité des mélanges ou les conditions de manipulation et ont fait valoir qu</w:t>
      </w:r>
      <w:r w:rsidR="000A1E00">
        <w:rPr>
          <w:lang w:val="fr-FR"/>
        </w:rPr>
        <w:t>’</w:t>
      </w:r>
      <w:r w:rsidRPr="000A1E00">
        <w:rPr>
          <w:lang w:val="fr-FR"/>
        </w:rPr>
        <w:t>il ne fallait pas les supprimer.</w:t>
      </w:r>
    </w:p>
    <w:p w:rsidR="00286BDC" w:rsidRPr="000A1E00" w:rsidRDefault="00286BDC" w:rsidP="00A5213A">
      <w:pPr>
        <w:pStyle w:val="SingleTxtG"/>
        <w:rPr>
          <w:lang w:val="fr-FR"/>
        </w:rPr>
      </w:pPr>
      <w:r w:rsidRPr="000A1E00">
        <w:rPr>
          <w:lang w:val="fr-FR"/>
        </w:rPr>
        <w:t>94.</w:t>
      </w:r>
      <w:r w:rsidRPr="000A1E00">
        <w:rPr>
          <w:lang w:val="fr-FR"/>
        </w:rPr>
        <w:tab/>
        <w:t>Le représentant de l</w:t>
      </w:r>
      <w:r w:rsidR="000A1E00">
        <w:rPr>
          <w:lang w:val="fr-FR"/>
        </w:rPr>
        <w:t>’</w:t>
      </w:r>
      <w:r w:rsidRPr="000A1E00">
        <w:rPr>
          <w:lang w:val="fr-FR"/>
        </w:rPr>
        <w:t>ISO a retiré la proposition et a ajouté qu</w:t>
      </w:r>
      <w:r w:rsidR="000A1E00">
        <w:rPr>
          <w:lang w:val="fr-FR"/>
        </w:rPr>
        <w:t>’</w:t>
      </w:r>
      <w:r w:rsidRPr="000A1E00">
        <w:rPr>
          <w:lang w:val="fr-FR"/>
        </w:rPr>
        <w:t>il collaborerait avec l</w:t>
      </w:r>
      <w:r w:rsidR="000A1E00">
        <w:rPr>
          <w:lang w:val="fr-FR"/>
        </w:rPr>
        <w:t>’</w:t>
      </w:r>
      <w:r w:rsidRPr="000A1E00">
        <w:rPr>
          <w:lang w:val="fr-FR"/>
        </w:rPr>
        <w:t xml:space="preserve">EIGA et la CGA en vue de collecter les données demandées par le Sous-Comité et soumettrait un document révisé </w:t>
      </w:r>
      <w:r w:rsidR="00A5213A" w:rsidRPr="000A1E00">
        <w:rPr>
          <w:lang w:val="fr-FR"/>
        </w:rPr>
        <w:t>en vue de la prochaine session.</w:t>
      </w:r>
    </w:p>
    <w:p w:rsidR="00286BDC" w:rsidRPr="000A1E00" w:rsidRDefault="00286BDC" w:rsidP="00A5213A">
      <w:pPr>
        <w:pStyle w:val="H23G"/>
        <w:rPr>
          <w:lang w:val="fr-FR"/>
        </w:rPr>
      </w:pPr>
      <w:r w:rsidRPr="000A1E00">
        <w:rPr>
          <w:lang w:val="fr-FR"/>
        </w:rPr>
        <w:tab/>
        <w:t>5.</w:t>
      </w:r>
      <w:r w:rsidRPr="000A1E00">
        <w:rPr>
          <w:lang w:val="fr-FR"/>
        </w:rPr>
        <w:tab/>
        <w:t>Disposition relative au transport des cartou</w:t>
      </w:r>
      <w:r w:rsidR="00A5213A" w:rsidRPr="000A1E00">
        <w:rPr>
          <w:lang w:val="fr-FR"/>
        </w:rPr>
        <w:t>ches à gaz mises au rebut (No ONU </w:t>
      </w:r>
      <w:r w:rsidRPr="000A1E00">
        <w:rPr>
          <w:lang w:val="fr-FR"/>
        </w:rPr>
        <w:t>2037)</w:t>
      </w:r>
    </w:p>
    <w:p w:rsidR="00286BDC" w:rsidRPr="000A1E00" w:rsidRDefault="00286BDC" w:rsidP="00A5213A">
      <w:pPr>
        <w:pStyle w:val="SingleTxtG"/>
        <w:tabs>
          <w:tab w:val="left" w:pos="3119"/>
        </w:tabs>
        <w:rPr>
          <w:lang w:val="fr-FR"/>
        </w:rPr>
      </w:pPr>
      <w:r w:rsidRPr="000A1E00">
        <w:rPr>
          <w:i/>
          <w:iCs/>
          <w:lang w:val="fr-FR"/>
        </w:rPr>
        <w:t>Document</w:t>
      </w:r>
      <w:r w:rsidR="00A5213A" w:rsidRPr="000A1E00">
        <w:rPr>
          <w:i/>
          <w:iCs/>
          <w:lang w:val="fr-FR"/>
        </w:rPr>
        <w:t> </w:t>
      </w:r>
      <w:r w:rsidRPr="000A1E00">
        <w:rPr>
          <w:iCs/>
          <w:lang w:val="fr-FR"/>
        </w:rPr>
        <w:t>:</w:t>
      </w:r>
      <w:r w:rsidRPr="000A1E00">
        <w:rPr>
          <w:lang w:val="fr-FR"/>
        </w:rPr>
        <w:t xml:space="preserve"> </w:t>
      </w:r>
      <w:r w:rsidRPr="000A1E00">
        <w:rPr>
          <w:lang w:val="fr-FR"/>
        </w:rPr>
        <w:tab/>
        <w:t>ST/SG/AC.10/C.3/2018/36 (Irlande)</w:t>
      </w:r>
    </w:p>
    <w:p w:rsidR="00286BDC" w:rsidRPr="000A1E00" w:rsidRDefault="00286BDC" w:rsidP="00A5213A">
      <w:pPr>
        <w:pStyle w:val="SingleTxtG"/>
        <w:tabs>
          <w:tab w:val="left" w:pos="3119"/>
        </w:tabs>
        <w:rPr>
          <w:lang w:val="fr-FR"/>
        </w:rPr>
      </w:pPr>
      <w:r w:rsidRPr="000A1E00">
        <w:rPr>
          <w:i/>
          <w:lang w:val="fr-FR"/>
        </w:rPr>
        <w:t>Document informel</w:t>
      </w:r>
      <w:r w:rsidR="00A5213A" w:rsidRPr="000A1E00">
        <w:rPr>
          <w:lang w:val="fr-FR"/>
        </w:rPr>
        <w:t> </w:t>
      </w:r>
      <w:r w:rsidRPr="000A1E00">
        <w:rPr>
          <w:lang w:val="fr-FR"/>
        </w:rPr>
        <w:t>:</w:t>
      </w:r>
      <w:r w:rsidRPr="000A1E00">
        <w:rPr>
          <w:lang w:val="fr-FR"/>
        </w:rPr>
        <w:tab/>
        <w:t>INF.42 (ECMA)</w:t>
      </w:r>
      <w:r w:rsidR="00A5213A" w:rsidRPr="000A1E00">
        <w:rPr>
          <w:lang w:val="fr-FR"/>
        </w:rPr>
        <w:t>.</w:t>
      </w:r>
    </w:p>
    <w:p w:rsidR="00286BDC" w:rsidRPr="000A1E00" w:rsidRDefault="00286BDC" w:rsidP="00A5213A">
      <w:pPr>
        <w:pStyle w:val="SingleTxtG"/>
        <w:rPr>
          <w:lang w:val="fr-FR"/>
        </w:rPr>
      </w:pPr>
      <w:r w:rsidRPr="000A1E00">
        <w:rPr>
          <w:lang w:val="fr-FR"/>
        </w:rPr>
        <w:t>95.</w:t>
      </w:r>
      <w:r w:rsidRPr="000A1E00">
        <w:rPr>
          <w:lang w:val="fr-FR"/>
        </w:rPr>
        <w:tab/>
        <w:t>Un appui de principe a été apporté à la proposition correspondant à l</w:t>
      </w:r>
      <w:r w:rsidR="000A1E00">
        <w:rPr>
          <w:lang w:val="fr-FR"/>
        </w:rPr>
        <w:t>’</w:t>
      </w:r>
      <w:r w:rsidRPr="000A1E00">
        <w:rPr>
          <w:lang w:val="fr-FR"/>
        </w:rPr>
        <w:t>option 2 dans le document ST/SG/AC.10/C.3/2018/36. Cependant, plusieurs experts ont signalé que des améliorations devaient être apportées au texte avant qu</w:t>
      </w:r>
      <w:r w:rsidR="000A1E00">
        <w:rPr>
          <w:lang w:val="fr-FR"/>
        </w:rPr>
        <w:t>’</w:t>
      </w:r>
      <w:r w:rsidRPr="000A1E00">
        <w:rPr>
          <w:lang w:val="fr-FR"/>
        </w:rPr>
        <w:t>il puisse être adopté, notamment</w:t>
      </w:r>
      <w:r w:rsidR="00A5213A" w:rsidRPr="000A1E00">
        <w:rPr>
          <w:lang w:val="fr-FR"/>
        </w:rPr>
        <w:t> </w:t>
      </w:r>
      <w:r w:rsidRPr="000A1E00">
        <w:rPr>
          <w:lang w:val="fr-FR"/>
        </w:rPr>
        <w:t>: éviter toute erreur d</w:t>
      </w:r>
      <w:r w:rsidR="000A1E00">
        <w:rPr>
          <w:lang w:val="fr-FR"/>
        </w:rPr>
        <w:t>’</w:t>
      </w:r>
      <w:r w:rsidRPr="000A1E00">
        <w:rPr>
          <w:lang w:val="fr-FR"/>
        </w:rPr>
        <w:t>interprétation du texte de la disposition spéciale d</w:t>
      </w:r>
      <w:r w:rsidR="000A1E00">
        <w:rPr>
          <w:lang w:val="fr-FR"/>
        </w:rPr>
        <w:t>’</w:t>
      </w:r>
      <w:r w:rsidRPr="000A1E00">
        <w:rPr>
          <w:lang w:val="fr-FR"/>
        </w:rPr>
        <w:t>emballage L2 s</w:t>
      </w:r>
      <w:r w:rsidR="000A1E00">
        <w:rPr>
          <w:lang w:val="fr-FR"/>
        </w:rPr>
        <w:t>’</w:t>
      </w:r>
      <w:r w:rsidRPr="000A1E00">
        <w:rPr>
          <w:lang w:val="fr-FR"/>
        </w:rPr>
        <w:t>agissant de la prescription pour un m</w:t>
      </w:r>
      <w:r w:rsidR="00A5213A" w:rsidRPr="000A1E00">
        <w:rPr>
          <w:lang w:val="fr-FR"/>
        </w:rPr>
        <w:t>atériau absorbant </w:t>
      </w:r>
      <w:r w:rsidRPr="000A1E00">
        <w:rPr>
          <w:lang w:val="fr-FR"/>
        </w:rPr>
        <w:t>; envisager d</w:t>
      </w:r>
      <w:r w:rsidR="000A1E00">
        <w:rPr>
          <w:lang w:val="fr-FR"/>
        </w:rPr>
        <w:t>’</w:t>
      </w:r>
      <w:r w:rsidRPr="000A1E00">
        <w:rPr>
          <w:lang w:val="fr-FR"/>
        </w:rPr>
        <w:t>ajouter une référence aux emballages de secours sous pression</w:t>
      </w:r>
      <w:r w:rsidR="00A5213A" w:rsidRPr="000A1E00">
        <w:rPr>
          <w:lang w:val="fr-FR"/>
        </w:rPr>
        <w:t> </w:t>
      </w:r>
      <w:r w:rsidRPr="000A1E00">
        <w:rPr>
          <w:lang w:val="fr-FR"/>
        </w:rPr>
        <w:t>; et modifier la version actuelle de la disposition PP87 plutôt que d</w:t>
      </w:r>
      <w:r w:rsidR="000A1E00">
        <w:rPr>
          <w:lang w:val="fr-FR"/>
        </w:rPr>
        <w:t>’</w:t>
      </w:r>
      <w:r w:rsidRPr="000A1E00">
        <w:rPr>
          <w:lang w:val="fr-FR"/>
        </w:rPr>
        <w:t>introduire une nouvelle di</w:t>
      </w:r>
      <w:r w:rsidR="00A5213A" w:rsidRPr="000A1E00">
        <w:rPr>
          <w:lang w:val="fr-FR"/>
        </w:rPr>
        <w:t>sposition spéciale d</w:t>
      </w:r>
      <w:r w:rsidR="000A1E00">
        <w:rPr>
          <w:lang w:val="fr-FR"/>
        </w:rPr>
        <w:t>’</w:t>
      </w:r>
      <w:r w:rsidR="00A5213A" w:rsidRPr="000A1E00">
        <w:rPr>
          <w:lang w:val="fr-FR"/>
        </w:rPr>
        <w:t>emballage.</w:t>
      </w:r>
    </w:p>
    <w:p w:rsidR="00286BDC" w:rsidRPr="000A1E00" w:rsidRDefault="00286BDC" w:rsidP="00A5213A">
      <w:pPr>
        <w:pStyle w:val="SingleTxtG"/>
        <w:rPr>
          <w:lang w:val="fr-FR"/>
        </w:rPr>
      </w:pPr>
      <w:r w:rsidRPr="000A1E00">
        <w:rPr>
          <w:lang w:val="fr-FR"/>
        </w:rPr>
        <w:t>96.</w:t>
      </w:r>
      <w:r w:rsidRPr="000A1E00">
        <w:rPr>
          <w:lang w:val="fr-FR"/>
        </w:rPr>
        <w:tab/>
        <w:t>S</w:t>
      </w:r>
      <w:r w:rsidR="000A1E00">
        <w:rPr>
          <w:lang w:val="fr-FR"/>
        </w:rPr>
        <w:t>’</w:t>
      </w:r>
      <w:r w:rsidRPr="000A1E00">
        <w:rPr>
          <w:lang w:val="fr-FR"/>
        </w:rPr>
        <w:t>agissant du document informel INF.42, le Sous-Comité a estimé que les petits récipients perforés contenant du gaz (cartouches à gaz) vidés de façon automatique n</w:t>
      </w:r>
      <w:r w:rsidR="000A1E00">
        <w:rPr>
          <w:lang w:val="fr-FR"/>
        </w:rPr>
        <w:t>’</w:t>
      </w:r>
      <w:r w:rsidRPr="000A1E00">
        <w:rPr>
          <w:lang w:val="fr-FR"/>
        </w:rPr>
        <w:t>entraient pas dans le champ d</w:t>
      </w:r>
      <w:r w:rsidR="000A1E00">
        <w:rPr>
          <w:lang w:val="fr-FR"/>
        </w:rPr>
        <w:t>’</w:t>
      </w:r>
      <w:r w:rsidRPr="000A1E00">
        <w:rPr>
          <w:lang w:val="fr-FR"/>
        </w:rPr>
        <w:t>application du règlement. Il a par conséquent conclu que le texte d</w:t>
      </w:r>
      <w:r w:rsidR="000A1E00">
        <w:rPr>
          <w:lang w:val="fr-FR"/>
        </w:rPr>
        <w:t>’</w:t>
      </w:r>
      <w:r w:rsidRPr="000A1E00">
        <w:rPr>
          <w:lang w:val="fr-FR"/>
        </w:rPr>
        <w:t>explication proposé pour la disposition spéciale 327 était superflu.</w:t>
      </w:r>
    </w:p>
    <w:p w:rsidR="00286BDC" w:rsidRPr="000A1E00" w:rsidRDefault="00286BDC" w:rsidP="00A5213A">
      <w:pPr>
        <w:pStyle w:val="SingleTxtG"/>
        <w:rPr>
          <w:lang w:val="fr-FR"/>
        </w:rPr>
      </w:pPr>
      <w:r w:rsidRPr="000A1E00">
        <w:rPr>
          <w:lang w:val="fr-FR"/>
        </w:rPr>
        <w:t>97.</w:t>
      </w:r>
      <w:r w:rsidRPr="000A1E00">
        <w:rPr>
          <w:lang w:val="fr-FR"/>
        </w:rPr>
        <w:tab/>
        <w:t>L</w:t>
      </w:r>
      <w:r w:rsidR="000A1E00">
        <w:rPr>
          <w:lang w:val="fr-FR"/>
        </w:rPr>
        <w:t>’</w:t>
      </w:r>
      <w:r w:rsidRPr="000A1E00">
        <w:rPr>
          <w:lang w:val="fr-FR"/>
        </w:rPr>
        <w:t>observatrice de l</w:t>
      </w:r>
      <w:r w:rsidR="000A1E00">
        <w:rPr>
          <w:lang w:val="fr-FR"/>
        </w:rPr>
        <w:t>’</w:t>
      </w:r>
      <w:r w:rsidRPr="000A1E00">
        <w:rPr>
          <w:lang w:val="fr-FR"/>
        </w:rPr>
        <w:t>Irlande a dit qu</w:t>
      </w:r>
      <w:r w:rsidR="000A1E00">
        <w:rPr>
          <w:lang w:val="fr-FR"/>
        </w:rPr>
        <w:t>’</w:t>
      </w:r>
      <w:r w:rsidRPr="000A1E00">
        <w:rPr>
          <w:lang w:val="fr-FR"/>
        </w:rPr>
        <w:t xml:space="preserve">elle soumettrait pour la session suivante une proposition révisée tenant compte des commentaires qui avaient été faits. </w:t>
      </w:r>
    </w:p>
    <w:p w:rsidR="00286BDC" w:rsidRPr="000A1E00" w:rsidRDefault="00286BDC" w:rsidP="00A5213A">
      <w:pPr>
        <w:pStyle w:val="H23G"/>
        <w:rPr>
          <w:lang w:val="fr-FR"/>
        </w:rPr>
      </w:pPr>
      <w:r w:rsidRPr="000A1E00">
        <w:rPr>
          <w:lang w:val="fr-FR"/>
        </w:rPr>
        <w:tab/>
        <w:t>6.</w:t>
      </w:r>
      <w:r w:rsidRPr="000A1E00">
        <w:rPr>
          <w:lang w:val="fr-FR"/>
        </w:rPr>
        <w:tab/>
        <w:t xml:space="preserve">Incidents concernant des bouteilles composites sans liner fabriquées </w:t>
      </w:r>
      <w:r w:rsidR="00A5213A" w:rsidRPr="000A1E00">
        <w:rPr>
          <w:lang w:val="fr-FR"/>
        </w:rPr>
        <w:br/>
      </w:r>
      <w:r w:rsidRPr="000A1E00">
        <w:rPr>
          <w:lang w:val="fr-FR"/>
        </w:rPr>
        <w:t>à partir de deux pièces jointes</w:t>
      </w:r>
    </w:p>
    <w:p w:rsidR="00286BDC" w:rsidRPr="000A1E00" w:rsidRDefault="00286BDC" w:rsidP="00A5213A">
      <w:pPr>
        <w:pStyle w:val="SingleTxtG"/>
        <w:tabs>
          <w:tab w:val="left" w:pos="3119"/>
        </w:tabs>
        <w:rPr>
          <w:lang w:val="fr-FR"/>
        </w:rPr>
      </w:pPr>
      <w:r w:rsidRPr="000A1E00">
        <w:rPr>
          <w:i/>
          <w:lang w:val="fr-FR"/>
        </w:rPr>
        <w:t>Document informel</w:t>
      </w:r>
      <w:r w:rsidR="00A5213A" w:rsidRPr="000A1E00">
        <w:rPr>
          <w:lang w:val="fr-FR"/>
        </w:rPr>
        <w:t> </w:t>
      </w:r>
      <w:r w:rsidRPr="000A1E00">
        <w:rPr>
          <w:lang w:val="fr-FR"/>
        </w:rPr>
        <w:t>:</w:t>
      </w:r>
      <w:r w:rsidRPr="000A1E00">
        <w:rPr>
          <w:lang w:val="fr-FR"/>
        </w:rPr>
        <w:tab/>
        <w:t>INF.10 (ISO)</w:t>
      </w:r>
      <w:r w:rsidR="00A5213A" w:rsidRPr="000A1E00">
        <w:rPr>
          <w:lang w:val="fr-FR"/>
        </w:rPr>
        <w:t>.</w:t>
      </w:r>
    </w:p>
    <w:p w:rsidR="00286BDC" w:rsidRPr="000A1E00" w:rsidRDefault="00286BDC" w:rsidP="00A5213A">
      <w:pPr>
        <w:pStyle w:val="SingleTxtG"/>
        <w:rPr>
          <w:lang w:val="fr-FR"/>
        </w:rPr>
      </w:pPr>
      <w:r w:rsidRPr="000A1E00">
        <w:rPr>
          <w:lang w:val="fr-FR"/>
        </w:rPr>
        <w:t>98.</w:t>
      </w:r>
      <w:r w:rsidRPr="000A1E00">
        <w:rPr>
          <w:lang w:val="fr-FR"/>
        </w:rPr>
        <w:tab/>
        <w:t>Le Sous-Comité a adopté entre crochets, moyennant quelques modifications, les propositions formulées dans le document informel INF.10, pour confirmation à sa prochaine session (voir l</w:t>
      </w:r>
      <w:r w:rsidR="000A1E00">
        <w:rPr>
          <w:lang w:val="fr-FR"/>
        </w:rPr>
        <w:t>’</w:t>
      </w:r>
      <w:r w:rsidRPr="000A1E00">
        <w:rPr>
          <w:lang w:val="fr-FR"/>
        </w:rPr>
        <w:t>annexe I).</w:t>
      </w:r>
    </w:p>
    <w:p w:rsidR="00286BDC" w:rsidRPr="000A1E00" w:rsidRDefault="00286BDC" w:rsidP="00A5213A">
      <w:pPr>
        <w:pStyle w:val="H23G"/>
        <w:rPr>
          <w:lang w:val="fr-FR"/>
        </w:rPr>
      </w:pPr>
      <w:r w:rsidRPr="000A1E00">
        <w:rPr>
          <w:lang w:val="fr-FR"/>
        </w:rPr>
        <w:tab/>
        <w:t>7.</w:t>
      </w:r>
      <w:r w:rsidRPr="000A1E00">
        <w:rPr>
          <w:lang w:val="fr-FR"/>
        </w:rPr>
        <w:tab/>
        <w:t>Modification de l</w:t>
      </w:r>
      <w:r w:rsidR="000A1E00">
        <w:rPr>
          <w:lang w:val="fr-FR"/>
        </w:rPr>
        <w:t>’</w:t>
      </w:r>
      <w:r w:rsidRPr="000A1E00">
        <w:rPr>
          <w:lang w:val="fr-FR"/>
        </w:rPr>
        <w:t>instruction d</w:t>
      </w:r>
      <w:r w:rsidR="000A1E00">
        <w:rPr>
          <w:lang w:val="fr-FR"/>
        </w:rPr>
        <w:t>’</w:t>
      </w:r>
      <w:r w:rsidRPr="000A1E00">
        <w:rPr>
          <w:lang w:val="fr-FR"/>
        </w:rPr>
        <w:t>emballage P206 relative aux systèmes d</w:t>
      </w:r>
      <w:r w:rsidR="000A1E00">
        <w:rPr>
          <w:lang w:val="fr-FR"/>
        </w:rPr>
        <w:t>’</w:t>
      </w:r>
      <w:r w:rsidRPr="000A1E00">
        <w:rPr>
          <w:lang w:val="fr-FR"/>
        </w:rPr>
        <w:t xml:space="preserve">extinction </w:t>
      </w:r>
      <w:r w:rsidR="00A5213A" w:rsidRPr="000A1E00">
        <w:rPr>
          <w:lang w:val="fr-FR"/>
        </w:rPr>
        <w:br/>
      </w:r>
      <w:r w:rsidRPr="000A1E00">
        <w:rPr>
          <w:lang w:val="fr-FR"/>
        </w:rPr>
        <w:t>de feu par gaz</w:t>
      </w:r>
    </w:p>
    <w:p w:rsidR="00286BDC" w:rsidRPr="000A1E00" w:rsidRDefault="00286BDC" w:rsidP="00A5213A">
      <w:pPr>
        <w:pStyle w:val="SingleTxtG"/>
        <w:tabs>
          <w:tab w:val="left" w:pos="3119"/>
        </w:tabs>
        <w:rPr>
          <w:lang w:val="fr-FR"/>
        </w:rPr>
      </w:pPr>
      <w:r w:rsidRPr="000A1E00">
        <w:rPr>
          <w:i/>
          <w:lang w:val="fr-FR"/>
        </w:rPr>
        <w:t>Document informel</w:t>
      </w:r>
      <w:r w:rsidR="00A5213A" w:rsidRPr="000A1E00">
        <w:rPr>
          <w:lang w:val="fr-FR"/>
        </w:rPr>
        <w:t> </w:t>
      </w:r>
      <w:r w:rsidRPr="000A1E00">
        <w:rPr>
          <w:lang w:val="fr-FR"/>
        </w:rPr>
        <w:t>:</w:t>
      </w:r>
      <w:r w:rsidRPr="000A1E00">
        <w:rPr>
          <w:lang w:val="fr-FR"/>
        </w:rPr>
        <w:tab/>
        <w:t>INF.11 (CEFIC)</w:t>
      </w:r>
      <w:r w:rsidR="00A5213A" w:rsidRPr="000A1E00">
        <w:rPr>
          <w:lang w:val="fr-FR"/>
        </w:rPr>
        <w:t>.</w:t>
      </w:r>
    </w:p>
    <w:p w:rsidR="00286BDC" w:rsidRPr="000A1E00" w:rsidRDefault="00286BDC" w:rsidP="00A5213A">
      <w:pPr>
        <w:pStyle w:val="SingleTxtG"/>
        <w:rPr>
          <w:lang w:val="fr-FR"/>
        </w:rPr>
      </w:pPr>
      <w:r w:rsidRPr="000A1E00">
        <w:rPr>
          <w:lang w:val="fr-FR"/>
        </w:rPr>
        <w:t>99.</w:t>
      </w:r>
      <w:r w:rsidRPr="000A1E00">
        <w:rPr>
          <w:lang w:val="fr-FR"/>
        </w:rPr>
        <w:tab/>
        <w:t>L</w:t>
      </w:r>
      <w:r w:rsidR="000A1E00">
        <w:rPr>
          <w:lang w:val="fr-FR"/>
        </w:rPr>
        <w:t>’</w:t>
      </w:r>
      <w:r w:rsidRPr="000A1E00">
        <w:rPr>
          <w:lang w:val="fr-FR"/>
        </w:rPr>
        <w:t>idée de rétablir une périodicité de dix ans pour l</w:t>
      </w:r>
      <w:r w:rsidR="000A1E00">
        <w:rPr>
          <w:lang w:val="fr-FR"/>
        </w:rPr>
        <w:t>’</w:t>
      </w:r>
      <w:r w:rsidRPr="000A1E00">
        <w:rPr>
          <w:lang w:val="fr-FR"/>
        </w:rPr>
        <w:t>inspection périodique pour le numéro ONU 3500 a bien fait l</w:t>
      </w:r>
      <w:r w:rsidR="000A1E00">
        <w:rPr>
          <w:lang w:val="fr-FR"/>
        </w:rPr>
        <w:t>’</w:t>
      </w:r>
      <w:r w:rsidRPr="000A1E00">
        <w:rPr>
          <w:lang w:val="fr-FR"/>
        </w:rPr>
        <w:t>objet d</w:t>
      </w:r>
      <w:r w:rsidR="000A1E00">
        <w:rPr>
          <w:lang w:val="fr-FR"/>
        </w:rPr>
        <w:t>’</w:t>
      </w:r>
      <w:r w:rsidRPr="000A1E00">
        <w:rPr>
          <w:lang w:val="fr-FR"/>
        </w:rPr>
        <w:t>un accord de principe, mais le Sous-Comité n</w:t>
      </w:r>
      <w:r w:rsidR="000A1E00">
        <w:rPr>
          <w:lang w:val="fr-FR"/>
        </w:rPr>
        <w:t>’</w:t>
      </w:r>
      <w:r w:rsidRPr="000A1E00">
        <w:rPr>
          <w:lang w:val="fr-FR"/>
        </w:rPr>
        <w:t>a pas pu parvenir à un consensus sur les solutions proposées. Le représentant du CEFIC a été invité à tenir compte des observations formulées et à soumettre une proposition révisée à la session suivante.</w:t>
      </w:r>
    </w:p>
    <w:p w:rsidR="00286BDC" w:rsidRPr="000A1E00" w:rsidRDefault="00286BDC" w:rsidP="00A5213A">
      <w:pPr>
        <w:pStyle w:val="HChG"/>
        <w:rPr>
          <w:lang w:val="fr-FR"/>
        </w:rPr>
      </w:pPr>
      <w:r w:rsidRPr="000A1E00">
        <w:rPr>
          <w:lang w:val="fr-FR"/>
        </w:rPr>
        <w:tab/>
        <w:t>VIII.</w:t>
      </w:r>
      <w:r w:rsidRPr="000A1E00">
        <w:rPr>
          <w:lang w:val="fr-FR"/>
        </w:rPr>
        <w:tab/>
        <w:t>Propositions diverses d</w:t>
      </w:r>
      <w:r w:rsidR="000A1E00">
        <w:rPr>
          <w:lang w:val="fr-FR"/>
        </w:rPr>
        <w:t>’</w:t>
      </w:r>
      <w:r w:rsidRPr="000A1E00">
        <w:rPr>
          <w:lang w:val="fr-FR"/>
        </w:rPr>
        <w:t xml:space="preserve">amendements au Règlement type pour le transport des marchandises dangereuses </w:t>
      </w:r>
      <w:r w:rsidR="00A5213A" w:rsidRPr="000A1E00">
        <w:rPr>
          <w:lang w:val="fr-FR"/>
        </w:rPr>
        <w:br/>
      </w:r>
      <w:r w:rsidRPr="000A1E00">
        <w:rPr>
          <w:lang w:val="fr-FR"/>
        </w:rPr>
        <w:t>(point 6 de l</w:t>
      </w:r>
      <w:r w:rsidR="000A1E00">
        <w:rPr>
          <w:lang w:val="fr-FR"/>
        </w:rPr>
        <w:t>’</w:t>
      </w:r>
      <w:r w:rsidRPr="000A1E00">
        <w:rPr>
          <w:lang w:val="fr-FR"/>
        </w:rPr>
        <w:t>ordre du jour)</w:t>
      </w:r>
    </w:p>
    <w:p w:rsidR="00286BDC" w:rsidRPr="000A1E00" w:rsidRDefault="00286BDC" w:rsidP="00A5213A">
      <w:pPr>
        <w:pStyle w:val="H1G"/>
        <w:rPr>
          <w:lang w:val="fr-FR"/>
        </w:rPr>
      </w:pPr>
      <w:r w:rsidRPr="000A1E00">
        <w:rPr>
          <w:lang w:val="fr-FR"/>
        </w:rPr>
        <w:tab/>
        <w:t>A.</w:t>
      </w:r>
      <w:r w:rsidRPr="000A1E00">
        <w:rPr>
          <w:lang w:val="fr-FR"/>
        </w:rPr>
        <w:tab/>
        <w:t>Marquage et étiquetage</w:t>
      </w:r>
    </w:p>
    <w:p w:rsidR="00286BDC" w:rsidRPr="000A1E00" w:rsidRDefault="00286BDC" w:rsidP="00A5213A">
      <w:pPr>
        <w:pStyle w:val="H23G"/>
        <w:rPr>
          <w:lang w:val="fr-FR"/>
        </w:rPr>
      </w:pPr>
      <w:r w:rsidRPr="000A1E00">
        <w:rPr>
          <w:lang w:val="fr-FR"/>
        </w:rPr>
        <w:tab/>
        <w:t>1.</w:t>
      </w:r>
      <w:r w:rsidRPr="000A1E00">
        <w:rPr>
          <w:lang w:val="fr-FR"/>
        </w:rPr>
        <w:tab/>
        <w:t>Couleur de la marque pour les matières transportées à chaud selon le 5.3.2.2</w:t>
      </w:r>
    </w:p>
    <w:p w:rsidR="00286BDC" w:rsidRPr="000A1E00" w:rsidRDefault="00286BDC" w:rsidP="00286BDC">
      <w:pPr>
        <w:pStyle w:val="SingleTxtG"/>
        <w:tabs>
          <w:tab w:val="left" w:pos="3119"/>
        </w:tabs>
        <w:rPr>
          <w:lang w:val="fr-FR"/>
        </w:rPr>
      </w:pPr>
      <w:r w:rsidRPr="000A1E00">
        <w:rPr>
          <w:i/>
          <w:iCs/>
          <w:lang w:val="fr-FR"/>
        </w:rPr>
        <w:t>Document</w:t>
      </w:r>
      <w:r w:rsidR="00A5213A" w:rsidRPr="000A1E00">
        <w:rPr>
          <w:i/>
          <w:iCs/>
          <w:lang w:val="fr-FR"/>
        </w:rPr>
        <w:t> </w:t>
      </w:r>
      <w:r w:rsidRPr="000A1E00">
        <w:rPr>
          <w:iCs/>
          <w:lang w:val="fr-FR"/>
        </w:rPr>
        <w:t>:</w:t>
      </w:r>
      <w:r w:rsidRPr="000A1E00">
        <w:rPr>
          <w:lang w:val="fr-FR"/>
        </w:rPr>
        <w:t xml:space="preserve"> </w:t>
      </w:r>
      <w:r w:rsidRPr="000A1E00">
        <w:rPr>
          <w:lang w:val="fr-FR"/>
        </w:rPr>
        <w:tab/>
        <w:t>ST/SG/AC.10/C.3/2018/10 (France)</w:t>
      </w:r>
      <w:r w:rsidR="00A5213A" w:rsidRPr="000A1E00">
        <w:rPr>
          <w:lang w:val="fr-FR"/>
        </w:rPr>
        <w:t>.</w:t>
      </w:r>
    </w:p>
    <w:p w:rsidR="00286BDC" w:rsidRPr="000A1E00" w:rsidRDefault="00286BDC" w:rsidP="00286BDC">
      <w:pPr>
        <w:pStyle w:val="SingleTxtG"/>
        <w:tabs>
          <w:tab w:val="left" w:pos="1701"/>
          <w:tab w:val="left" w:pos="2977"/>
        </w:tabs>
        <w:rPr>
          <w:lang w:val="fr-FR"/>
        </w:rPr>
      </w:pPr>
      <w:r w:rsidRPr="000A1E00">
        <w:rPr>
          <w:lang w:val="fr-FR"/>
        </w:rPr>
        <w:t>100.</w:t>
      </w:r>
      <w:r w:rsidRPr="000A1E00">
        <w:rPr>
          <w:lang w:val="fr-FR"/>
        </w:rPr>
        <w:tab/>
        <w:t>Le Sous-Comité a adopté la correction du texte français du 5.3.2.2 proposée au paragraphe 5 du document (voir l</w:t>
      </w:r>
      <w:r w:rsidR="000A1E00">
        <w:rPr>
          <w:lang w:val="fr-FR"/>
        </w:rPr>
        <w:t>’</w:t>
      </w:r>
      <w:r w:rsidRPr="000A1E00">
        <w:rPr>
          <w:lang w:val="fr-FR"/>
        </w:rPr>
        <w:t>annexe III).</w:t>
      </w:r>
    </w:p>
    <w:p w:rsidR="00286BDC" w:rsidRPr="000A1E00" w:rsidRDefault="00286BDC" w:rsidP="00A5213A">
      <w:pPr>
        <w:pStyle w:val="H23G"/>
        <w:rPr>
          <w:lang w:val="fr-FR"/>
        </w:rPr>
      </w:pPr>
      <w:r w:rsidRPr="000A1E00">
        <w:rPr>
          <w:lang w:val="fr-FR"/>
        </w:rPr>
        <w:tab/>
        <w:t>2.</w:t>
      </w:r>
      <w:r w:rsidRPr="000A1E00">
        <w:rPr>
          <w:lang w:val="fr-FR"/>
        </w:rPr>
        <w:tab/>
        <w:t>Modifications à la disposition spéciale 363</w:t>
      </w:r>
    </w:p>
    <w:p w:rsidR="00286BDC" w:rsidRPr="000A1E00" w:rsidRDefault="00286BDC" w:rsidP="00286BDC">
      <w:pPr>
        <w:pStyle w:val="SingleTxtG"/>
        <w:tabs>
          <w:tab w:val="left" w:pos="3119"/>
        </w:tabs>
        <w:rPr>
          <w:lang w:val="fr-FR"/>
        </w:rPr>
      </w:pPr>
      <w:r w:rsidRPr="000A1E00">
        <w:rPr>
          <w:i/>
          <w:iCs/>
          <w:lang w:val="fr-FR"/>
        </w:rPr>
        <w:t>Document</w:t>
      </w:r>
      <w:r w:rsidR="00A5213A" w:rsidRPr="000A1E00">
        <w:rPr>
          <w:i/>
          <w:iCs/>
          <w:lang w:val="fr-FR"/>
        </w:rPr>
        <w:t> </w:t>
      </w:r>
      <w:r w:rsidRPr="000A1E00">
        <w:rPr>
          <w:iCs/>
          <w:lang w:val="fr-FR"/>
        </w:rPr>
        <w:t>:</w:t>
      </w:r>
      <w:r w:rsidRPr="000A1E00">
        <w:rPr>
          <w:lang w:val="fr-FR"/>
        </w:rPr>
        <w:t xml:space="preserve"> </w:t>
      </w:r>
      <w:r w:rsidRPr="000A1E00">
        <w:rPr>
          <w:lang w:val="fr-FR"/>
        </w:rPr>
        <w:tab/>
        <w:t>ST/SG/AC.10/C.3/2018/19 (Allemagne)</w:t>
      </w:r>
      <w:r w:rsidR="00A5213A" w:rsidRPr="000A1E00">
        <w:rPr>
          <w:lang w:val="fr-FR"/>
        </w:rPr>
        <w:t>.</w:t>
      </w:r>
    </w:p>
    <w:p w:rsidR="00286BDC" w:rsidRPr="000A1E00" w:rsidRDefault="00286BDC" w:rsidP="00A5213A">
      <w:pPr>
        <w:pStyle w:val="SingleTxtG"/>
        <w:rPr>
          <w:lang w:val="fr-FR"/>
        </w:rPr>
      </w:pPr>
      <w:r w:rsidRPr="000A1E00">
        <w:rPr>
          <w:lang w:val="fr-FR"/>
        </w:rPr>
        <w:t>101.</w:t>
      </w:r>
      <w:r w:rsidRPr="000A1E00">
        <w:rPr>
          <w:lang w:val="fr-FR"/>
        </w:rPr>
        <w:tab/>
        <w:t>Le Sous-Comité a jugé que les modifications proposées permettraient de mieux comprendre les dispositions relatives aux plaques-étiquettes et les a adoptées telles que formulées aux paragraphes 4 et 5 du document (voir l</w:t>
      </w:r>
      <w:r w:rsidR="000A1E00">
        <w:rPr>
          <w:lang w:val="fr-FR"/>
        </w:rPr>
        <w:t>’</w:t>
      </w:r>
      <w:r w:rsidRPr="000A1E00">
        <w:rPr>
          <w:lang w:val="fr-FR"/>
        </w:rPr>
        <w:t>annexe I).</w:t>
      </w:r>
    </w:p>
    <w:p w:rsidR="00286BDC" w:rsidRPr="000A1E00" w:rsidRDefault="00286BDC" w:rsidP="00A5213A">
      <w:pPr>
        <w:pStyle w:val="H23G"/>
        <w:rPr>
          <w:lang w:val="fr-FR"/>
        </w:rPr>
      </w:pPr>
      <w:r w:rsidRPr="000A1E00">
        <w:rPr>
          <w:lang w:val="fr-FR"/>
        </w:rPr>
        <w:tab/>
        <w:t>3.</w:t>
      </w:r>
      <w:r w:rsidRPr="000A1E00">
        <w:rPr>
          <w:lang w:val="fr-FR"/>
        </w:rPr>
        <w:tab/>
        <w:t>Description de l</w:t>
      </w:r>
      <w:r w:rsidR="000A1E00">
        <w:rPr>
          <w:lang w:val="fr-FR"/>
        </w:rPr>
        <w:t>’</w:t>
      </w:r>
      <w:r w:rsidRPr="000A1E00">
        <w:rPr>
          <w:lang w:val="fr-FR"/>
        </w:rPr>
        <w:t>étiquette n</w:t>
      </w:r>
      <w:r w:rsidRPr="000A1E00">
        <w:rPr>
          <w:vertAlign w:val="superscript"/>
          <w:lang w:val="fr-FR"/>
        </w:rPr>
        <w:t>o</w:t>
      </w:r>
      <w:r w:rsidRPr="000A1E00">
        <w:rPr>
          <w:lang w:val="fr-FR"/>
        </w:rPr>
        <w:t xml:space="preserve"> 9A</w:t>
      </w:r>
    </w:p>
    <w:p w:rsidR="00286BDC" w:rsidRPr="000A1E00" w:rsidRDefault="00286BDC" w:rsidP="00A5213A">
      <w:pPr>
        <w:pStyle w:val="SingleTxtG"/>
        <w:tabs>
          <w:tab w:val="left" w:pos="3119"/>
        </w:tabs>
        <w:rPr>
          <w:lang w:val="fr-FR"/>
        </w:rPr>
      </w:pPr>
      <w:r w:rsidRPr="000A1E00">
        <w:rPr>
          <w:i/>
          <w:iCs/>
          <w:lang w:val="fr-FR"/>
        </w:rPr>
        <w:t>Document informel</w:t>
      </w:r>
      <w:r w:rsidR="00A5213A" w:rsidRPr="000A1E00">
        <w:rPr>
          <w:i/>
          <w:iCs/>
          <w:lang w:val="fr-FR"/>
        </w:rPr>
        <w:t> </w:t>
      </w:r>
      <w:r w:rsidRPr="000A1E00">
        <w:rPr>
          <w:iCs/>
          <w:lang w:val="fr-FR"/>
        </w:rPr>
        <w:t>:</w:t>
      </w:r>
      <w:r w:rsidRPr="000A1E00">
        <w:rPr>
          <w:lang w:val="fr-FR"/>
        </w:rPr>
        <w:tab/>
        <w:t>INF.47 (Fédération de Russie).</w:t>
      </w:r>
    </w:p>
    <w:p w:rsidR="00286BDC" w:rsidRPr="000A1E00" w:rsidRDefault="00286BDC" w:rsidP="00A5213A">
      <w:pPr>
        <w:pStyle w:val="SingleTxtG"/>
        <w:rPr>
          <w:lang w:val="fr-FR"/>
        </w:rPr>
      </w:pPr>
      <w:r w:rsidRPr="000A1E00">
        <w:rPr>
          <w:lang w:val="fr-FR"/>
        </w:rPr>
        <w:t>102.</w:t>
      </w:r>
      <w:r w:rsidRPr="000A1E00">
        <w:rPr>
          <w:lang w:val="fr-FR"/>
        </w:rPr>
        <w:tab/>
        <w:t>Le Sous-Comité n</w:t>
      </w:r>
      <w:r w:rsidR="000A1E00">
        <w:rPr>
          <w:lang w:val="fr-FR"/>
        </w:rPr>
        <w:t>’</w:t>
      </w:r>
      <w:r w:rsidRPr="000A1E00">
        <w:rPr>
          <w:lang w:val="fr-FR"/>
        </w:rPr>
        <w:t>a pas adopté les amendements au 5.2.2.2.1.3 et au 5.2.2.2.1.5, considérant qu</w:t>
      </w:r>
      <w:r w:rsidR="000A1E00">
        <w:rPr>
          <w:lang w:val="fr-FR"/>
        </w:rPr>
        <w:t>’</w:t>
      </w:r>
      <w:r w:rsidRPr="000A1E00">
        <w:rPr>
          <w:lang w:val="fr-FR"/>
        </w:rPr>
        <w:t>ils n</w:t>
      </w:r>
      <w:r w:rsidR="000A1E00">
        <w:rPr>
          <w:lang w:val="fr-FR"/>
        </w:rPr>
        <w:t>’</w:t>
      </w:r>
      <w:r w:rsidR="00A5213A" w:rsidRPr="000A1E00">
        <w:rPr>
          <w:lang w:val="fr-FR"/>
        </w:rPr>
        <w:t>apportaient pas de précisions.</w:t>
      </w:r>
    </w:p>
    <w:p w:rsidR="00286BDC" w:rsidRPr="000A1E00" w:rsidRDefault="00286BDC" w:rsidP="00A5213A">
      <w:pPr>
        <w:pStyle w:val="SingleTxtG"/>
        <w:rPr>
          <w:lang w:val="fr-FR"/>
        </w:rPr>
      </w:pPr>
      <w:r w:rsidRPr="000A1E00">
        <w:rPr>
          <w:lang w:val="fr-FR"/>
        </w:rPr>
        <w:t>103.</w:t>
      </w:r>
      <w:r w:rsidRPr="000A1E00">
        <w:rPr>
          <w:lang w:val="fr-FR"/>
        </w:rPr>
        <w:tab/>
        <w:t>L</w:t>
      </w:r>
      <w:r w:rsidR="000A1E00">
        <w:rPr>
          <w:lang w:val="fr-FR"/>
        </w:rPr>
        <w:t>’</w:t>
      </w:r>
      <w:r w:rsidRPr="000A1E00">
        <w:rPr>
          <w:lang w:val="fr-FR"/>
        </w:rPr>
        <w:t>expert de la Fédération de Russie, estimant que les descriptions de l</w:t>
      </w:r>
      <w:r w:rsidR="000A1E00">
        <w:rPr>
          <w:lang w:val="fr-FR"/>
        </w:rPr>
        <w:t>’</w:t>
      </w:r>
      <w:r w:rsidRPr="000A1E00">
        <w:rPr>
          <w:lang w:val="fr-FR"/>
        </w:rPr>
        <w:t>étiquette 9A dans le tableau du 5.2.2.2.2 et aux 5.2.2.2.1.3 et 5.2.2.2.1.5 pourraient être davantage harmonisées, a dit qu</w:t>
      </w:r>
      <w:r w:rsidR="000A1E00">
        <w:rPr>
          <w:lang w:val="fr-FR"/>
        </w:rPr>
        <w:t>’</w:t>
      </w:r>
      <w:r w:rsidRPr="000A1E00">
        <w:rPr>
          <w:lang w:val="fr-FR"/>
        </w:rPr>
        <w:t>il envisagerait de soumettre une proposition officielle en vue de</w:t>
      </w:r>
      <w:r w:rsidR="00A5213A" w:rsidRPr="000A1E00">
        <w:rPr>
          <w:lang w:val="fr-FR"/>
        </w:rPr>
        <w:t xml:space="preserve"> la prochaine session.</w:t>
      </w:r>
    </w:p>
    <w:p w:rsidR="00286BDC" w:rsidRPr="000A1E00" w:rsidRDefault="00286BDC" w:rsidP="00A5213A">
      <w:pPr>
        <w:pStyle w:val="H23G"/>
        <w:rPr>
          <w:lang w:val="fr-FR"/>
        </w:rPr>
      </w:pPr>
      <w:r w:rsidRPr="000A1E00">
        <w:rPr>
          <w:lang w:val="fr-FR"/>
        </w:rPr>
        <w:tab/>
        <w:t>4.</w:t>
      </w:r>
      <w:r w:rsidRPr="000A1E00">
        <w:rPr>
          <w:lang w:val="fr-FR"/>
        </w:rPr>
        <w:tab/>
        <w:t xml:space="preserve">Emploi du terme </w:t>
      </w:r>
      <w:r w:rsidR="002016B9">
        <w:rPr>
          <w:lang w:val="fr-FR"/>
        </w:rPr>
        <w:t>« </w:t>
      </w:r>
      <w:r w:rsidRPr="000A1E00">
        <w:rPr>
          <w:lang w:val="fr-FR"/>
        </w:rPr>
        <w:t>placard</w:t>
      </w:r>
      <w:r w:rsidR="002016B9">
        <w:rPr>
          <w:lang w:val="fr-FR"/>
        </w:rPr>
        <w:t> »</w:t>
      </w:r>
      <w:r w:rsidRPr="000A1E00">
        <w:rPr>
          <w:lang w:val="fr-FR"/>
        </w:rPr>
        <w:t xml:space="preserve"> (</w:t>
      </w:r>
      <w:r w:rsidR="002016B9">
        <w:rPr>
          <w:lang w:val="fr-FR"/>
        </w:rPr>
        <w:t>« </w:t>
      </w:r>
      <w:r w:rsidRPr="000A1E00">
        <w:rPr>
          <w:lang w:val="fr-FR"/>
        </w:rPr>
        <w:t>plaque-étiquette</w:t>
      </w:r>
      <w:r w:rsidR="002016B9">
        <w:rPr>
          <w:lang w:val="fr-FR"/>
        </w:rPr>
        <w:t> »</w:t>
      </w:r>
      <w:r w:rsidRPr="000A1E00">
        <w:rPr>
          <w:lang w:val="fr-FR"/>
        </w:rPr>
        <w:t>) dans le Règlement type</w:t>
      </w:r>
    </w:p>
    <w:p w:rsidR="00286BDC" w:rsidRPr="000A1E00" w:rsidRDefault="00A5213A" w:rsidP="00A5213A">
      <w:pPr>
        <w:pStyle w:val="SingleTxtG"/>
        <w:tabs>
          <w:tab w:val="left" w:pos="3119"/>
        </w:tabs>
        <w:rPr>
          <w:lang w:val="fr-FR"/>
        </w:rPr>
      </w:pPr>
      <w:r w:rsidRPr="000A1E00">
        <w:rPr>
          <w:i/>
          <w:iCs/>
          <w:lang w:val="fr-FR"/>
        </w:rPr>
        <w:t>Document informel </w:t>
      </w:r>
      <w:r w:rsidR="00286BDC" w:rsidRPr="000A1E00">
        <w:rPr>
          <w:iCs/>
          <w:lang w:val="fr-FR"/>
        </w:rPr>
        <w:t>:</w:t>
      </w:r>
      <w:r w:rsidR="00286BDC" w:rsidRPr="000A1E00">
        <w:rPr>
          <w:lang w:val="fr-FR"/>
        </w:rPr>
        <w:t xml:space="preserve"> </w:t>
      </w:r>
      <w:r w:rsidR="00286BDC" w:rsidRPr="000A1E00">
        <w:rPr>
          <w:lang w:val="fr-FR"/>
        </w:rPr>
        <w:tab/>
        <w:t>INF.49 (Fédération de Russie)</w:t>
      </w:r>
      <w:r w:rsidRPr="000A1E00">
        <w:rPr>
          <w:lang w:val="fr-FR"/>
        </w:rPr>
        <w:t>.</w:t>
      </w:r>
    </w:p>
    <w:p w:rsidR="00286BDC" w:rsidRPr="000A1E00" w:rsidRDefault="00286BDC" w:rsidP="00A5213A">
      <w:pPr>
        <w:pStyle w:val="SingleTxtG"/>
        <w:rPr>
          <w:lang w:val="fr-FR"/>
        </w:rPr>
      </w:pPr>
      <w:r w:rsidRPr="000A1E00">
        <w:rPr>
          <w:lang w:val="fr-FR"/>
        </w:rPr>
        <w:t>104.</w:t>
      </w:r>
      <w:r w:rsidRPr="000A1E00">
        <w:rPr>
          <w:lang w:val="fr-FR"/>
        </w:rPr>
        <w:tab/>
        <w:t>Le Sous-Comité a pris note des questions de terminologie soulevées par la Fédération de Russie et a demandé au secrétariat de communiquer les termes appropriés aux services linguistiques afin qu</w:t>
      </w:r>
      <w:r w:rsidR="000A1E00">
        <w:rPr>
          <w:lang w:val="fr-FR"/>
        </w:rPr>
        <w:t>’</w:t>
      </w:r>
      <w:r w:rsidRPr="000A1E00">
        <w:rPr>
          <w:lang w:val="fr-FR"/>
        </w:rPr>
        <w:t>ils soient employés dans la prochaine version révisée du Règlement type.</w:t>
      </w:r>
    </w:p>
    <w:p w:rsidR="00286BDC" w:rsidRPr="000A1E00" w:rsidRDefault="00286BDC" w:rsidP="00A5213A">
      <w:pPr>
        <w:pStyle w:val="H1G"/>
        <w:rPr>
          <w:lang w:val="fr-FR"/>
        </w:rPr>
      </w:pPr>
      <w:r w:rsidRPr="000A1E00">
        <w:rPr>
          <w:lang w:val="fr-FR"/>
        </w:rPr>
        <w:tab/>
        <w:t>B.</w:t>
      </w:r>
      <w:r w:rsidRPr="000A1E00">
        <w:rPr>
          <w:lang w:val="fr-FR"/>
        </w:rPr>
        <w:tab/>
        <w:t>Emballages</w:t>
      </w:r>
    </w:p>
    <w:p w:rsidR="00286BDC" w:rsidRPr="000A1E00" w:rsidRDefault="00286BDC" w:rsidP="00A5213A">
      <w:pPr>
        <w:pStyle w:val="H23G"/>
        <w:rPr>
          <w:lang w:val="fr-FR"/>
        </w:rPr>
      </w:pPr>
      <w:r w:rsidRPr="000A1E00">
        <w:rPr>
          <w:lang w:val="fr-FR"/>
        </w:rPr>
        <w:tab/>
        <w:t>1.</w:t>
      </w:r>
      <w:r w:rsidRPr="000A1E00">
        <w:rPr>
          <w:lang w:val="fr-FR"/>
        </w:rPr>
        <w:tab/>
        <w:t>Charge de gerbage maximale autorisée des GRV</w:t>
      </w:r>
    </w:p>
    <w:p w:rsidR="00286BDC" w:rsidRPr="000A1E00" w:rsidRDefault="00286BDC" w:rsidP="00A5213A">
      <w:pPr>
        <w:pStyle w:val="SingleTxtG"/>
        <w:tabs>
          <w:tab w:val="left" w:pos="3119"/>
        </w:tabs>
        <w:rPr>
          <w:lang w:val="fr-FR"/>
        </w:rPr>
      </w:pPr>
      <w:r w:rsidRPr="000A1E00">
        <w:rPr>
          <w:i/>
          <w:iCs/>
          <w:lang w:val="fr-FR"/>
        </w:rPr>
        <w:t>Document</w:t>
      </w:r>
      <w:r w:rsidR="00A5213A" w:rsidRPr="000A1E00">
        <w:rPr>
          <w:i/>
          <w:iCs/>
          <w:lang w:val="fr-FR"/>
        </w:rPr>
        <w:t> </w:t>
      </w:r>
      <w:r w:rsidRPr="000A1E00">
        <w:rPr>
          <w:iCs/>
          <w:lang w:val="fr-FR"/>
        </w:rPr>
        <w:t>:</w:t>
      </w:r>
      <w:r w:rsidRPr="000A1E00">
        <w:rPr>
          <w:lang w:val="fr-FR"/>
        </w:rPr>
        <w:t xml:space="preserve"> </w:t>
      </w:r>
      <w:r w:rsidRPr="000A1E00">
        <w:rPr>
          <w:lang w:val="fr-FR"/>
        </w:rPr>
        <w:tab/>
        <w:t>ST/SG/AC.10/C.3/2018/27 (ICPP)</w:t>
      </w:r>
    </w:p>
    <w:p w:rsidR="00286BDC" w:rsidRPr="000A1E00" w:rsidRDefault="00286BDC" w:rsidP="00A5213A">
      <w:pPr>
        <w:pStyle w:val="SingleTxtG"/>
        <w:tabs>
          <w:tab w:val="left" w:pos="3119"/>
        </w:tabs>
        <w:rPr>
          <w:lang w:val="fr-FR"/>
        </w:rPr>
      </w:pPr>
      <w:r w:rsidRPr="000A1E00">
        <w:rPr>
          <w:i/>
          <w:lang w:val="fr-FR"/>
        </w:rPr>
        <w:t>Document informel</w:t>
      </w:r>
      <w:r w:rsidR="000A1E00" w:rsidRPr="000A1E00">
        <w:rPr>
          <w:lang w:val="fr-FR"/>
        </w:rPr>
        <w:t> </w:t>
      </w:r>
      <w:r w:rsidRPr="000A1E00">
        <w:rPr>
          <w:lang w:val="fr-FR"/>
        </w:rPr>
        <w:t>:</w:t>
      </w:r>
      <w:r w:rsidRPr="000A1E00">
        <w:rPr>
          <w:lang w:val="fr-FR"/>
        </w:rPr>
        <w:tab/>
        <w:t>INF.16 (CEFIC)</w:t>
      </w:r>
      <w:r w:rsidR="000A1E00" w:rsidRPr="000A1E00">
        <w:rPr>
          <w:lang w:val="fr-FR"/>
        </w:rPr>
        <w:t>.</w:t>
      </w:r>
    </w:p>
    <w:p w:rsidR="00286BDC" w:rsidRPr="000A1E00" w:rsidRDefault="00286BDC" w:rsidP="000A1E00">
      <w:pPr>
        <w:pStyle w:val="SingleTxtG"/>
        <w:rPr>
          <w:lang w:val="fr-FR"/>
        </w:rPr>
      </w:pPr>
      <w:r w:rsidRPr="000A1E00">
        <w:rPr>
          <w:lang w:val="fr-FR"/>
        </w:rPr>
        <w:t>105.</w:t>
      </w:r>
      <w:r w:rsidRPr="000A1E00">
        <w:rPr>
          <w:lang w:val="fr-FR"/>
        </w:rPr>
        <w:tab/>
        <w:t>Le Sous-Comité a</w:t>
      </w:r>
      <w:r w:rsidRPr="000A1E00">
        <w:rPr>
          <w:spacing w:val="-2"/>
          <w:lang w:val="fr-FR"/>
        </w:rPr>
        <w:t xml:space="preserve"> adopté l</w:t>
      </w:r>
      <w:r w:rsidR="000A1E00">
        <w:rPr>
          <w:spacing w:val="-2"/>
          <w:lang w:val="fr-FR"/>
        </w:rPr>
        <w:t>’</w:t>
      </w:r>
      <w:r w:rsidRPr="000A1E00">
        <w:rPr>
          <w:spacing w:val="-2"/>
          <w:lang w:val="fr-FR"/>
        </w:rPr>
        <w:t>amendement au 6.5.2.2.2 tel que p</w:t>
      </w:r>
      <w:r w:rsidRPr="000A1E00">
        <w:rPr>
          <w:lang w:val="fr-FR"/>
        </w:rPr>
        <w:t>roposé au paragraphe 3 du document ST/SG/AC.10/C.3/2018/27, moyennant un amendement corollair</w:t>
      </w:r>
      <w:r w:rsidR="000A1E00" w:rsidRPr="000A1E00">
        <w:rPr>
          <w:lang w:val="fr-FR"/>
        </w:rPr>
        <w:t>e au 6.6.3.3 (voir l</w:t>
      </w:r>
      <w:r w:rsidR="000A1E00">
        <w:rPr>
          <w:lang w:val="fr-FR"/>
        </w:rPr>
        <w:t>’</w:t>
      </w:r>
      <w:r w:rsidR="000A1E00" w:rsidRPr="000A1E00">
        <w:rPr>
          <w:lang w:val="fr-FR"/>
        </w:rPr>
        <w:t>annexe I).</w:t>
      </w:r>
    </w:p>
    <w:p w:rsidR="00286BDC" w:rsidRPr="000A1E00" w:rsidRDefault="00286BDC" w:rsidP="000A1E00">
      <w:pPr>
        <w:pStyle w:val="SingleTxtG"/>
        <w:rPr>
          <w:lang w:val="fr-FR"/>
        </w:rPr>
      </w:pPr>
      <w:r w:rsidRPr="000A1E00">
        <w:rPr>
          <w:lang w:val="fr-FR"/>
        </w:rPr>
        <w:t>106.</w:t>
      </w:r>
      <w:r w:rsidRPr="000A1E00">
        <w:rPr>
          <w:lang w:val="fr-FR"/>
        </w:rPr>
        <w:tab/>
        <w:t>Le Sous-Comité n</w:t>
      </w:r>
      <w:r w:rsidR="000A1E00">
        <w:rPr>
          <w:lang w:val="fr-FR"/>
        </w:rPr>
        <w:t>’</w:t>
      </w:r>
      <w:r w:rsidRPr="000A1E00">
        <w:rPr>
          <w:lang w:val="fr-FR"/>
        </w:rPr>
        <w:t>a pas approuvé l</w:t>
      </w:r>
      <w:r w:rsidR="000A1E00">
        <w:rPr>
          <w:lang w:val="fr-FR"/>
        </w:rPr>
        <w:t>’</w:t>
      </w:r>
      <w:r w:rsidRPr="000A1E00">
        <w:rPr>
          <w:lang w:val="fr-FR"/>
        </w:rPr>
        <w:t>introduction d</w:t>
      </w:r>
      <w:r w:rsidR="000A1E00">
        <w:rPr>
          <w:lang w:val="fr-FR"/>
        </w:rPr>
        <w:t>’</w:t>
      </w:r>
      <w:r w:rsidRPr="000A1E00">
        <w:rPr>
          <w:lang w:val="fr-FR"/>
        </w:rPr>
        <w:t>une nouvelle</w:t>
      </w:r>
      <w:r w:rsidR="000A1E00" w:rsidRPr="000A1E00">
        <w:rPr>
          <w:lang w:val="fr-FR"/>
        </w:rPr>
        <w:t xml:space="preserve"> définition du terme « carriage </w:t>
      </w:r>
      <w:r w:rsidRPr="000A1E00">
        <w:rPr>
          <w:lang w:val="fr-FR"/>
        </w:rPr>
        <w:t>», telle que proposée dans le document informel INF.16, qui ne serait utilisée que dans le contexte du paragraphe 6.5.2.2.2. Il a été dit que la définition proposée introduirait pour ce terme un sens qui s</w:t>
      </w:r>
      <w:r w:rsidR="000A1E00">
        <w:rPr>
          <w:lang w:val="fr-FR"/>
        </w:rPr>
        <w:t>’</w:t>
      </w:r>
      <w:r w:rsidRPr="000A1E00">
        <w:rPr>
          <w:lang w:val="fr-FR"/>
        </w:rPr>
        <w:t>éloignerait beaucoup de celui employé très largement dans les instruments juridiques relatifs aux transports terrestres, ce qui se traduirait par une discordance et d</w:t>
      </w:r>
      <w:r w:rsidR="000A1E00">
        <w:rPr>
          <w:lang w:val="fr-FR"/>
        </w:rPr>
        <w:t>’</w:t>
      </w:r>
      <w:r w:rsidRPr="000A1E00">
        <w:rPr>
          <w:lang w:val="fr-FR"/>
        </w:rPr>
        <w:t>évent</w:t>
      </w:r>
      <w:r w:rsidR="000A1E00" w:rsidRPr="000A1E00">
        <w:rPr>
          <w:lang w:val="fr-FR"/>
        </w:rPr>
        <w:t>uels malentendus et confusions.</w:t>
      </w:r>
    </w:p>
    <w:p w:rsidR="00286BDC" w:rsidRPr="000A1E00" w:rsidRDefault="00286BDC" w:rsidP="000A1E00">
      <w:pPr>
        <w:pStyle w:val="H23G"/>
        <w:rPr>
          <w:lang w:val="fr-FR"/>
        </w:rPr>
      </w:pPr>
      <w:r w:rsidRPr="000A1E00">
        <w:rPr>
          <w:lang w:val="fr-FR"/>
        </w:rPr>
        <w:tab/>
        <w:t>2.</w:t>
      </w:r>
      <w:r w:rsidRPr="000A1E00">
        <w:rPr>
          <w:lang w:val="fr-FR"/>
        </w:rPr>
        <w:tab/>
        <w:t xml:space="preserve">Entretien régulier des grands récipients pour vrac (GRV) </w:t>
      </w:r>
    </w:p>
    <w:p w:rsidR="00286BDC" w:rsidRPr="000A1E00" w:rsidRDefault="000A1E00" w:rsidP="000A1E00">
      <w:pPr>
        <w:pStyle w:val="SingleTxtG"/>
        <w:tabs>
          <w:tab w:val="left" w:pos="3119"/>
        </w:tabs>
        <w:rPr>
          <w:lang w:val="fr-FR"/>
        </w:rPr>
      </w:pPr>
      <w:r w:rsidRPr="000A1E00">
        <w:rPr>
          <w:i/>
          <w:iCs/>
          <w:lang w:val="fr-FR"/>
        </w:rPr>
        <w:t>Document </w:t>
      </w:r>
      <w:r w:rsidR="00286BDC" w:rsidRPr="000A1E00">
        <w:rPr>
          <w:iCs/>
          <w:lang w:val="fr-FR"/>
        </w:rPr>
        <w:t>:</w:t>
      </w:r>
      <w:r w:rsidR="00286BDC" w:rsidRPr="000A1E00">
        <w:rPr>
          <w:lang w:val="fr-FR"/>
        </w:rPr>
        <w:t xml:space="preserve"> </w:t>
      </w:r>
      <w:r w:rsidR="00286BDC" w:rsidRPr="000A1E00">
        <w:rPr>
          <w:lang w:val="fr-FR"/>
        </w:rPr>
        <w:tab/>
        <w:t>ST/SG/AC.10/C.3/2018/44 (Belgique)</w:t>
      </w:r>
      <w:r w:rsidRPr="000A1E00">
        <w:rPr>
          <w:lang w:val="fr-FR"/>
        </w:rPr>
        <w:t>.</w:t>
      </w:r>
    </w:p>
    <w:p w:rsidR="00286BDC" w:rsidRPr="000A1E00" w:rsidRDefault="00286BDC" w:rsidP="000A1E00">
      <w:pPr>
        <w:pStyle w:val="SingleTxtG"/>
        <w:rPr>
          <w:lang w:val="fr-FR"/>
        </w:rPr>
      </w:pPr>
      <w:r w:rsidRPr="000A1E00">
        <w:rPr>
          <w:lang w:val="fr-FR"/>
        </w:rPr>
        <w:t>107.</w:t>
      </w:r>
      <w:r w:rsidRPr="000A1E00">
        <w:rPr>
          <w:lang w:val="fr-FR"/>
        </w:rPr>
        <w:tab/>
        <w:t>Le Sous-Comité n</w:t>
      </w:r>
      <w:r w:rsidR="000A1E00">
        <w:rPr>
          <w:lang w:val="fr-FR"/>
        </w:rPr>
        <w:t>’</w:t>
      </w:r>
      <w:r w:rsidRPr="000A1E00">
        <w:rPr>
          <w:lang w:val="fr-FR"/>
        </w:rPr>
        <w:t>a pas approuvé l</w:t>
      </w:r>
      <w:r w:rsidR="000A1E00">
        <w:rPr>
          <w:lang w:val="fr-FR"/>
        </w:rPr>
        <w:t>’</w:t>
      </w:r>
      <w:r w:rsidRPr="000A1E00">
        <w:rPr>
          <w:lang w:val="fr-FR"/>
        </w:rPr>
        <w:t xml:space="preserve">amendement au 4.1.2.4 proposé par la Belgique. </w:t>
      </w:r>
    </w:p>
    <w:p w:rsidR="00286BDC" w:rsidRPr="000A1E00" w:rsidRDefault="00286BDC" w:rsidP="000A1E00">
      <w:pPr>
        <w:pStyle w:val="SingleTxtG"/>
        <w:rPr>
          <w:lang w:val="fr-FR"/>
        </w:rPr>
      </w:pPr>
      <w:r w:rsidRPr="000A1E00">
        <w:rPr>
          <w:lang w:val="fr-FR"/>
        </w:rPr>
        <w:t>108.</w:t>
      </w:r>
      <w:r w:rsidRPr="000A1E00">
        <w:rPr>
          <w:lang w:val="fr-FR"/>
        </w:rPr>
        <w:tab/>
        <w:t>Il a été indiqué que la référence faite au propriétaire du GRV visait également les cas où l</w:t>
      </w:r>
      <w:r w:rsidR="000A1E00">
        <w:rPr>
          <w:lang w:val="fr-FR"/>
        </w:rPr>
        <w:t>’</w:t>
      </w:r>
      <w:r w:rsidRPr="000A1E00">
        <w:rPr>
          <w:lang w:val="fr-FR"/>
        </w:rPr>
        <w:t>entretien régulier était confié à des tiers. Cette disposition étant applicable non seulement aux GRV, mais aussi à d</w:t>
      </w:r>
      <w:r w:rsidR="000A1E00">
        <w:rPr>
          <w:lang w:val="fr-FR"/>
        </w:rPr>
        <w:t>’</w:t>
      </w:r>
      <w:r w:rsidRPr="000A1E00">
        <w:rPr>
          <w:lang w:val="fr-FR"/>
        </w:rPr>
        <w:t>autres récipients, le Sous-Comité a estimé que l</w:t>
      </w:r>
      <w:r w:rsidR="000A1E00">
        <w:rPr>
          <w:lang w:val="fr-FR"/>
        </w:rPr>
        <w:t>’</w:t>
      </w:r>
      <w:r w:rsidRPr="000A1E00">
        <w:rPr>
          <w:lang w:val="fr-FR"/>
        </w:rPr>
        <w:t>introduction d</w:t>
      </w:r>
      <w:r w:rsidR="000A1E00">
        <w:rPr>
          <w:lang w:val="fr-FR"/>
        </w:rPr>
        <w:t>’</w:t>
      </w:r>
      <w:r w:rsidRPr="000A1E00">
        <w:rPr>
          <w:lang w:val="fr-FR"/>
        </w:rPr>
        <w:t>une précision dans le 4.1.2.4 pour les seuls GRV</w:t>
      </w:r>
      <w:r w:rsidR="000A1E00">
        <w:rPr>
          <w:lang w:val="fr-FR"/>
        </w:rPr>
        <w:t xml:space="preserve"> prêterait à confusion.</w:t>
      </w:r>
    </w:p>
    <w:p w:rsidR="00286BDC" w:rsidRPr="000A1E00" w:rsidRDefault="00286BDC" w:rsidP="000A1E00">
      <w:pPr>
        <w:pStyle w:val="H23G"/>
        <w:rPr>
          <w:lang w:val="fr-FR"/>
        </w:rPr>
      </w:pPr>
      <w:r w:rsidRPr="000A1E00">
        <w:rPr>
          <w:lang w:val="fr-FR"/>
        </w:rPr>
        <w:tab/>
        <w:t>3.</w:t>
      </w:r>
      <w:r w:rsidRPr="000A1E00">
        <w:rPr>
          <w:lang w:val="fr-FR"/>
        </w:rPr>
        <w:tab/>
        <w:t>Grands récipients pour vrac (GRV) composites : marquage des récipients intérieurs</w:t>
      </w:r>
    </w:p>
    <w:p w:rsidR="00286BDC" w:rsidRPr="000A1E00" w:rsidRDefault="00286BDC" w:rsidP="000A1E00">
      <w:pPr>
        <w:pStyle w:val="SingleTxtG"/>
        <w:tabs>
          <w:tab w:val="left" w:pos="3119"/>
        </w:tabs>
        <w:rPr>
          <w:lang w:val="fr-FR"/>
        </w:rPr>
      </w:pPr>
      <w:r w:rsidRPr="000A1E00">
        <w:rPr>
          <w:i/>
          <w:iCs/>
          <w:lang w:val="fr-FR"/>
        </w:rPr>
        <w:t>Document</w:t>
      </w:r>
      <w:r w:rsidR="000A1E00">
        <w:rPr>
          <w:i/>
          <w:iCs/>
          <w:lang w:val="fr-FR"/>
        </w:rPr>
        <w:t> </w:t>
      </w:r>
      <w:r w:rsidRPr="000A1E00">
        <w:rPr>
          <w:iCs/>
          <w:lang w:val="fr-FR"/>
        </w:rPr>
        <w:t>:</w:t>
      </w:r>
      <w:r w:rsidRPr="000A1E00">
        <w:rPr>
          <w:lang w:val="fr-FR"/>
        </w:rPr>
        <w:t xml:space="preserve"> </w:t>
      </w:r>
      <w:r w:rsidRPr="000A1E00">
        <w:rPr>
          <w:lang w:val="fr-FR"/>
        </w:rPr>
        <w:tab/>
        <w:t>ST/SG/AC.10/C.3/2018/45 (Belgique)</w:t>
      </w:r>
      <w:r w:rsidR="000A1E00">
        <w:rPr>
          <w:lang w:val="fr-FR"/>
        </w:rPr>
        <w:t>.</w:t>
      </w:r>
    </w:p>
    <w:p w:rsidR="00286BDC" w:rsidRPr="000A1E00" w:rsidRDefault="00286BDC" w:rsidP="000A1E00">
      <w:pPr>
        <w:pStyle w:val="SingleTxtG"/>
        <w:rPr>
          <w:lang w:val="fr-FR"/>
        </w:rPr>
      </w:pPr>
      <w:r w:rsidRPr="000A1E00">
        <w:rPr>
          <w:lang w:val="fr-FR"/>
        </w:rPr>
        <w:t>109.</w:t>
      </w:r>
      <w:r w:rsidRPr="000A1E00">
        <w:rPr>
          <w:lang w:val="fr-FR"/>
        </w:rPr>
        <w:tab/>
        <w:t>Le Sous-Comité a confirmé que les marques des récipients intérieurs devaient rester visibles pendant toute la durée de vie du GRV aux fins des contrôles et des vérifications requis. À la lumière de cette information, l</w:t>
      </w:r>
      <w:r w:rsidR="000A1E00">
        <w:rPr>
          <w:lang w:val="fr-FR"/>
        </w:rPr>
        <w:t>’</w:t>
      </w:r>
      <w:r w:rsidRPr="000A1E00">
        <w:rPr>
          <w:lang w:val="fr-FR"/>
        </w:rPr>
        <w:t>expert de la Belgique a retiré sa proposition d</w:t>
      </w:r>
      <w:r w:rsidR="000A1E00">
        <w:rPr>
          <w:lang w:val="fr-FR"/>
        </w:rPr>
        <w:t>’</w:t>
      </w:r>
      <w:r w:rsidRPr="000A1E00">
        <w:rPr>
          <w:lang w:val="fr-FR"/>
        </w:rPr>
        <w:t>amendement au 6.5.2.2.4.</w:t>
      </w:r>
    </w:p>
    <w:p w:rsidR="00286BDC" w:rsidRPr="000A1E00" w:rsidRDefault="00286BDC" w:rsidP="000A1E00">
      <w:pPr>
        <w:pStyle w:val="H23G"/>
        <w:rPr>
          <w:lang w:val="fr-FR"/>
        </w:rPr>
      </w:pPr>
      <w:r w:rsidRPr="000A1E00">
        <w:rPr>
          <w:lang w:val="fr-FR"/>
        </w:rPr>
        <w:tab/>
        <w:t>4.</w:t>
      </w:r>
      <w:r w:rsidRPr="000A1E00">
        <w:rPr>
          <w:lang w:val="fr-FR"/>
        </w:rPr>
        <w:tab/>
        <w:t>Fûts en aluminium</w:t>
      </w:r>
    </w:p>
    <w:p w:rsidR="00286BDC" w:rsidRPr="000A1E00" w:rsidRDefault="00286BDC" w:rsidP="000A1E00">
      <w:pPr>
        <w:pStyle w:val="SingleTxtG"/>
        <w:rPr>
          <w:lang w:val="fr-FR"/>
        </w:rPr>
      </w:pPr>
      <w:r w:rsidRPr="000A1E00">
        <w:rPr>
          <w:i/>
          <w:iCs/>
          <w:lang w:val="fr-FR"/>
        </w:rPr>
        <w:t>Document</w:t>
      </w:r>
      <w:r w:rsidR="000A1E00">
        <w:rPr>
          <w:i/>
          <w:iCs/>
          <w:lang w:val="fr-FR"/>
        </w:rPr>
        <w:t> </w:t>
      </w:r>
      <w:r w:rsidRPr="000A1E00">
        <w:rPr>
          <w:iCs/>
          <w:lang w:val="fr-FR"/>
        </w:rPr>
        <w:t>:</w:t>
      </w:r>
      <w:r w:rsidRPr="000A1E00">
        <w:rPr>
          <w:lang w:val="fr-FR"/>
        </w:rPr>
        <w:t xml:space="preserve"> </w:t>
      </w:r>
      <w:r w:rsidRPr="000A1E00">
        <w:rPr>
          <w:lang w:val="fr-FR"/>
        </w:rPr>
        <w:tab/>
        <w:t>ST/SG/AC.10/C.3/2018/32 (Italie)</w:t>
      </w:r>
      <w:r w:rsidR="000A1E00">
        <w:rPr>
          <w:lang w:val="fr-FR"/>
        </w:rPr>
        <w:t>.</w:t>
      </w:r>
    </w:p>
    <w:p w:rsidR="00286BDC" w:rsidRPr="000A1E00" w:rsidRDefault="00286BDC" w:rsidP="000A1E00">
      <w:pPr>
        <w:pStyle w:val="SingleTxtG"/>
        <w:rPr>
          <w:lang w:val="fr-FR"/>
        </w:rPr>
      </w:pPr>
      <w:r w:rsidRPr="000A1E00">
        <w:rPr>
          <w:lang w:val="fr-FR"/>
        </w:rPr>
        <w:t>110.</w:t>
      </w:r>
      <w:r w:rsidRPr="000A1E00">
        <w:rPr>
          <w:lang w:val="fr-FR"/>
        </w:rPr>
        <w:tab/>
        <w:t>Plusieurs experts ont relevé que le texte proposé par l</w:t>
      </w:r>
      <w:r w:rsidR="000A1E00">
        <w:rPr>
          <w:lang w:val="fr-FR"/>
        </w:rPr>
        <w:t>’</w:t>
      </w:r>
      <w:r w:rsidRPr="000A1E00">
        <w:rPr>
          <w:lang w:val="fr-FR"/>
        </w:rPr>
        <w:t>expert de l</w:t>
      </w:r>
      <w:r w:rsidR="000A1E00">
        <w:rPr>
          <w:lang w:val="fr-FR"/>
        </w:rPr>
        <w:t>’</w:t>
      </w:r>
      <w:r w:rsidRPr="000A1E00">
        <w:rPr>
          <w:lang w:val="fr-FR"/>
        </w:rPr>
        <w:t>Italie se rapportait à une prescription générale applicable non seulement aux fûts métalliques, mais également à d</w:t>
      </w:r>
      <w:r w:rsidR="000A1E00">
        <w:rPr>
          <w:lang w:val="fr-FR"/>
        </w:rPr>
        <w:t>’</w:t>
      </w:r>
      <w:r w:rsidRPr="000A1E00">
        <w:rPr>
          <w:lang w:val="fr-FR"/>
        </w:rPr>
        <w:t>autres matériaux (tels que le plastique) et types d</w:t>
      </w:r>
      <w:r w:rsidR="000A1E00">
        <w:rPr>
          <w:lang w:val="fr-FR"/>
        </w:rPr>
        <w:t>’</w:t>
      </w:r>
      <w:r w:rsidRPr="000A1E00">
        <w:rPr>
          <w:lang w:val="fr-FR"/>
        </w:rPr>
        <w:t>emballages. Ils ont pensé que, pour éviter des répétitions, il serait préférable d</w:t>
      </w:r>
      <w:r w:rsidR="000A1E00">
        <w:rPr>
          <w:lang w:val="fr-FR"/>
        </w:rPr>
        <w:t>’</w:t>
      </w:r>
      <w:r w:rsidRPr="000A1E00">
        <w:rPr>
          <w:lang w:val="fr-FR"/>
        </w:rPr>
        <w:t>introduire une prescription générale dans le chapitre 6.1, plutôt que de traiter tous les types de matériaux et</w:t>
      </w:r>
      <w:r w:rsidR="000A1E00">
        <w:rPr>
          <w:lang w:val="fr-FR"/>
        </w:rPr>
        <w:t xml:space="preserve"> d’emballages individuellement.</w:t>
      </w:r>
    </w:p>
    <w:p w:rsidR="00286BDC" w:rsidRPr="000A1E00" w:rsidRDefault="00286BDC" w:rsidP="000A1E00">
      <w:pPr>
        <w:pStyle w:val="SingleTxtG"/>
        <w:rPr>
          <w:lang w:val="fr-FR"/>
        </w:rPr>
      </w:pPr>
      <w:r w:rsidRPr="000A1E00">
        <w:rPr>
          <w:lang w:val="fr-FR"/>
        </w:rPr>
        <w:t>111.</w:t>
      </w:r>
      <w:r w:rsidRPr="000A1E00">
        <w:rPr>
          <w:lang w:val="fr-FR"/>
        </w:rPr>
        <w:tab/>
        <w:t>D</w:t>
      </w:r>
      <w:r w:rsidR="000A1E00">
        <w:rPr>
          <w:lang w:val="fr-FR"/>
        </w:rPr>
        <w:t>’</w:t>
      </w:r>
      <w:r w:rsidRPr="000A1E00">
        <w:rPr>
          <w:lang w:val="fr-FR"/>
        </w:rPr>
        <w:t>autres experts ont estimé que l</w:t>
      </w:r>
      <w:r w:rsidR="000A1E00">
        <w:rPr>
          <w:lang w:val="fr-FR"/>
        </w:rPr>
        <w:t>’</w:t>
      </w:r>
      <w:r w:rsidRPr="000A1E00">
        <w:rPr>
          <w:lang w:val="fr-FR"/>
        </w:rPr>
        <w:t>amendement ne se justifiait pas dans la mesure où le paragraphe 4.1.1.2 prescrivait déjà l</w:t>
      </w:r>
      <w:r w:rsidR="000A1E00">
        <w:rPr>
          <w:lang w:val="fr-FR"/>
        </w:rPr>
        <w:t>’</w:t>
      </w:r>
      <w:r w:rsidRPr="000A1E00">
        <w:rPr>
          <w:lang w:val="fr-FR"/>
        </w:rPr>
        <w:t>utilisation de revêtements ou de traitements intérieurs appropriés, selon les besoins, afin que tous les emballages puissent remplir leur fonction de confinement dans des conditions normales de transport.</w:t>
      </w:r>
    </w:p>
    <w:p w:rsidR="00286BDC" w:rsidRPr="000A1E00" w:rsidRDefault="00286BDC" w:rsidP="000A1E00">
      <w:pPr>
        <w:pStyle w:val="SingleTxtG"/>
        <w:rPr>
          <w:lang w:val="fr-FR"/>
        </w:rPr>
      </w:pPr>
      <w:r w:rsidRPr="000A1E00">
        <w:rPr>
          <w:lang w:val="fr-FR"/>
        </w:rPr>
        <w:t>112.</w:t>
      </w:r>
      <w:r w:rsidRPr="000A1E00">
        <w:rPr>
          <w:lang w:val="fr-FR"/>
        </w:rPr>
        <w:tab/>
        <w:t>Après quelques échanges de vues, le Sous-Comité a adopté la proposition visant à insérer dans la section 6.1.4.2.6 un nouveau paragraphe concernant l</w:t>
      </w:r>
      <w:r w:rsidR="000A1E00">
        <w:rPr>
          <w:lang w:val="fr-FR"/>
        </w:rPr>
        <w:t>’</w:t>
      </w:r>
      <w:r w:rsidRPr="000A1E00">
        <w:rPr>
          <w:lang w:val="fr-FR"/>
        </w:rPr>
        <w:t>utilisation de revêtements ou traitements protecteurs aux fins de la compatibilité entre l</w:t>
      </w:r>
      <w:r w:rsidR="000A1E00">
        <w:rPr>
          <w:lang w:val="fr-FR"/>
        </w:rPr>
        <w:t>’</w:t>
      </w:r>
      <w:r w:rsidRPr="000A1E00">
        <w:rPr>
          <w:lang w:val="fr-FR"/>
        </w:rPr>
        <w:t>aluminium des fûts et la matière transportée. Pour donner suite à une proposition formulée oralement par l</w:t>
      </w:r>
      <w:r w:rsidR="000A1E00">
        <w:rPr>
          <w:lang w:val="fr-FR"/>
        </w:rPr>
        <w:t>’</w:t>
      </w:r>
      <w:r w:rsidRPr="000A1E00">
        <w:rPr>
          <w:lang w:val="fr-FR"/>
        </w:rPr>
        <w:t>expert des Pays-Bas, le Sous-Comité a également décidé d</w:t>
      </w:r>
      <w:r w:rsidR="000A1E00">
        <w:rPr>
          <w:lang w:val="fr-FR"/>
        </w:rPr>
        <w:t>’</w:t>
      </w:r>
      <w:r w:rsidRPr="000A1E00">
        <w:rPr>
          <w:lang w:val="fr-FR"/>
        </w:rPr>
        <w:t>ajouter le même texte pour les fûts fabriqués dans des matériaux autres que l</w:t>
      </w:r>
      <w:r w:rsidR="000A1E00">
        <w:rPr>
          <w:lang w:val="fr-FR"/>
        </w:rPr>
        <w:t>’</w:t>
      </w:r>
      <w:r w:rsidRPr="000A1E00">
        <w:rPr>
          <w:lang w:val="fr-FR"/>
        </w:rPr>
        <w:t>acier ou l</w:t>
      </w:r>
      <w:r w:rsidR="000A1E00">
        <w:rPr>
          <w:lang w:val="fr-FR"/>
        </w:rPr>
        <w:t>’</w:t>
      </w:r>
      <w:r w:rsidRPr="000A1E00">
        <w:rPr>
          <w:lang w:val="fr-FR"/>
        </w:rPr>
        <w:t>aluminium en tant que nouveau paragraphe 6.1.4.3.6 (voir l</w:t>
      </w:r>
      <w:r w:rsidR="000A1E00">
        <w:rPr>
          <w:lang w:val="fr-FR"/>
        </w:rPr>
        <w:t>’</w:t>
      </w:r>
      <w:r w:rsidRPr="000A1E00">
        <w:rPr>
          <w:lang w:val="fr-FR"/>
        </w:rPr>
        <w:t xml:space="preserve">annexe I). </w:t>
      </w:r>
    </w:p>
    <w:p w:rsidR="00286BDC" w:rsidRPr="000A1E00" w:rsidRDefault="00286BDC" w:rsidP="000A1E00">
      <w:pPr>
        <w:pStyle w:val="SingleTxtG"/>
        <w:rPr>
          <w:lang w:val="fr-FR"/>
        </w:rPr>
      </w:pPr>
      <w:r w:rsidRPr="000A1E00">
        <w:rPr>
          <w:lang w:val="fr-FR"/>
        </w:rPr>
        <w:t>113.</w:t>
      </w:r>
      <w:r w:rsidRPr="000A1E00">
        <w:rPr>
          <w:lang w:val="fr-FR"/>
        </w:rPr>
        <w:tab/>
        <w:t>Le Sous-Comité a invité les experts à passer en revue le chapitre 6.1 afin de recenser d</w:t>
      </w:r>
      <w:r w:rsidR="000A1E00">
        <w:rPr>
          <w:lang w:val="fr-FR"/>
        </w:rPr>
        <w:t>’</w:t>
      </w:r>
      <w:r w:rsidRPr="000A1E00">
        <w:rPr>
          <w:lang w:val="fr-FR"/>
        </w:rPr>
        <w:t>autres matières pour lesquelles cette disposition pourrait être applicable.</w:t>
      </w:r>
    </w:p>
    <w:p w:rsidR="00286BDC" w:rsidRPr="000A1E00" w:rsidRDefault="00286BDC" w:rsidP="000A1E00">
      <w:pPr>
        <w:pStyle w:val="H23G"/>
        <w:rPr>
          <w:lang w:val="fr-FR"/>
        </w:rPr>
      </w:pPr>
      <w:r w:rsidRPr="000A1E00">
        <w:rPr>
          <w:lang w:val="fr-FR"/>
        </w:rPr>
        <w:tab/>
        <w:t>5.</w:t>
      </w:r>
      <w:r w:rsidRPr="000A1E00">
        <w:rPr>
          <w:lang w:val="fr-FR"/>
        </w:rPr>
        <w:tab/>
        <w:t>Proposition relative à un groupe de travail informel pour les GRV</w:t>
      </w:r>
    </w:p>
    <w:p w:rsidR="00286BDC" w:rsidRPr="000A1E00" w:rsidRDefault="000A1E00" w:rsidP="000A1E00">
      <w:pPr>
        <w:pStyle w:val="SingleTxtG"/>
        <w:rPr>
          <w:lang w:val="fr-FR"/>
        </w:rPr>
      </w:pPr>
      <w:r>
        <w:rPr>
          <w:i/>
          <w:iCs/>
          <w:lang w:val="fr-FR"/>
        </w:rPr>
        <w:t>Document informel </w:t>
      </w:r>
      <w:r w:rsidR="00286BDC" w:rsidRPr="000A1E00">
        <w:rPr>
          <w:iCs/>
          <w:lang w:val="fr-FR"/>
        </w:rPr>
        <w:t>:</w:t>
      </w:r>
      <w:r w:rsidR="00286BDC" w:rsidRPr="000A1E00">
        <w:rPr>
          <w:lang w:val="fr-FR"/>
        </w:rPr>
        <w:t xml:space="preserve"> </w:t>
      </w:r>
      <w:r w:rsidR="00286BDC" w:rsidRPr="000A1E00">
        <w:rPr>
          <w:lang w:val="fr-FR"/>
        </w:rPr>
        <w:tab/>
        <w:t>INF.52 (Royaume-Uni)</w:t>
      </w:r>
      <w:r>
        <w:rPr>
          <w:lang w:val="fr-FR"/>
        </w:rPr>
        <w:t>.</w:t>
      </w:r>
    </w:p>
    <w:p w:rsidR="00286BDC" w:rsidRPr="000A1E00" w:rsidRDefault="00286BDC" w:rsidP="000A1E00">
      <w:pPr>
        <w:pStyle w:val="SingleTxtG"/>
        <w:rPr>
          <w:lang w:val="fr-FR"/>
        </w:rPr>
      </w:pPr>
      <w:r w:rsidRPr="000A1E00">
        <w:rPr>
          <w:lang w:val="fr-FR"/>
        </w:rPr>
        <w:t>114.</w:t>
      </w:r>
      <w:r w:rsidRPr="000A1E00">
        <w:rPr>
          <w:lang w:val="fr-FR"/>
        </w:rPr>
        <w:tab/>
        <w:t>Considérant le très bon bilan enregistré en matière de sécurité pour les GRV et relevant qu</w:t>
      </w:r>
      <w:r w:rsidR="000A1E00">
        <w:rPr>
          <w:lang w:val="fr-FR"/>
        </w:rPr>
        <w:t>’</w:t>
      </w:r>
      <w:r w:rsidRPr="000A1E00">
        <w:rPr>
          <w:lang w:val="fr-FR"/>
        </w:rPr>
        <w:t>aucune question particulière n</w:t>
      </w:r>
      <w:r w:rsidR="000A1E00">
        <w:rPr>
          <w:lang w:val="fr-FR"/>
        </w:rPr>
        <w:t>’</w:t>
      </w:r>
      <w:r w:rsidRPr="000A1E00">
        <w:rPr>
          <w:lang w:val="fr-FR"/>
        </w:rPr>
        <w:t>avait été soulevée au sujet des dispositions actuelles, la plupart des experts qui ont pris la parole ont estimé qu</w:t>
      </w:r>
      <w:r w:rsidR="000A1E00">
        <w:rPr>
          <w:lang w:val="fr-FR"/>
        </w:rPr>
        <w:t>’</w:t>
      </w:r>
      <w:r w:rsidRPr="000A1E00">
        <w:rPr>
          <w:lang w:val="fr-FR"/>
        </w:rPr>
        <w:t>une révision complète du chapitre 6.5 ne se justifiait pas sur le plan de la sécurité. Il a été rappelé que les groupes de travail informels ne devaient se réunir que pour examiner des questions demandant davantage de temps ou de compétences qui n</w:t>
      </w:r>
      <w:r w:rsidR="000A1E00">
        <w:rPr>
          <w:lang w:val="fr-FR"/>
        </w:rPr>
        <w:t>’</w:t>
      </w:r>
      <w:r w:rsidRPr="000A1E00">
        <w:rPr>
          <w:lang w:val="fr-FR"/>
        </w:rPr>
        <w:t xml:space="preserve">étaient pas disponibles en séance plénière. </w:t>
      </w:r>
    </w:p>
    <w:p w:rsidR="00286BDC" w:rsidRPr="000A1E00" w:rsidRDefault="00286BDC" w:rsidP="00286BDC">
      <w:pPr>
        <w:pStyle w:val="SingleTxtG"/>
        <w:tabs>
          <w:tab w:val="left" w:pos="1701"/>
          <w:tab w:val="left" w:pos="2977"/>
        </w:tabs>
        <w:rPr>
          <w:lang w:val="fr-FR"/>
        </w:rPr>
      </w:pPr>
      <w:r w:rsidRPr="000A1E00">
        <w:rPr>
          <w:lang w:val="fr-FR"/>
        </w:rPr>
        <w:t>115.</w:t>
      </w:r>
      <w:r w:rsidRPr="000A1E00">
        <w:rPr>
          <w:lang w:val="fr-FR"/>
        </w:rPr>
        <w:tab/>
        <w:t>L</w:t>
      </w:r>
      <w:r w:rsidR="000A1E00">
        <w:rPr>
          <w:lang w:val="fr-FR"/>
        </w:rPr>
        <w:t>’</w:t>
      </w:r>
      <w:r w:rsidRPr="000A1E00">
        <w:rPr>
          <w:lang w:val="fr-FR"/>
        </w:rPr>
        <w:t>expert du Royaume-Uni a expliqué que la révision proposée n</w:t>
      </w:r>
      <w:r w:rsidR="000A1E00">
        <w:rPr>
          <w:lang w:val="fr-FR"/>
        </w:rPr>
        <w:t>’</w:t>
      </w:r>
      <w:r w:rsidRPr="000A1E00">
        <w:rPr>
          <w:lang w:val="fr-FR"/>
        </w:rPr>
        <w:t>avait pas pour but de passer en revue les dispositions actuelles, mais de renforcer l</w:t>
      </w:r>
      <w:r w:rsidR="000A1E00">
        <w:rPr>
          <w:lang w:val="fr-FR"/>
        </w:rPr>
        <w:t>’</w:t>
      </w:r>
      <w:r w:rsidRPr="000A1E00">
        <w:rPr>
          <w:lang w:val="fr-FR"/>
        </w:rPr>
        <w:t>harmonisation des approches entre les chapitres 6.1 et 6.5 et d</w:t>
      </w:r>
      <w:r w:rsidR="000A1E00">
        <w:rPr>
          <w:lang w:val="fr-FR"/>
        </w:rPr>
        <w:t>’</w:t>
      </w:r>
      <w:r w:rsidRPr="000A1E00">
        <w:rPr>
          <w:lang w:val="fr-FR"/>
        </w:rPr>
        <w:t xml:space="preserve">améliorer la concordance </w:t>
      </w:r>
      <w:r w:rsidR="000A1E00">
        <w:rPr>
          <w:lang w:val="fr-FR"/>
        </w:rPr>
        <w:t xml:space="preserve">avec les chapitres 6.6 et 6.7. </w:t>
      </w:r>
      <w:r w:rsidRPr="000A1E00">
        <w:rPr>
          <w:lang w:val="fr-FR"/>
        </w:rPr>
        <w:t>Il a ajouté qu</w:t>
      </w:r>
      <w:r w:rsidR="000A1E00">
        <w:rPr>
          <w:lang w:val="fr-FR"/>
        </w:rPr>
        <w:t>’</w:t>
      </w:r>
      <w:r w:rsidRPr="000A1E00">
        <w:rPr>
          <w:lang w:val="fr-FR"/>
        </w:rPr>
        <w:t xml:space="preserve">il tiendrait compte des observations faites et envisagerait de revenir sur la question ultérieurement avec une liste de points pour examen par le Sous-Comité. </w:t>
      </w:r>
    </w:p>
    <w:p w:rsidR="00286BDC" w:rsidRPr="000A1E00" w:rsidRDefault="00286BDC" w:rsidP="00286BDC">
      <w:pPr>
        <w:pStyle w:val="H23G"/>
        <w:rPr>
          <w:lang w:val="fr-FR"/>
        </w:rPr>
      </w:pPr>
      <w:r w:rsidRPr="000A1E00">
        <w:rPr>
          <w:lang w:val="fr-FR"/>
        </w:rPr>
        <w:tab/>
        <w:t>6.</w:t>
      </w:r>
      <w:r w:rsidRPr="000A1E00">
        <w:rPr>
          <w:lang w:val="fr-FR"/>
        </w:rPr>
        <w:tab/>
      </w:r>
      <w:r w:rsidRPr="000A1E00">
        <w:t xml:space="preserve">Marquage multiple des emballages (y compris les grands récipients pour vrac </w:t>
      </w:r>
      <w:r w:rsidR="000A1E00">
        <w:br/>
      </w:r>
      <w:r w:rsidRPr="000A1E00">
        <w:t>et les gr</w:t>
      </w:r>
      <w:r w:rsidRPr="000A1E00">
        <w:rPr>
          <w:bCs/>
          <w:lang w:val="fr-FR"/>
        </w:rPr>
        <w:t>ands emballages), indiquant la conformité avec plus d</w:t>
      </w:r>
      <w:r w:rsidR="000A1E00">
        <w:rPr>
          <w:bCs/>
          <w:lang w:val="fr-FR"/>
        </w:rPr>
        <w:t>’</w:t>
      </w:r>
      <w:r w:rsidRPr="000A1E00">
        <w:rPr>
          <w:bCs/>
          <w:lang w:val="fr-FR"/>
        </w:rPr>
        <w:t xml:space="preserve">un modèle type </w:t>
      </w:r>
      <w:r w:rsidR="000A1E00">
        <w:rPr>
          <w:bCs/>
          <w:lang w:val="fr-FR"/>
        </w:rPr>
        <w:br/>
      </w:r>
      <w:r w:rsidRPr="000A1E00">
        <w:rPr>
          <w:bCs/>
          <w:lang w:val="fr-FR"/>
        </w:rPr>
        <w:t>éprouvé avec succès</w:t>
      </w:r>
    </w:p>
    <w:p w:rsidR="00286BDC" w:rsidRPr="000A1E00" w:rsidRDefault="00286BDC" w:rsidP="000A1E00">
      <w:pPr>
        <w:pStyle w:val="SingleTxtG"/>
        <w:tabs>
          <w:tab w:val="left" w:pos="3119"/>
        </w:tabs>
        <w:rPr>
          <w:lang w:val="fr-FR"/>
        </w:rPr>
      </w:pPr>
      <w:r w:rsidRPr="000A1E00">
        <w:rPr>
          <w:i/>
          <w:iCs/>
          <w:lang w:val="fr-FR"/>
        </w:rPr>
        <w:t>Document</w:t>
      </w:r>
      <w:r w:rsidR="000A1E00">
        <w:rPr>
          <w:i/>
          <w:iCs/>
          <w:lang w:val="fr-FR"/>
        </w:rPr>
        <w:t> </w:t>
      </w:r>
      <w:r w:rsidRPr="000A1E00">
        <w:rPr>
          <w:iCs/>
          <w:lang w:val="fr-FR"/>
        </w:rPr>
        <w:t>:</w:t>
      </w:r>
      <w:r w:rsidRPr="000A1E00">
        <w:rPr>
          <w:lang w:val="fr-FR"/>
        </w:rPr>
        <w:t xml:space="preserve"> </w:t>
      </w:r>
      <w:r w:rsidRPr="000A1E00">
        <w:rPr>
          <w:lang w:val="fr-FR"/>
        </w:rPr>
        <w:tab/>
        <w:t>ST/SG/AC.10/C.3/2018/49 (CEFIC et DGAC)</w:t>
      </w:r>
    </w:p>
    <w:p w:rsidR="00286BDC" w:rsidRPr="000A1E00" w:rsidRDefault="00286BDC" w:rsidP="000A1E00">
      <w:pPr>
        <w:pStyle w:val="SingleTxtG"/>
        <w:tabs>
          <w:tab w:val="left" w:pos="3119"/>
        </w:tabs>
        <w:jc w:val="left"/>
        <w:rPr>
          <w:lang w:val="fr-FR"/>
        </w:rPr>
      </w:pPr>
      <w:r w:rsidRPr="000A1E00">
        <w:rPr>
          <w:i/>
          <w:iCs/>
          <w:lang w:val="fr-FR"/>
        </w:rPr>
        <w:t>Documents informels</w:t>
      </w:r>
      <w:r w:rsidR="000A1E00">
        <w:rPr>
          <w:i/>
          <w:iCs/>
          <w:lang w:val="fr-FR"/>
        </w:rPr>
        <w:t> </w:t>
      </w:r>
      <w:r w:rsidRPr="000A1E00">
        <w:rPr>
          <w:iCs/>
          <w:lang w:val="fr-FR"/>
        </w:rPr>
        <w:t>:</w:t>
      </w:r>
      <w:r w:rsidR="000A1E00">
        <w:rPr>
          <w:lang w:val="fr-FR"/>
        </w:rPr>
        <w:tab/>
        <w:t>INF.44 (Royaume-Uni)</w:t>
      </w:r>
      <w:r w:rsidR="000A1E00">
        <w:rPr>
          <w:lang w:val="fr-FR"/>
        </w:rPr>
        <w:br/>
      </w:r>
      <w:r w:rsidRPr="000A1E00">
        <w:rPr>
          <w:lang w:val="fr-FR"/>
        </w:rPr>
        <w:tab/>
        <w:t>INF.53 (CEFIC)</w:t>
      </w:r>
      <w:r w:rsidR="000A1E00">
        <w:rPr>
          <w:lang w:val="fr-FR"/>
        </w:rPr>
        <w:t>.</w:t>
      </w:r>
    </w:p>
    <w:p w:rsidR="00286BDC" w:rsidRPr="000A1E00" w:rsidRDefault="00286BDC" w:rsidP="000A1E00">
      <w:pPr>
        <w:pStyle w:val="SingleTxtG"/>
        <w:rPr>
          <w:lang w:val="fr-FR"/>
        </w:rPr>
      </w:pPr>
      <w:r w:rsidRPr="000A1E00">
        <w:rPr>
          <w:lang w:val="fr-FR"/>
        </w:rPr>
        <w:t>116.</w:t>
      </w:r>
      <w:r w:rsidRPr="000A1E00">
        <w:rPr>
          <w:lang w:val="fr-FR"/>
        </w:rPr>
        <w:tab/>
        <w:t>Le Sous-Comité a confirmé que les emballages (y compris les GRV et les grands emballages) pouvaient être conformes à plus d</w:t>
      </w:r>
      <w:r w:rsidR="000A1E00">
        <w:rPr>
          <w:lang w:val="fr-FR"/>
        </w:rPr>
        <w:t>’</w:t>
      </w:r>
      <w:r w:rsidRPr="000A1E00">
        <w:rPr>
          <w:lang w:val="fr-FR"/>
        </w:rPr>
        <w:t>un type et être marqués en conséquence, et a estimé qu</w:t>
      </w:r>
      <w:r w:rsidR="000A1E00">
        <w:rPr>
          <w:lang w:val="fr-FR"/>
        </w:rPr>
        <w:t>’</w:t>
      </w:r>
      <w:r w:rsidRPr="000A1E00">
        <w:rPr>
          <w:lang w:val="fr-FR"/>
        </w:rPr>
        <w:t>il n</w:t>
      </w:r>
      <w:r w:rsidR="000A1E00">
        <w:rPr>
          <w:lang w:val="fr-FR"/>
        </w:rPr>
        <w:t>’</w:t>
      </w:r>
      <w:r w:rsidRPr="000A1E00">
        <w:rPr>
          <w:lang w:val="fr-FR"/>
        </w:rPr>
        <w:t>était pas nécessaire de modifier la définition du GRV po</w:t>
      </w:r>
      <w:r w:rsidR="00CF30D6">
        <w:rPr>
          <w:lang w:val="fr-FR"/>
        </w:rPr>
        <w:t>ur préciser ce point, puisqu</w:t>
      </w:r>
      <w:r w:rsidR="000A1E00">
        <w:rPr>
          <w:lang w:val="fr-FR"/>
        </w:rPr>
        <w:t>’</w:t>
      </w:r>
      <w:r w:rsidRPr="000A1E00">
        <w:rPr>
          <w:lang w:val="fr-FR"/>
        </w:rPr>
        <w:t>elle n</w:t>
      </w:r>
      <w:r w:rsidR="000A1E00">
        <w:rPr>
          <w:lang w:val="fr-FR"/>
        </w:rPr>
        <w:t>’</w:t>
      </w:r>
      <w:r w:rsidRPr="000A1E00">
        <w:rPr>
          <w:lang w:val="fr-FR"/>
        </w:rPr>
        <w:t>exclut pas la possibilité d</w:t>
      </w:r>
      <w:r w:rsidR="000A1E00">
        <w:rPr>
          <w:lang w:val="fr-FR"/>
        </w:rPr>
        <w:t>’</w:t>
      </w:r>
      <w:r w:rsidRPr="000A1E00">
        <w:rPr>
          <w:lang w:val="fr-FR"/>
        </w:rPr>
        <w:t>éprouver et d</w:t>
      </w:r>
      <w:r w:rsidR="000A1E00">
        <w:rPr>
          <w:lang w:val="fr-FR"/>
        </w:rPr>
        <w:t>’</w:t>
      </w:r>
      <w:r w:rsidRPr="000A1E00">
        <w:rPr>
          <w:lang w:val="fr-FR"/>
        </w:rPr>
        <w:t>homologuer également un GRV en tant qu</w:t>
      </w:r>
      <w:r w:rsidR="000A1E00">
        <w:rPr>
          <w:lang w:val="fr-FR"/>
        </w:rPr>
        <w:t>’</w:t>
      </w:r>
      <w:r w:rsidRPr="000A1E00">
        <w:rPr>
          <w:lang w:val="fr-FR"/>
        </w:rPr>
        <w:t>emballage</w:t>
      </w:r>
      <w:r w:rsidR="000A1E00">
        <w:rPr>
          <w:lang w:val="fr-FR"/>
        </w:rPr>
        <w:t>.</w:t>
      </w:r>
    </w:p>
    <w:p w:rsidR="00286BDC" w:rsidRPr="000A1E00" w:rsidRDefault="00286BDC" w:rsidP="000A1E00">
      <w:pPr>
        <w:pStyle w:val="SingleTxtG"/>
        <w:rPr>
          <w:lang w:val="fr-FR"/>
        </w:rPr>
      </w:pPr>
      <w:r w:rsidRPr="000A1E00">
        <w:rPr>
          <w:lang w:val="fr-FR"/>
        </w:rPr>
        <w:t>117.</w:t>
      </w:r>
      <w:r w:rsidRPr="000A1E00">
        <w:rPr>
          <w:lang w:val="fr-FR"/>
        </w:rPr>
        <w:tab/>
        <w:t>Le Sous-Comité a adopté les propositions énoncées aux paragraphes 12 et 13 du document ST/SG/AC.10/C.3/2018/49, telles que modifiées par le document informel INF.53, moyennant un amendement supplémentaire au 4.1.1.3.1 (voir l</w:t>
      </w:r>
      <w:r w:rsidR="000A1E00">
        <w:rPr>
          <w:lang w:val="fr-FR"/>
        </w:rPr>
        <w:t>’</w:t>
      </w:r>
      <w:r w:rsidRPr="000A1E00">
        <w:rPr>
          <w:lang w:val="fr-FR"/>
        </w:rPr>
        <w:t>annexe I).</w:t>
      </w:r>
    </w:p>
    <w:p w:rsidR="00286BDC" w:rsidRPr="000A1E00" w:rsidRDefault="000A1E00" w:rsidP="000A1E00">
      <w:pPr>
        <w:pStyle w:val="H23G"/>
        <w:rPr>
          <w:lang w:val="fr-FR"/>
        </w:rPr>
      </w:pPr>
      <w:r>
        <w:rPr>
          <w:lang w:val="fr-FR"/>
        </w:rPr>
        <w:tab/>
        <w:t>7.</w:t>
      </w:r>
      <w:r>
        <w:rPr>
          <w:lang w:val="fr-FR"/>
        </w:rPr>
        <w:tab/>
      </w:r>
      <w:r w:rsidR="00286BDC" w:rsidRPr="000A1E00">
        <w:rPr>
          <w:lang w:val="fr-FR"/>
        </w:rPr>
        <w:t>Épaisseur minimale de la paroi des grands récipients pour vrac en métal</w:t>
      </w:r>
    </w:p>
    <w:p w:rsidR="00286BDC" w:rsidRPr="000A1E00" w:rsidRDefault="00286BDC" w:rsidP="000A1E00">
      <w:pPr>
        <w:pStyle w:val="SingleTxtG"/>
        <w:tabs>
          <w:tab w:val="left" w:pos="3119"/>
        </w:tabs>
        <w:rPr>
          <w:lang w:val="fr-FR"/>
        </w:rPr>
      </w:pPr>
      <w:r w:rsidRPr="000A1E00">
        <w:rPr>
          <w:i/>
          <w:iCs/>
          <w:lang w:val="fr-FR"/>
        </w:rPr>
        <w:t>Document</w:t>
      </w:r>
      <w:r w:rsidR="000A1E00">
        <w:rPr>
          <w:i/>
          <w:iCs/>
          <w:lang w:val="fr-FR"/>
        </w:rPr>
        <w:t> </w:t>
      </w:r>
      <w:r w:rsidRPr="000A1E00">
        <w:rPr>
          <w:iCs/>
          <w:lang w:val="fr-FR"/>
        </w:rPr>
        <w:t>:</w:t>
      </w:r>
      <w:r w:rsidRPr="000A1E00">
        <w:rPr>
          <w:lang w:val="fr-FR"/>
        </w:rPr>
        <w:t xml:space="preserve"> </w:t>
      </w:r>
      <w:r w:rsidRPr="000A1E00">
        <w:rPr>
          <w:lang w:val="fr-FR"/>
        </w:rPr>
        <w:tab/>
        <w:t>ST/SG/AC.10/C.3/2018/34 (SSCA)</w:t>
      </w:r>
    </w:p>
    <w:p w:rsidR="00286BDC" w:rsidRPr="000A1E00" w:rsidRDefault="00286BDC" w:rsidP="000A1E00">
      <w:pPr>
        <w:pStyle w:val="SingleTxtG"/>
        <w:tabs>
          <w:tab w:val="left" w:pos="3119"/>
        </w:tabs>
        <w:rPr>
          <w:lang w:val="fr-FR"/>
        </w:rPr>
      </w:pPr>
      <w:r w:rsidRPr="000A1E00">
        <w:rPr>
          <w:i/>
          <w:lang w:val="fr-FR"/>
        </w:rPr>
        <w:t>Document informel</w:t>
      </w:r>
      <w:r w:rsidR="000A1E00">
        <w:rPr>
          <w:lang w:val="fr-FR"/>
        </w:rPr>
        <w:t> </w:t>
      </w:r>
      <w:r w:rsidRPr="000A1E00">
        <w:rPr>
          <w:lang w:val="fr-FR"/>
        </w:rPr>
        <w:t>:</w:t>
      </w:r>
      <w:r w:rsidRPr="000A1E00">
        <w:rPr>
          <w:lang w:val="fr-FR"/>
        </w:rPr>
        <w:tab/>
        <w:t>INF.60 (SSCA)</w:t>
      </w:r>
      <w:r w:rsidR="000A1E00">
        <w:rPr>
          <w:lang w:val="fr-FR"/>
        </w:rPr>
        <w:t>.</w:t>
      </w:r>
    </w:p>
    <w:p w:rsidR="00286BDC" w:rsidRPr="000A1E00" w:rsidRDefault="00286BDC" w:rsidP="000A1E00">
      <w:pPr>
        <w:pStyle w:val="SingleTxtG"/>
        <w:rPr>
          <w:lang w:val="fr-FR"/>
        </w:rPr>
      </w:pPr>
      <w:r w:rsidRPr="000A1E00">
        <w:rPr>
          <w:lang w:val="fr-FR"/>
        </w:rPr>
        <w:t>118.</w:t>
      </w:r>
      <w:r w:rsidRPr="000A1E00">
        <w:rPr>
          <w:lang w:val="fr-FR"/>
        </w:rPr>
        <w:tab/>
        <w:t>Les avis étaient partagés quant à la proposition de suppression de la prescription concernant l</w:t>
      </w:r>
      <w:r w:rsidR="000A1E00">
        <w:rPr>
          <w:lang w:val="fr-FR"/>
        </w:rPr>
        <w:t>’</w:t>
      </w:r>
      <w:r w:rsidRPr="000A1E00">
        <w:rPr>
          <w:lang w:val="fr-FR"/>
        </w:rPr>
        <w:t>épaisseur minimale de la paroi des GRV en métal au 6.5.5.1.6. Pour certains experts, cette prescription garantissait un minimum de sécurité et l</w:t>
      </w:r>
      <w:r w:rsidR="000A1E00">
        <w:rPr>
          <w:lang w:val="fr-FR"/>
        </w:rPr>
        <w:t>’</w:t>
      </w:r>
      <w:r w:rsidRPr="000A1E00">
        <w:rPr>
          <w:lang w:val="fr-FR"/>
        </w:rPr>
        <w:t>on avait besoin d</w:t>
      </w:r>
      <w:r w:rsidR="000A1E00">
        <w:rPr>
          <w:lang w:val="fr-FR"/>
        </w:rPr>
        <w:t>’</w:t>
      </w:r>
      <w:r w:rsidRPr="000A1E00">
        <w:rPr>
          <w:lang w:val="fr-FR"/>
        </w:rPr>
        <w:t>informations complémentaires en vue d</w:t>
      </w:r>
      <w:r w:rsidR="000A1E00">
        <w:rPr>
          <w:lang w:val="fr-FR"/>
        </w:rPr>
        <w:t>’</w:t>
      </w:r>
      <w:r w:rsidRPr="000A1E00">
        <w:rPr>
          <w:lang w:val="fr-FR"/>
        </w:rPr>
        <w:t>évaluer l</w:t>
      </w:r>
      <w:r w:rsidR="000A1E00">
        <w:rPr>
          <w:lang w:val="fr-FR"/>
        </w:rPr>
        <w:t>’</w:t>
      </w:r>
      <w:r w:rsidRPr="000A1E00">
        <w:rPr>
          <w:lang w:val="fr-FR"/>
        </w:rPr>
        <w:t>incidence de sa suppression sur le niveau de performance des GRV. D</w:t>
      </w:r>
      <w:r w:rsidR="000A1E00">
        <w:rPr>
          <w:lang w:val="fr-FR"/>
        </w:rPr>
        <w:t>’</w:t>
      </w:r>
      <w:r w:rsidRPr="000A1E00">
        <w:rPr>
          <w:lang w:val="fr-FR"/>
        </w:rPr>
        <w:t>autres, en revanche, estimaient que les préoccupations exprimées au sujet de la résistance à la corrosion ou aux chaleurs extrêmes durant les longs transports multimodaux étaient davantage liées à la durée de vie escomptée du GRV plutôt qu</w:t>
      </w:r>
      <w:r w:rsidR="000A1E00">
        <w:rPr>
          <w:lang w:val="fr-FR"/>
        </w:rPr>
        <w:t>’</w:t>
      </w:r>
      <w:r w:rsidRPr="000A1E00">
        <w:rPr>
          <w:lang w:val="fr-FR"/>
        </w:rPr>
        <w:t>aux prescriptions concernant l</w:t>
      </w:r>
      <w:r w:rsidR="000A1E00">
        <w:rPr>
          <w:lang w:val="fr-FR"/>
        </w:rPr>
        <w:t>’</w:t>
      </w:r>
      <w:r w:rsidRPr="000A1E00">
        <w:rPr>
          <w:lang w:val="fr-FR"/>
        </w:rPr>
        <w:t>épaisseur de la paroi.</w:t>
      </w:r>
    </w:p>
    <w:p w:rsidR="00286BDC" w:rsidRPr="000A1E00" w:rsidRDefault="00286BDC" w:rsidP="000A1E00">
      <w:pPr>
        <w:pStyle w:val="SingleTxtG"/>
        <w:rPr>
          <w:lang w:val="fr-FR"/>
        </w:rPr>
      </w:pPr>
      <w:r w:rsidRPr="000A1E00">
        <w:rPr>
          <w:lang w:val="fr-FR"/>
        </w:rPr>
        <w:t>119.</w:t>
      </w:r>
      <w:r w:rsidRPr="000A1E00">
        <w:rPr>
          <w:lang w:val="fr-FR"/>
        </w:rPr>
        <w:tab/>
        <w:t>Ayant noté que plusieurs experts demandaient plus de temps pour consulter les parties prenantes à l</w:t>
      </w:r>
      <w:r w:rsidR="000A1E00">
        <w:rPr>
          <w:lang w:val="fr-FR"/>
        </w:rPr>
        <w:t>’</w:t>
      </w:r>
      <w:r w:rsidRPr="000A1E00">
        <w:rPr>
          <w:lang w:val="fr-FR"/>
        </w:rPr>
        <w:t>échelon national, le Sous-Comité a décidé de reporter la décision sur cette question et a invité le représentant de la SSCA à soumettre la proposition du document informel INF.60 dans un document officiel en vue de la prochaine session.</w:t>
      </w:r>
    </w:p>
    <w:p w:rsidR="00286BDC" w:rsidRPr="000A1E00" w:rsidRDefault="00286BDC" w:rsidP="000A1E00">
      <w:pPr>
        <w:pStyle w:val="H23G"/>
        <w:rPr>
          <w:lang w:val="fr-FR"/>
        </w:rPr>
      </w:pPr>
      <w:r w:rsidRPr="000A1E00">
        <w:rPr>
          <w:lang w:val="fr-FR"/>
        </w:rPr>
        <w:tab/>
        <w:t>8.</w:t>
      </w:r>
      <w:r w:rsidRPr="000A1E00">
        <w:rPr>
          <w:lang w:val="fr-FR"/>
        </w:rPr>
        <w:tab/>
        <w:t>Inscription de la date de fabrication sur les emballages des types 1H et 3H et sur les récipients intérieurs de type grand récipient pour vrac (GRV) composite</w:t>
      </w:r>
    </w:p>
    <w:p w:rsidR="00286BDC" w:rsidRPr="000A1E00" w:rsidRDefault="00286BDC" w:rsidP="000A1E00">
      <w:pPr>
        <w:pStyle w:val="SingleTxtG"/>
        <w:tabs>
          <w:tab w:val="left" w:pos="3119"/>
        </w:tabs>
        <w:rPr>
          <w:lang w:val="fr-FR"/>
        </w:rPr>
      </w:pPr>
      <w:r w:rsidRPr="000A1E00">
        <w:rPr>
          <w:i/>
          <w:iCs/>
          <w:lang w:val="fr-FR"/>
        </w:rPr>
        <w:t>Document</w:t>
      </w:r>
      <w:r w:rsidR="000A1E00">
        <w:rPr>
          <w:i/>
          <w:iCs/>
          <w:lang w:val="fr-FR"/>
        </w:rPr>
        <w:t> </w:t>
      </w:r>
      <w:r w:rsidRPr="000A1E00">
        <w:rPr>
          <w:iCs/>
          <w:lang w:val="fr-FR"/>
        </w:rPr>
        <w:t>:</w:t>
      </w:r>
      <w:r w:rsidRPr="000A1E00">
        <w:rPr>
          <w:lang w:val="fr-FR"/>
        </w:rPr>
        <w:t xml:space="preserve"> </w:t>
      </w:r>
      <w:r w:rsidRPr="000A1E00">
        <w:rPr>
          <w:lang w:val="fr-FR"/>
        </w:rPr>
        <w:tab/>
        <w:t>ST/SG/AC.10/C.3/2018/46 (Belgique)</w:t>
      </w:r>
    </w:p>
    <w:p w:rsidR="00286BDC" w:rsidRPr="000A1E00" w:rsidRDefault="00286BDC" w:rsidP="000A1E00">
      <w:pPr>
        <w:pStyle w:val="SingleTxtG"/>
        <w:tabs>
          <w:tab w:val="left" w:pos="3119"/>
        </w:tabs>
        <w:rPr>
          <w:lang w:val="fr-FR"/>
        </w:rPr>
      </w:pPr>
      <w:r w:rsidRPr="000A1E00">
        <w:rPr>
          <w:i/>
          <w:lang w:val="fr-FR"/>
        </w:rPr>
        <w:t>Document informel</w:t>
      </w:r>
      <w:r w:rsidR="000A1E00">
        <w:rPr>
          <w:lang w:val="fr-FR"/>
        </w:rPr>
        <w:t> </w:t>
      </w:r>
      <w:r w:rsidRPr="000A1E00">
        <w:rPr>
          <w:lang w:val="fr-FR"/>
        </w:rPr>
        <w:t>:</w:t>
      </w:r>
      <w:r w:rsidRPr="000A1E00">
        <w:rPr>
          <w:lang w:val="fr-FR"/>
        </w:rPr>
        <w:tab/>
        <w:t>INF.63 (Belgique)</w:t>
      </w:r>
      <w:r w:rsidR="000A1E00">
        <w:rPr>
          <w:lang w:val="fr-FR"/>
        </w:rPr>
        <w:t>.</w:t>
      </w:r>
    </w:p>
    <w:p w:rsidR="00286BDC" w:rsidRPr="000A1E00" w:rsidRDefault="00286BDC" w:rsidP="000A1E00">
      <w:pPr>
        <w:pStyle w:val="SingleTxtG"/>
        <w:rPr>
          <w:lang w:val="fr-FR"/>
        </w:rPr>
      </w:pPr>
      <w:r w:rsidRPr="000A1E00">
        <w:rPr>
          <w:lang w:val="fr-FR"/>
        </w:rPr>
        <w:t>120.</w:t>
      </w:r>
      <w:r w:rsidRPr="000A1E00">
        <w:rPr>
          <w:lang w:val="fr-FR"/>
        </w:rPr>
        <w:tab/>
        <w:t>La proposition formulée dans le document ST/SG/AC.10/C.3/2018/21 a été adoptée telle que modifiée par le document informel INF.63, moyennant quelques modifications supplémentaires (voir l</w:t>
      </w:r>
      <w:r w:rsidR="000A1E00">
        <w:rPr>
          <w:lang w:val="fr-FR"/>
        </w:rPr>
        <w:t>’</w:t>
      </w:r>
      <w:r w:rsidRPr="000A1E00">
        <w:rPr>
          <w:lang w:val="fr-FR"/>
        </w:rPr>
        <w:t>annexe I).</w:t>
      </w:r>
    </w:p>
    <w:p w:rsidR="00286BDC" w:rsidRPr="000A1E00" w:rsidRDefault="00286BDC" w:rsidP="000A1E00">
      <w:pPr>
        <w:pStyle w:val="H1G"/>
        <w:rPr>
          <w:lang w:val="fr-FR"/>
        </w:rPr>
      </w:pPr>
      <w:r w:rsidRPr="000A1E00">
        <w:rPr>
          <w:lang w:val="fr-FR"/>
        </w:rPr>
        <w:tab/>
        <w:t>C.</w:t>
      </w:r>
      <w:r w:rsidRPr="000A1E00">
        <w:rPr>
          <w:lang w:val="fr-FR"/>
        </w:rPr>
        <w:tab/>
        <w:t>Citernes mobiles</w:t>
      </w:r>
    </w:p>
    <w:p w:rsidR="00286BDC" w:rsidRPr="000A1E00" w:rsidRDefault="00286BDC" w:rsidP="000A1E00">
      <w:pPr>
        <w:pStyle w:val="H23G"/>
        <w:rPr>
          <w:lang w:val="fr-FR"/>
        </w:rPr>
      </w:pPr>
      <w:r w:rsidRPr="000A1E00">
        <w:rPr>
          <w:lang w:val="fr-FR"/>
        </w:rPr>
        <w:tab/>
        <w:t>1.</w:t>
      </w:r>
      <w:r w:rsidRPr="000A1E00">
        <w:rPr>
          <w:lang w:val="fr-FR"/>
        </w:rPr>
        <w:tab/>
        <w:t xml:space="preserve">Dispositions supplémentaires applicables au transport de matières de la classe 8 </w:t>
      </w:r>
      <w:r w:rsidR="00CF30D6">
        <w:rPr>
          <w:lang w:val="fr-FR"/>
        </w:rPr>
        <w:br/>
      </w:r>
      <w:r w:rsidRPr="000A1E00">
        <w:rPr>
          <w:lang w:val="fr-FR"/>
        </w:rPr>
        <w:t>en citernes mobiles</w:t>
      </w:r>
    </w:p>
    <w:p w:rsidR="00286BDC" w:rsidRPr="000A1E00" w:rsidRDefault="000A1E00" w:rsidP="000A1E00">
      <w:pPr>
        <w:pStyle w:val="SingleTxtG"/>
        <w:tabs>
          <w:tab w:val="left" w:pos="3119"/>
        </w:tabs>
        <w:rPr>
          <w:lang w:val="en-US"/>
        </w:rPr>
      </w:pPr>
      <w:r>
        <w:rPr>
          <w:i/>
          <w:iCs/>
          <w:lang w:val="en-US"/>
        </w:rPr>
        <w:t>Document </w:t>
      </w:r>
      <w:r w:rsidR="00286BDC" w:rsidRPr="000A1E00">
        <w:rPr>
          <w:iCs/>
          <w:lang w:val="en-US"/>
        </w:rPr>
        <w:t>:</w:t>
      </w:r>
      <w:r w:rsidR="00286BDC" w:rsidRPr="000A1E00">
        <w:rPr>
          <w:lang w:val="en-US"/>
        </w:rPr>
        <w:t xml:space="preserve"> </w:t>
      </w:r>
      <w:r w:rsidR="00286BDC" w:rsidRPr="000A1E00">
        <w:rPr>
          <w:lang w:val="en-US"/>
        </w:rPr>
        <w:tab/>
        <w:t>ST/SG/AC.10/C.3/2018/18 (Canada)</w:t>
      </w:r>
      <w:r>
        <w:rPr>
          <w:lang w:val="en-US"/>
        </w:rPr>
        <w:t>.</w:t>
      </w:r>
    </w:p>
    <w:p w:rsidR="00286BDC" w:rsidRPr="000A1E00" w:rsidRDefault="00286BDC" w:rsidP="000A1E00">
      <w:pPr>
        <w:pStyle w:val="SingleTxtG"/>
        <w:rPr>
          <w:lang w:val="fr-FR"/>
        </w:rPr>
      </w:pPr>
      <w:r w:rsidRPr="000A1E00">
        <w:rPr>
          <w:lang w:val="fr-FR"/>
        </w:rPr>
        <w:t>121.</w:t>
      </w:r>
      <w:r w:rsidRPr="000A1E00">
        <w:rPr>
          <w:lang w:val="fr-FR"/>
        </w:rPr>
        <w:tab/>
        <w:t>Les experts étaient d</w:t>
      </w:r>
      <w:r w:rsidR="000A1E00">
        <w:rPr>
          <w:lang w:val="fr-FR"/>
        </w:rPr>
        <w:t>’</w:t>
      </w:r>
      <w:r w:rsidRPr="000A1E00">
        <w:rPr>
          <w:lang w:val="fr-FR"/>
        </w:rPr>
        <w:t>accord pour que l</w:t>
      </w:r>
      <w:r w:rsidR="000A1E00">
        <w:rPr>
          <w:lang w:val="fr-FR"/>
        </w:rPr>
        <w:t>’</w:t>
      </w:r>
      <w:r w:rsidRPr="000A1E00">
        <w:rPr>
          <w:lang w:val="fr-FR"/>
        </w:rPr>
        <w:t>on précise la disposition du 4.2.1.17.1. Cependant, la proposition telle que formulée suscitait des préoccupations quant à l</w:t>
      </w:r>
      <w:r w:rsidR="000A1E00">
        <w:rPr>
          <w:lang w:val="fr-FR"/>
        </w:rPr>
        <w:t>’</w:t>
      </w:r>
      <w:r w:rsidRPr="000A1E00">
        <w:rPr>
          <w:lang w:val="fr-FR"/>
        </w:rPr>
        <w:t>interprétation de la périodicité et de l</w:t>
      </w:r>
      <w:r w:rsidR="000A1E00">
        <w:rPr>
          <w:lang w:val="fr-FR"/>
        </w:rPr>
        <w:t>’</w:t>
      </w:r>
      <w:r w:rsidRPr="000A1E00">
        <w:rPr>
          <w:lang w:val="fr-FR"/>
        </w:rPr>
        <w:t>étendue de l</w:t>
      </w:r>
      <w:r w:rsidR="000A1E00">
        <w:rPr>
          <w:lang w:val="fr-FR"/>
        </w:rPr>
        <w:t>’</w:t>
      </w:r>
      <w:r w:rsidRPr="000A1E00">
        <w:rPr>
          <w:lang w:val="fr-FR"/>
        </w:rPr>
        <w:t>inspection proposée, s</w:t>
      </w:r>
      <w:r w:rsidR="000A1E00">
        <w:rPr>
          <w:lang w:val="fr-FR"/>
        </w:rPr>
        <w:t>’</w:t>
      </w:r>
      <w:r w:rsidRPr="000A1E00">
        <w:rPr>
          <w:lang w:val="fr-FR"/>
        </w:rPr>
        <w:t>agissant de la référence au 6.7.2.18.8 e) et des prescriptions d</w:t>
      </w:r>
      <w:r w:rsidR="000A1E00">
        <w:rPr>
          <w:lang w:val="fr-FR"/>
        </w:rPr>
        <w:t>’</w:t>
      </w:r>
      <w:r w:rsidRPr="000A1E00">
        <w:rPr>
          <w:lang w:val="fr-FR"/>
        </w:rPr>
        <w:t>inspection et d</w:t>
      </w:r>
      <w:r w:rsidR="000A1E00">
        <w:rPr>
          <w:lang w:val="fr-FR"/>
        </w:rPr>
        <w:t>’</w:t>
      </w:r>
      <w:r w:rsidRPr="000A1E00">
        <w:rPr>
          <w:lang w:val="fr-FR"/>
        </w:rPr>
        <w:t>épreuve tous les 2,5 et 5</w:t>
      </w:r>
      <w:r w:rsidR="000A1E00">
        <w:rPr>
          <w:lang w:val="fr-FR"/>
        </w:rPr>
        <w:t> </w:t>
      </w:r>
      <w:r w:rsidRPr="000A1E00">
        <w:rPr>
          <w:lang w:val="fr-FR"/>
        </w:rPr>
        <w:t xml:space="preserve">ans pour les citernes mobiles au chapitre 6.7. </w:t>
      </w:r>
    </w:p>
    <w:p w:rsidR="00286BDC" w:rsidRPr="000A1E00" w:rsidRDefault="00286BDC" w:rsidP="000A1E00">
      <w:pPr>
        <w:pStyle w:val="SingleTxtG"/>
        <w:rPr>
          <w:lang w:val="fr-FR"/>
        </w:rPr>
      </w:pPr>
      <w:r w:rsidRPr="000A1E00">
        <w:rPr>
          <w:lang w:val="fr-FR"/>
        </w:rPr>
        <w:t>122.</w:t>
      </w:r>
      <w:r w:rsidRPr="000A1E00">
        <w:rPr>
          <w:lang w:val="fr-FR"/>
        </w:rPr>
        <w:tab/>
        <w:t>L</w:t>
      </w:r>
      <w:r w:rsidR="000A1E00">
        <w:rPr>
          <w:lang w:val="fr-FR"/>
        </w:rPr>
        <w:t>’</w:t>
      </w:r>
      <w:r w:rsidRPr="000A1E00">
        <w:rPr>
          <w:lang w:val="fr-FR"/>
        </w:rPr>
        <w:t>experte du Canada a retiré la proposition et a dit qu</w:t>
      </w:r>
      <w:r w:rsidR="000A1E00">
        <w:rPr>
          <w:lang w:val="fr-FR"/>
        </w:rPr>
        <w:t>’</w:t>
      </w:r>
      <w:r w:rsidRPr="000A1E00">
        <w:rPr>
          <w:lang w:val="fr-FR"/>
        </w:rPr>
        <w:t xml:space="preserve">elle soumettrait pour la session suivante un document révisé tenant compte des observations formulées. </w:t>
      </w:r>
    </w:p>
    <w:p w:rsidR="00286BDC" w:rsidRPr="000A1E00" w:rsidRDefault="00CF30D6" w:rsidP="000A1E00">
      <w:pPr>
        <w:pStyle w:val="H23G"/>
        <w:rPr>
          <w:lang w:val="fr-FR"/>
        </w:rPr>
      </w:pPr>
      <w:r>
        <w:rPr>
          <w:lang w:val="fr-FR"/>
        </w:rPr>
        <w:tab/>
        <w:t>2.</w:t>
      </w:r>
      <w:r>
        <w:rPr>
          <w:lang w:val="fr-FR"/>
        </w:rPr>
        <w:tab/>
        <w:t>Temps de retenue −</w:t>
      </w:r>
      <w:r w:rsidR="00286BDC" w:rsidRPr="000A1E00">
        <w:rPr>
          <w:lang w:val="fr-FR"/>
        </w:rPr>
        <w:t xml:space="preserve"> informations contenues dans le document de transport</w:t>
      </w:r>
    </w:p>
    <w:p w:rsidR="00286BDC" w:rsidRPr="000A1E00" w:rsidRDefault="00286BDC" w:rsidP="00CF30D6">
      <w:pPr>
        <w:pStyle w:val="SingleTxtG"/>
        <w:tabs>
          <w:tab w:val="left" w:pos="3119"/>
        </w:tabs>
        <w:rPr>
          <w:lang w:val="fr-FR"/>
        </w:rPr>
      </w:pPr>
      <w:r w:rsidRPr="000A1E00">
        <w:rPr>
          <w:i/>
          <w:iCs/>
          <w:lang w:val="fr-FR"/>
        </w:rPr>
        <w:t>Document</w:t>
      </w:r>
      <w:r w:rsidR="000A1E00">
        <w:rPr>
          <w:i/>
          <w:iCs/>
          <w:lang w:val="fr-FR"/>
        </w:rPr>
        <w:t> </w:t>
      </w:r>
      <w:r w:rsidRPr="000A1E00">
        <w:rPr>
          <w:iCs/>
          <w:lang w:val="fr-FR"/>
        </w:rPr>
        <w:t>:</w:t>
      </w:r>
      <w:r w:rsidRPr="000A1E00">
        <w:rPr>
          <w:lang w:val="fr-FR"/>
        </w:rPr>
        <w:t xml:space="preserve"> </w:t>
      </w:r>
      <w:r w:rsidRPr="000A1E00">
        <w:rPr>
          <w:lang w:val="fr-FR"/>
        </w:rPr>
        <w:tab/>
        <w:t>ST/SG/AC.10/C.3/2018/42 (Belgique)</w:t>
      </w:r>
      <w:r w:rsidR="000A1E00">
        <w:rPr>
          <w:lang w:val="fr-FR"/>
        </w:rPr>
        <w:t>.</w:t>
      </w:r>
    </w:p>
    <w:p w:rsidR="00286BDC" w:rsidRPr="000A1E00" w:rsidRDefault="00286BDC" w:rsidP="000A1E00">
      <w:pPr>
        <w:pStyle w:val="SingleTxtG"/>
        <w:rPr>
          <w:lang w:val="fr-FR"/>
        </w:rPr>
      </w:pPr>
      <w:r w:rsidRPr="000A1E00">
        <w:rPr>
          <w:lang w:val="fr-FR"/>
        </w:rPr>
        <w:t>123.</w:t>
      </w:r>
      <w:r w:rsidRPr="000A1E00">
        <w:rPr>
          <w:lang w:val="fr-FR"/>
        </w:rPr>
        <w:tab/>
        <w:t>Le Sous-Comité a adopté la proposition présentée aux paragraphes 6 et 7 du document (voir l</w:t>
      </w:r>
      <w:r w:rsidR="000A1E00">
        <w:rPr>
          <w:lang w:val="fr-FR"/>
        </w:rPr>
        <w:t>’</w:t>
      </w:r>
      <w:r w:rsidRPr="000A1E00">
        <w:rPr>
          <w:lang w:val="fr-FR"/>
        </w:rPr>
        <w:t>annexe I).</w:t>
      </w:r>
    </w:p>
    <w:p w:rsidR="00286BDC" w:rsidRPr="000A1E00" w:rsidRDefault="00286BDC" w:rsidP="000A1E00">
      <w:pPr>
        <w:pStyle w:val="H23G"/>
        <w:rPr>
          <w:lang w:val="fr-FR"/>
        </w:rPr>
      </w:pPr>
      <w:r w:rsidRPr="000A1E00">
        <w:rPr>
          <w:lang w:val="fr-FR"/>
        </w:rPr>
        <w:tab/>
        <w:t>3.</w:t>
      </w:r>
      <w:r w:rsidRPr="000A1E00">
        <w:rPr>
          <w:lang w:val="fr-FR"/>
        </w:rPr>
        <w:tab/>
        <w:t xml:space="preserve">Éclaircissements au sujet de la disposition spéciale TP19 applicable au transport </w:t>
      </w:r>
      <w:r w:rsidR="000A1E00">
        <w:rPr>
          <w:lang w:val="fr-FR"/>
        </w:rPr>
        <w:br/>
      </w:r>
      <w:r w:rsidRPr="000A1E00">
        <w:rPr>
          <w:lang w:val="fr-FR"/>
        </w:rPr>
        <w:t>en citernes mobiles</w:t>
      </w:r>
    </w:p>
    <w:p w:rsidR="00286BDC" w:rsidRPr="000A1E00" w:rsidRDefault="00286BDC" w:rsidP="00CF30D6">
      <w:pPr>
        <w:pStyle w:val="SingleTxtG"/>
        <w:tabs>
          <w:tab w:val="left" w:pos="3119"/>
        </w:tabs>
        <w:rPr>
          <w:lang w:val="fr-FR"/>
        </w:rPr>
      </w:pPr>
      <w:r w:rsidRPr="000A1E00">
        <w:rPr>
          <w:i/>
          <w:iCs/>
          <w:lang w:val="fr-FR"/>
        </w:rPr>
        <w:t>Document</w:t>
      </w:r>
      <w:r w:rsidR="000A1E00">
        <w:rPr>
          <w:i/>
          <w:iCs/>
          <w:lang w:val="fr-FR"/>
        </w:rPr>
        <w:t> </w:t>
      </w:r>
      <w:r w:rsidRPr="000A1E00">
        <w:rPr>
          <w:iCs/>
          <w:lang w:val="fr-FR"/>
        </w:rPr>
        <w:t>:</w:t>
      </w:r>
      <w:r w:rsidRPr="000A1E00">
        <w:rPr>
          <w:lang w:val="fr-FR"/>
        </w:rPr>
        <w:t xml:space="preserve"> </w:t>
      </w:r>
      <w:r w:rsidRPr="000A1E00">
        <w:rPr>
          <w:lang w:val="fr-FR"/>
        </w:rPr>
        <w:tab/>
      </w:r>
      <w:r w:rsidRPr="00CF30D6">
        <w:rPr>
          <w:lang w:val="en-US"/>
        </w:rPr>
        <w:t>ST</w:t>
      </w:r>
      <w:r w:rsidRPr="000A1E00">
        <w:rPr>
          <w:lang w:val="fr-FR"/>
        </w:rPr>
        <w:t>/SG/AC.10/C.3/2018/43 (Belgique)</w:t>
      </w:r>
      <w:r w:rsidR="000A1E00">
        <w:rPr>
          <w:lang w:val="fr-FR"/>
        </w:rPr>
        <w:t>.</w:t>
      </w:r>
    </w:p>
    <w:p w:rsidR="00286BDC" w:rsidRPr="000A1E00" w:rsidRDefault="00286BDC" w:rsidP="006D54DB">
      <w:pPr>
        <w:pStyle w:val="SingleTxtG"/>
        <w:rPr>
          <w:lang w:val="fr-FR"/>
        </w:rPr>
      </w:pPr>
      <w:r w:rsidRPr="000A1E00">
        <w:rPr>
          <w:lang w:val="fr-FR"/>
        </w:rPr>
        <w:t>124.</w:t>
      </w:r>
      <w:r w:rsidRPr="000A1E00">
        <w:rPr>
          <w:lang w:val="fr-FR"/>
        </w:rPr>
        <w:tab/>
        <w:t>Le Sous-Comité a adopté la solution 2 de la proposition formulée au paragraphe 6 du document, moyennant quelques amendements (voir l</w:t>
      </w:r>
      <w:r w:rsidR="000A1E00">
        <w:rPr>
          <w:lang w:val="fr-FR"/>
        </w:rPr>
        <w:t>’</w:t>
      </w:r>
      <w:r w:rsidRPr="000A1E00">
        <w:rPr>
          <w:lang w:val="fr-FR"/>
        </w:rPr>
        <w:t>annexe I).</w:t>
      </w:r>
    </w:p>
    <w:p w:rsidR="00286BDC" w:rsidRPr="000A1E00" w:rsidRDefault="00286BDC" w:rsidP="006D54DB">
      <w:pPr>
        <w:pStyle w:val="H23G"/>
        <w:rPr>
          <w:lang w:val="fr-FR"/>
        </w:rPr>
      </w:pPr>
      <w:r w:rsidRPr="000A1E00">
        <w:rPr>
          <w:lang w:val="fr-FR"/>
        </w:rPr>
        <w:tab/>
        <w:t>4.</w:t>
      </w:r>
      <w:r w:rsidRPr="000A1E00">
        <w:rPr>
          <w:lang w:val="fr-FR"/>
        </w:rPr>
        <w:tab/>
        <w:t>Citernes mobiles pour lesquelles la date d</w:t>
      </w:r>
      <w:r w:rsidR="000A1E00">
        <w:rPr>
          <w:lang w:val="fr-FR"/>
        </w:rPr>
        <w:t>’</w:t>
      </w:r>
      <w:r w:rsidRPr="000A1E00">
        <w:rPr>
          <w:lang w:val="fr-FR"/>
        </w:rPr>
        <w:t xml:space="preserve">inspection est dépassée et citernes mobiles transportant des marchandises dangereuses après avoir transporté </w:t>
      </w:r>
      <w:r w:rsidR="000A1E00">
        <w:rPr>
          <w:lang w:val="fr-FR"/>
        </w:rPr>
        <w:br/>
      </w:r>
      <w:r w:rsidRPr="000A1E00">
        <w:rPr>
          <w:lang w:val="fr-FR"/>
        </w:rPr>
        <w:t>des marchandises diverses</w:t>
      </w:r>
    </w:p>
    <w:p w:rsidR="00286BDC" w:rsidRPr="000A1E00" w:rsidRDefault="00286BDC" w:rsidP="006D54DB">
      <w:pPr>
        <w:pStyle w:val="SingleTxtG"/>
        <w:tabs>
          <w:tab w:val="left" w:pos="3119"/>
        </w:tabs>
        <w:rPr>
          <w:lang w:val="fr-FR"/>
        </w:rPr>
      </w:pPr>
      <w:r w:rsidRPr="000A1E00">
        <w:rPr>
          <w:i/>
          <w:iCs/>
          <w:lang w:val="fr-FR"/>
        </w:rPr>
        <w:t>Document informel</w:t>
      </w:r>
      <w:r w:rsidR="000A1E00">
        <w:rPr>
          <w:i/>
          <w:iCs/>
          <w:lang w:val="fr-FR"/>
        </w:rPr>
        <w:t> </w:t>
      </w:r>
      <w:r w:rsidRPr="000A1E00">
        <w:rPr>
          <w:iCs/>
          <w:lang w:val="fr-FR"/>
        </w:rPr>
        <w:t>:</w:t>
      </w:r>
      <w:r w:rsidRPr="000A1E00">
        <w:rPr>
          <w:lang w:val="fr-FR"/>
        </w:rPr>
        <w:tab/>
        <w:t>INF.15 (Royaume-Uni)</w:t>
      </w:r>
      <w:r w:rsidR="000A1E00">
        <w:rPr>
          <w:lang w:val="fr-FR"/>
        </w:rPr>
        <w:t>.</w:t>
      </w:r>
    </w:p>
    <w:p w:rsidR="00286BDC" w:rsidRPr="000A1E00" w:rsidRDefault="00286BDC" w:rsidP="006D54DB">
      <w:pPr>
        <w:pStyle w:val="SingleTxtG"/>
        <w:rPr>
          <w:lang w:val="fr-FR"/>
        </w:rPr>
      </w:pPr>
      <w:r w:rsidRPr="000A1E00">
        <w:rPr>
          <w:lang w:val="fr-FR"/>
        </w:rPr>
        <w:t>125.</w:t>
      </w:r>
      <w:r w:rsidRPr="000A1E00">
        <w:rPr>
          <w:lang w:val="fr-FR"/>
        </w:rPr>
        <w:tab/>
        <w:t>Plusieurs experts ont estimé que les citernes mobiles utilisées pour transporter des marchandises diverses devaient être soumises au contrôle avec épreuve prévu tous les 5 ans conformément aux dispositions du chapitre 6.7 avant d</w:t>
      </w:r>
      <w:r w:rsidR="000A1E00">
        <w:rPr>
          <w:lang w:val="fr-FR"/>
        </w:rPr>
        <w:t>’</w:t>
      </w:r>
      <w:r w:rsidRPr="000A1E00">
        <w:rPr>
          <w:lang w:val="fr-FR"/>
        </w:rPr>
        <w:t>être mises en service pour le transport de marchandises dangereuses. D</w:t>
      </w:r>
      <w:r w:rsidR="000A1E00">
        <w:rPr>
          <w:lang w:val="fr-FR"/>
        </w:rPr>
        <w:t>’</w:t>
      </w:r>
      <w:r w:rsidRPr="000A1E00">
        <w:rPr>
          <w:lang w:val="fr-FR"/>
        </w:rPr>
        <w:t>autres experts ont souligné qu</w:t>
      </w:r>
      <w:r w:rsidR="000A1E00">
        <w:rPr>
          <w:lang w:val="fr-FR"/>
        </w:rPr>
        <w:t>’</w:t>
      </w:r>
      <w:r w:rsidRPr="000A1E00">
        <w:rPr>
          <w:lang w:val="fr-FR"/>
        </w:rPr>
        <w:t>ils n</w:t>
      </w:r>
      <w:r w:rsidR="000A1E00">
        <w:rPr>
          <w:lang w:val="fr-FR"/>
        </w:rPr>
        <w:t>’</w:t>
      </w:r>
      <w:r w:rsidRPr="000A1E00">
        <w:rPr>
          <w:lang w:val="fr-FR"/>
        </w:rPr>
        <w:t>avaient pas eu le temps d</w:t>
      </w:r>
      <w:r w:rsidR="000A1E00">
        <w:rPr>
          <w:lang w:val="fr-FR"/>
        </w:rPr>
        <w:t>’</w:t>
      </w:r>
      <w:r w:rsidRPr="000A1E00">
        <w:rPr>
          <w:lang w:val="fr-FR"/>
        </w:rPr>
        <w:t>examiner cette question avant la session.</w:t>
      </w:r>
    </w:p>
    <w:p w:rsidR="00286BDC" w:rsidRPr="000A1E00" w:rsidRDefault="00286BDC" w:rsidP="006D54DB">
      <w:pPr>
        <w:pStyle w:val="SingleTxtG"/>
        <w:rPr>
          <w:lang w:val="fr-FR"/>
        </w:rPr>
      </w:pPr>
      <w:r w:rsidRPr="000A1E00">
        <w:rPr>
          <w:lang w:val="fr-FR"/>
        </w:rPr>
        <w:t>126.</w:t>
      </w:r>
      <w:r w:rsidRPr="000A1E00">
        <w:rPr>
          <w:lang w:val="fr-FR"/>
        </w:rPr>
        <w:tab/>
        <w:t>Le Sous-Comité a invité l</w:t>
      </w:r>
      <w:r w:rsidR="000A1E00">
        <w:rPr>
          <w:lang w:val="fr-FR"/>
        </w:rPr>
        <w:t>’</w:t>
      </w:r>
      <w:r w:rsidRPr="000A1E00">
        <w:rPr>
          <w:lang w:val="fr-FR"/>
        </w:rPr>
        <w:t>expert du Royaume-Uni à prendre en compte les observations qui avaient été faites et à soumettre un document officiel à sa session suivante.</w:t>
      </w:r>
    </w:p>
    <w:p w:rsidR="00286BDC" w:rsidRPr="000A1E00" w:rsidRDefault="00286BDC" w:rsidP="006D54DB">
      <w:pPr>
        <w:pStyle w:val="H23G"/>
        <w:rPr>
          <w:lang w:val="fr-FR"/>
        </w:rPr>
      </w:pPr>
      <w:r w:rsidRPr="000A1E00">
        <w:rPr>
          <w:lang w:val="fr-FR"/>
        </w:rPr>
        <w:tab/>
        <w:t>5.</w:t>
      </w:r>
      <w:r w:rsidRPr="000A1E00">
        <w:rPr>
          <w:lang w:val="fr-FR"/>
        </w:rPr>
        <w:tab/>
        <w:t>Calculs de la pression nominale</w:t>
      </w:r>
    </w:p>
    <w:p w:rsidR="00286BDC" w:rsidRPr="000A1E00" w:rsidRDefault="00286BDC" w:rsidP="006D54DB">
      <w:pPr>
        <w:pStyle w:val="SingleTxtG"/>
        <w:tabs>
          <w:tab w:val="left" w:pos="3119"/>
        </w:tabs>
        <w:rPr>
          <w:lang w:val="fr-FR"/>
        </w:rPr>
      </w:pPr>
      <w:r w:rsidRPr="000A1E00">
        <w:rPr>
          <w:i/>
          <w:iCs/>
          <w:lang w:val="fr-FR"/>
        </w:rPr>
        <w:t>Document informel</w:t>
      </w:r>
      <w:r w:rsidR="006D54DB">
        <w:rPr>
          <w:i/>
          <w:iCs/>
          <w:lang w:val="fr-FR"/>
        </w:rPr>
        <w:t> </w:t>
      </w:r>
      <w:r w:rsidRPr="006D54DB">
        <w:rPr>
          <w:iCs/>
          <w:lang w:val="fr-FR"/>
        </w:rPr>
        <w:t>:</w:t>
      </w:r>
      <w:r w:rsidRPr="000A1E00">
        <w:rPr>
          <w:lang w:val="fr-FR"/>
        </w:rPr>
        <w:tab/>
        <w:t>INF.54 (Fédération de Russie)</w:t>
      </w:r>
      <w:r w:rsidR="006D54DB">
        <w:rPr>
          <w:lang w:val="fr-FR"/>
        </w:rPr>
        <w:t>.</w:t>
      </w:r>
    </w:p>
    <w:p w:rsidR="00286BDC" w:rsidRPr="000A1E00" w:rsidRDefault="00286BDC" w:rsidP="006D54DB">
      <w:pPr>
        <w:pStyle w:val="SingleTxtG"/>
        <w:rPr>
          <w:lang w:val="fr-FR"/>
        </w:rPr>
      </w:pPr>
      <w:r w:rsidRPr="000A1E00">
        <w:rPr>
          <w:lang w:val="fr-FR"/>
        </w:rPr>
        <w:t>127.</w:t>
      </w:r>
      <w:r w:rsidRPr="000A1E00">
        <w:rPr>
          <w:lang w:val="fr-FR"/>
        </w:rPr>
        <w:tab/>
        <w:t>Bien que la proposition ait reçu un certain appui de principe, le Sous-Comité, ayant constaté que le document informel avait été diffusé tardivement, a invité l</w:t>
      </w:r>
      <w:r w:rsidR="000A1E00">
        <w:rPr>
          <w:lang w:val="fr-FR"/>
        </w:rPr>
        <w:t>’</w:t>
      </w:r>
      <w:r w:rsidRPr="000A1E00">
        <w:rPr>
          <w:lang w:val="fr-FR"/>
        </w:rPr>
        <w:t>expert de la Fédération de Russie à tenir compte des observations faites et à soumettre un document officiel en vue de la prochaine session.</w:t>
      </w:r>
    </w:p>
    <w:p w:rsidR="00286BDC" w:rsidRPr="000A1E00" w:rsidRDefault="00286BDC" w:rsidP="00E84C8B">
      <w:pPr>
        <w:pStyle w:val="H23G"/>
        <w:rPr>
          <w:lang w:val="fr-FR"/>
        </w:rPr>
      </w:pPr>
      <w:r w:rsidRPr="000A1E00">
        <w:rPr>
          <w:lang w:val="fr-FR"/>
        </w:rPr>
        <w:tab/>
        <w:t>6.</w:t>
      </w:r>
      <w:r w:rsidRPr="000A1E00">
        <w:rPr>
          <w:lang w:val="fr-FR"/>
        </w:rPr>
        <w:tab/>
        <w:t>Proposition relative à un nouveau chapitre 6.10</w:t>
      </w:r>
    </w:p>
    <w:p w:rsidR="00286BDC" w:rsidRPr="000A1E00" w:rsidRDefault="00CF30D6" w:rsidP="00CF30D6">
      <w:pPr>
        <w:pStyle w:val="SingleTxtG"/>
        <w:tabs>
          <w:tab w:val="left" w:pos="3119"/>
        </w:tabs>
        <w:ind w:left="3119" w:hanging="1985"/>
        <w:jc w:val="left"/>
        <w:rPr>
          <w:lang w:val="fr-FR"/>
        </w:rPr>
      </w:pPr>
      <w:r>
        <w:rPr>
          <w:i/>
          <w:iCs/>
          <w:lang w:val="fr-FR"/>
        </w:rPr>
        <w:t>Documents informels </w:t>
      </w:r>
      <w:r w:rsidR="00286BDC" w:rsidRPr="00CF30D6">
        <w:rPr>
          <w:iCs/>
          <w:lang w:val="fr-FR"/>
        </w:rPr>
        <w:t>:</w:t>
      </w:r>
      <w:r w:rsidR="006D54DB">
        <w:rPr>
          <w:lang w:val="fr-FR"/>
        </w:rPr>
        <w:tab/>
        <w:t>INF.55 (Fédération de Russie)</w:t>
      </w:r>
      <w:r w:rsidR="006D54DB">
        <w:rPr>
          <w:lang w:val="fr-FR"/>
        </w:rPr>
        <w:br/>
      </w:r>
      <w:r w:rsidR="00286BDC" w:rsidRPr="000A1E00">
        <w:rPr>
          <w:lang w:val="fr-FR"/>
        </w:rPr>
        <w:t>INF.64 (États-Unis d</w:t>
      </w:r>
      <w:r w:rsidR="000A1E00">
        <w:rPr>
          <w:lang w:val="fr-FR"/>
        </w:rPr>
        <w:t>’</w:t>
      </w:r>
      <w:r w:rsidR="00286BDC" w:rsidRPr="000A1E00">
        <w:rPr>
          <w:lang w:val="fr-FR"/>
        </w:rPr>
        <w:t>Amérique, au nom du groupe de travail)</w:t>
      </w:r>
      <w:r w:rsidR="006D54DB">
        <w:rPr>
          <w:lang w:val="fr-FR"/>
        </w:rPr>
        <w:t>.</w:t>
      </w:r>
    </w:p>
    <w:p w:rsidR="00286BDC" w:rsidRPr="000A1E00" w:rsidRDefault="00286BDC" w:rsidP="00E84C8B">
      <w:pPr>
        <w:pStyle w:val="SingleTxtG"/>
        <w:rPr>
          <w:lang w:val="fr-FR"/>
        </w:rPr>
      </w:pPr>
      <w:r w:rsidRPr="000A1E00">
        <w:rPr>
          <w:lang w:val="fr-FR"/>
        </w:rPr>
        <w:t>128.</w:t>
      </w:r>
      <w:r w:rsidRPr="000A1E00">
        <w:rPr>
          <w:lang w:val="fr-FR"/>
        </w:rPr>
        <w:tab/>
        <w:t xml:space="preserve">La proposition relative à un nouveau chapitre 6.10 a été examinée dans le cadre des travaux du groupe de travail informel des citernes en matière plastique renforcée de fibres. </w:t>
      </w:r>
    </w:p>
    <w:p w:rsidR="00286BDC" w:rsidRPr="000A1E00" w:rsidRDefault="00286BDC" w:rsidP="00E84C8B">
      <w:pPr>
        <w:pStyle w:val="SingleTxtG"/>
        <w:rPr>
          <w:lang w:val="fr-FR"/>
        </w:rPr>
      </w:pPr>
      <w:r w:rsidRPr="000A1E00">
        <w:rPr>
          <w:lang w:val="fr-FR"/>
        </w:rPr>
        <w:t>129.</w:t>
      </w:r>
      <w:r w:rsidRPr="000A1E00">
        <w:rPr>
          <w:lang w:val="fr-FR"/>
        </w:rPr>
        <w:tab/>
        <w:t>Le Sous-Comité a pris note des résultats de la réunion du groupe de travail informel, présentés dans le document informel INF.64, et notamment de l</w:t>
      </w:r>
      <w:r w:rsidR="000A1E00">
        <w:rPr>
          <w:lang w:val="fr-FR"/>
        </w:rPr>
        <w:t>’</w:t>
      </w:r>
      <w:r w:rsidRPr="000A1E00">
        <w:rPr>
          <w:lang w:val="fr-FR"/>
        </w:rPr>
        <w:t>intention du groupe de travail d</w:t>
      </w:r>
      <w:r w:rsidR="000A1E00">
        <w:rPr>
          <w:lang w:val="fr-FR"/>
        </w:rPr>
        <w:t>’</w:t>
      </w:r>
      <w:r w:rsidRPr="000A1E00">
        <w:rPr>
          <w:lang w:val="fr-FR"/>
        </w:rPr>
        <w:t xml:space="preserve">organiser une réunion les 26 et 27 novembre, en marge de la session plénière du Sous-Comité. </w:t>
      </w:r>
    </w:p>
    <w:p w:rsidR="00286BDC" w:rsidRPr="000A1E00" w:rsidRDefault="00286BDC" w:rsidP="00E84C8B">
      <w:pPr>
        <w:pStyle w:val="H23G"/>
        <w:rPr>
          <w:lang w:val="fr-FR"/>
        </w:rPr>
      </w:pPr>
      <w:r w:rsidRPr="000A1E00">
        <w:rPr>
          <w:lang w:val="fr-FR"/>
        </w:rPr>
        <w:tab/>
        <w:t>7.</w:t>
      </w:r>
      <w:r w:rsidRPr="000A1E00">
        <w:rPr>
          <w:lang w:val="fr-FR"/>
        </w:rPr>
        <w:tab/>
        <w:t xml:space="preserve">Épaisseur minimale des réservoirs de citernes mobiles utilisées pour le transport </w:t>
      </w:r>
      <w:r w:rsidR="00E84C8B">
        <w:rPr>
          <w:lang w:val="fr-FR"/>
        </w:rPr>
        <w:br/>
      </w:r>
      <w:r w:rsidRPr="000A1E00">
        <w:rPr>
          <w:lang w:val="fr-FR"/>
        </w:rPr>
        <w:t>de gaz liquéfiés non réfrigérés</w:t>
      </w:r>
    </w:p>
    <w:p w:rsidR="00286BDC" w:rsidRPr="000A1E00" w:rsidRDefault="00E84C8B" w:rsidP="00E84C8B">
      <w:pPr>
        <w:pStyle w:val="SingleTxtG"/>
        <w:tabs>
          <w:tab w:val="left" w:pos="3119"/>
        </w:tabs>
        <w:rPr>
          <w:lang w:val="fr-FR"/>
        </w:rPr>
      </w:pPr>
      <w:r>
        <w:rPr>
          <w:i/>
          <w:iCs/>
          <w:lang w:val="fr-FR"/>
        </w:rPr>
        <w:t>Document </w:t>
      </w:r>
      <w:r w:rsidR="00286BDC" w:rsidRPr="00E84C8B">
        <w:rPr>
          <w:iCs/>
          <w:lang w:val="fr-FR"/>
        </w:rPr>
        <w:t>:</w:t>
      </w:r>
      <w:r w:rsidR="00286BDC" w:rsidRPr="000A1E00">
        <w:rPr>
          <w:lang w:val="fr-FR"/>
        </w:rPr>
        <w:t xml:space="preserve"> </w:t>
      </w:r>
      <w:r w:rsidR="00286BDC" w:rsidRPr="000A1E00">
        <w:rPr>
          <w:lang w:val="fr-FR"/>
        </w:rPr>
        <w:tab/>
        <w:t>ST/SG/AC.10/C.3/2018/41 (Belgique)</w:t>
      </w:r>
      <w:r>
        <w:rPr>
          <w:lang w:val="fr-FR"/>
        </w:rPr>
        <w:t>.</w:t>
      </w:r>
    </w:p>
    <w:p w:rsidR="00286BDC" w:rsidRPr="000A1E00" w:rsidRDefault="00286BDC" w:rsidP="00E84C8B">
      <w:pPr>
        <w:pStyle w:val="SingleTxtG"/>
        <w:rPr>
          <w:lang w:val="fr-FR"/>
        </w:rPr>
      </w:pPr>
      <w:r w:rsidRPr="000A1E00">
        <w:rPr>
          <w:lang w:val="fr-FR"/>
        </w:rPr>
        <w:t>130.</w:t>
      </w:r>
      <w:r w:rsidRPr="000A1E00">
        <w:rPr>
          <w:lang w:val="fr-FR"/>
        </w:rPr>
        <w:tab/>
        <w:t>Le Sous-Comité est convenu que le texte actuel devrait être précisé mais n</w:t>
      </w:r>
      <w:r w:rsidR="000A1E00">
        <w:rPr>
          <w:lang w:val="fr-FR"/>
        </w:rPr>
        <w:t>’</w:t>
      </w:r>
      <w:r w:rsidRPr="000A1E00">
        <w:rPr>
          <w:lang w:val="fr-FR"/>
        </w:rPr>
        <w:t>a pas pu parvenir à un consensus sur le libellé proposé. À l</w:t>
      </w:r>
      <w:r w:rsidR="000A1E00">
        <w:rPr>
          <w:lang w:val="fr-FR"/>
        </w:rPr>
        <w:t>’</w:t>
      </w:r>
      <w:r w:rsidRPr="000A1E00">
        <w:rPr>
          <w:lang w:val="fr-FR"/>
        </w:rPr>
        <w:t>issue des débats, l</w:t>
      </w:r>
      <w:r w:rsidR="000A1E00">
        <w:rPr>
          <w:lang w:val="fr-FR"/>
        </w:rPr>
        <w:t>’</w:t>
      </w:r>
      <w:r w:rsidRPr="000A1E00">
        <w:rPr>
          <w:lang w:val="fr-FR"/>
        </w:rPr>
        <w:t>expert de la Belgique a retiré la proposition et a dit qu</w:t>
      </w:r>
      <w:r w:rsidR="000A1E00">
        <w:rPr>
          <w:lang w:val="fr-FR"/>
        </w:rPr>
        <w:t>’</w:t>
      </w:r>
      <w:r w:rsidRPr="000A1E00">
        <w:rPr>
          <w:lang w:val="fr-FR"/>
        </w:rPr>
        <w:t xml:space="preserve">il soumettrait pour la session suivante un document révisé tenant compte des observations formulées. </w:t>
      </w:r>
    </w:p>
    <w:p w:rsidR="00286BDC" w:rsidRPr="000A1E00" w:rsidRDefault="00E84C8B" w:rsidP="00E84C8B">
      <w:pPr>
        <w:pStyle w:val="H1G"/>
        <w:rPr>
          <w:lang w:val="fr-FR"/>
        </w:rPr>
      </w:pPr>
      <w:r>
        <w:rPr>
          <w:lang w:val="fr-FR"/>
        </w:rPr>
        <w:tab/>
        <w:t>D.</w:t>
      </w:r>
      <w:r>
        <w:rPr>
          <w:lang w:val="fr-FR"/>
        </w:rPr>
        <w:tab/>
      </w:r>
      <w:r w:rsidR="00286BDC" w:rsidRPr="000A1E00">
        <w:rPr>
          <w:lang w:val="fr-FR"/>
        </w:rPr>
        <w:t>Autres propositions diverses</w:t>
      </w:r>
    </w:p>
    <w:p w:rsidR="00286BDC" w:rsidRPr="000A1E00" w:rsidRDefault="00286BDC" w:rsidP="00E84C8B">
      <w:pPr>
        <w:pStyle w:val="H23G"/>
        <w:rPr>
          <w:lang w:val="fr-FR"/>
        </w:rPr>
      </w:pPr>
      <w:r w:rsidRPr="000A1E00">
        <w:rPr>
          <w:lang w:val="fr-FR"/>
        </w:rPr>
        <w:tab/>
        <w:t>1.</w:t>
      </w:r>
      <w:r w:rsidRPr="000A1E00">
        <w:rPr>
          <w:lang w:val="fr-FR"/>
        </w:rPr>
        <w:tab/>
        <w:t>Corrections à apporter au Règlement type</w:t>
      </w:r>
    </w:p>
    <w:p w:rsidR="00286BDC" w:rsidRPr="000A1E00" w:rsidRDefault="00286BDC" w:rsidP="00E84C8B">
      <w:pPr>
        <w:pStyle w:val="SingleTxtG"/>
        <w:tabs>
          <w:tab w:val="left" w:pos="3119"/>
        </w:tabs>
        <w:rPr>
          <w:lang w:val="fr-FR"/>
        </w:rPr>
      </w:pPr>
      <w:r w:rsidRPr="000A1E00">
        <w:rPr>
          <w:i/>
          <w:iCs/>
          <w:lang w:val="fr-FR"/>
        </w:rPr>
        <w:t>Document</w:t>
      </w:r>
      <w:r w:rsidR="00E84C8B">
        <w:rPr>
          <w:i/>
          <w:iCs/>
          <w:lang w:val="fr-FR"/>
        </w:rPr>
        <w:t> </w:t>
      </w:r>
      <w:r w:rsidRPr="00E84C8B">
        <w:rPr>
          <w:iCs/>
          <w:lang w:val="fr-FR"/>
        </w:rPr>
        <w:t>:</w:t>
      </w:r>
      <w:r w:rsidRPr="000A1E00">
        <w:rPr>
          <w:lang w:val="fr-FR"/>
        </w:rPr>
        <w:t xml:space="preserve"> </w:t>
      </w:r>
      <w:r w:rsidRPr="000A1E00">
        <w:rPr>
          <w:lang w:val="fr-FR"/>
        </w:rPr>
        <w:tab/>
        <w:t>ST/SG/AC.10/C.3/2018/15 (Allemagne)</w:t>
      </w:r>
      <w:r w:rsidR="00E84C8B">
        <w:rPr>
          <w:lang w:val="fr-FR"/>
        </w:rPr>
        <w:t>.</w:t>
      </w:r>
    </w:p>
    <w:p w:rsidR="00286BDC" w:rsidRPr="000A1E00" w:rsidRDefault="00286BDC" w:rsidP="00E84C8B">
      <w:pPr>
        <w:pStyle w:val="SingleTxtG"/>
        <w:rPr>
          <w:lang w:val="fr-FR"/>
        </w:rPr>
      </w:pPr>
      <w:r w:rsidRPr="000A1E00">
        <w:rPr>
          <w:lang w:val="fr-FR"/>
        </w:rPr>
        <w:t>131.</w:t>
      </w:r>
      <w:r w:rsidRPr="000A1E00">
        <w:rPr>
          <w:lang w:val="fr-FR"/>
        </w:rPr>
        <w:tab/>
        <w:t xml:space="preserve">Le Sous-Comité a adopté les propositions énoncées aux paragraphes 4 et 5 du document. Il a été noté que la disposition spéciale 323 devait également être supprimée de la Liste des marchandises dangereuses pour les </w:t>
      </w:r>
      <w:r w:rsidR="00E84C8B">
        <w:rPr>
          <w:lang w:val="fr-FR"/>
        </w:rPr>
        <w:t>Nos </w:t>
      </w:r>
      <w:r w:rsidRPr="000A1E00">
        <w:rPr>
          <w:lang w:val="fr-FR"/>
        </w:rPr>
        <w:t>ONU 3101 à 3120 (voir l</w:t>
      </w:r>
      <w:r w:rsidR="000A1E00">
        <w:rPr>
          <w:lang w:val="fr-FR"/>
        </w:rPr>
        <w:t>’</w:t>
      </w:r>
      <w:r w:rsidRPr="000A1E00">
        <w:rPr>
          <w:lang w:val="fr-FR"/>
        </w:rPr>
        <w:t>annexe III).</w:t>
      </w:r>
    </w:p>
    <w:p w:rsidR="00286BDC" w:rsidRPr="000A1E00" w:rsidRDefault="00286BDC" w:rsidP="00E84C8B">
      <w:pPr>
        <w:pStyle w:val="H23G"/>
        <w:rPr>
          <w:lang w:val="fr-FR"/>
        </w:rPr>
      </w:pPr>
      <w:r w:rsidRPr="000A1E00">
        <w:rPr>
          <w:lang w:val="fr-FR"/>
        </w:rPr>
        <w:tab/>
        <w:t>2.</w:t>
      </w:r>
      <w:r w:rsidRPr="000A1E00">
        <w:rPr>
          <w:lang w:val="fr-FR"/>
        </w:rPr>
        <w:tab/>
        <w:t>Suppression d</w:t>
      </w:r>
      <w:r w:rsidR="000A1E00">
        <w:rPr>
          <w:lang w:val="fr-FR"/>
        </w:rPr>
        <w:t>’</w:t>
      </w:r>
      <w:r w:rsidRPr="000A1E00">
        <w:rPr>
          <w:lang w:val="fr-FR"/>
        </w:rPr>
        <w:t>instructions de transport en citernes mobiles périmées</w:t>
      </w:r>
    </w:p>
    <w:p w:rsidR="00286BDC" w:rsidRPr="000A1E00" w:rsidRDefault="00286BDC" w:rsidP="00E84C8B">
      <w:pPr>
        <w:pStyle w:val="SingleTxtG"/>
        <w:tabs>
          <w:tab w:val="left" w:pos="3119"/>
        </w:tabs>
        <w:rPr>
          <w:lang w:val="fr-FR"/>
        </w:rPr>
      </w:pPr>
      <w:r w:rsidRPr="000A1E00">
        <w:rPr>
          <w:i/>
          <w:iCs/>
          <w:lang w:val="fr-FR"/>
        </w:rPr>
        <w:t>Document</w:t>
      </w:r>
      <w:r w:rsidR="00E84C8B">
        <w:rPr>
          <w:i/>
          <w:iCs/>
          <w:lang w:val="fr-FR"/>
        </w:rPr>
        <w:t> </w:t>
      </w:r>
      <w:r w:rsidRPr="00E84C8B">
        <w:rPr>
          <w:iCs/>
          <w:lang w:val="fr-FR"/>
        </w:rPr>
        <w:t>:</w:t>
      </w:r>
      <w:r w:rsidRPr="000A1E00">
        <w:rPr>
          <w:lang w:val="fr-FR"/>
        </w:rPr>
        <w:t xml:space="preserve"> </w:t>
      </w:r>
      <w:r w:rsidRPr="000A1E00">
        <w:rPr>
          <w:lang w:val="fr-FR"/>
        </w:rPr>
        <w:tab/>
        <w:t>ST/SG/AC.10/C.3/2018/31 (Allemagne)</w:t>
      </w:r>
      <w:r w:rsidR="00E84C8B">
        <w:rPr>
          <w:lang w:val="fr-FR"/>
        </w:rPr>
        <w:t>.</w:t>
      </w:r>
    </w:p>
    <w:p w:rsidR="00286BDC" w:rsidRPr="000A1E00" w:rsidRDefault="00286BDC" w:rsidP="00E84C8B">
      <w:pPr>
        <w:pStyle w:val="SingleTxtG"/>
        <w:rPr>
          <w:lang w:val="fr-FR"/>
        </w:rPr>
      </w:pPr>
      <w:r w:rsidRPr="000A1E00">
        <w:rPr>
          <w:lang w:val="fr-FR"/>
        </w:rPr>
        <w:t>132.</w:t>
      </w:r>
      <w:r w:rsidRPr="000A1E00">
        <w:rPr>
          <w:lang w:val="fr-FR"/>
        </w:rPr>
        <w:tab/>
        <w:t>Le Sous-Comité a adopté les propositions énoncées aux paragraphes 4 et 5 du document, moyennant quelques corrections (voir l</w:t>
      </w:r>
      <w:r w:rsidR="000A1E00">
        <w:rPr>
          <w:lang w:val="fr-FR"/>
        </w:rPr>
        <w:t>’</w:t>
      </w:r>
      <w:r w:rsidRPr="000A1E00">
        <w:rPr>
          <w:lang w:val="fr-FR"/>
        </w:rPr>
        <w:t>annexe I)</w:t>
      </w:r>
      <w:r w:rsidR="00E84C8B">
        <w:rPr>
          <w:lang w:val="fr-FR"/>
        </w:rPr>
        <w:t>.</w:t>
      </w:r>
    </w:p>
    <w:p w:rsidR="00286BDC" w:rsidRPr="000A1E00" w:rsidRDefault="00286BDC" w:rsidP="00E84C8B">
      <w:pPr>
        <w:pStyle w:val="H23G"/>
        <w:rPr>
          <w:lang w:val="fr-FR"/>
        </w:rPr>
      </w:pPr>
      <w:r w:rsidRPr="000A1E00">
        <w:rPr>
          <w:lang w:val="fr-FR"/>
        </w:rPr>
        <w:tab/>
        <w:t>3.</w:t>
      </w:r>
      <w:r w:rsidRPr="000A1E00">
        <w:rPr>
          <w:lang w:val="fr-FR"/>
        </w:rPr>
        <w:tab/>
        <w:t>Incohérences entre les versions linguistiques à l</w:t>
      </w:r>
      <w:r w:rsidR="000A1E00">
        <w:rPr>
          <w:lang w:val="fr-FR"/>
        </w:rPr>
        <w:t>’</w:t>
      </w:r>
      <w:r w:rsidRPr="000A1E00">
        <w:rPr>
          <w:lang w:val="fr-FR"/>
        </w:rPr>
        <w:t>alinéa a) du paragraphe 1.1.1.2</w:t>
      </w:r>
    </w:p>
    <w:p w:rsidR="00286BDC" w:rsidRPr="000A1E00" w:rsidRDefault="00286BDC" w:rsidP="00E84C8B">
      <w:pPr>
        <w:pStyle w:val="SingleTxtG"/>
        <w:tabs>
          <w:tab w:val="left" w:pos="3119"/>
        </w:tabs>
        <w:rPr>
          <w:lang w:val="fr-FR"/>
        </w:rPr>
      </w:pPr>
      <w:r w:rsidRPr="000A1E00">
        <w:rPr>
          <w:i/>
          <w:iCs/>
          <w:lang w:val="fr-FR"/>
        </w:rPr>
        <w:t>Document</w:t>
      </w:r>
      <w:r w:rsidR="00E84C8B">
        <w:rPr>
          <w:i/>
          <w:iCs/>
          <w:lang w:val="fr-FR"/>
        </w:rPr>
        <w:t> </w:t>
      </w:r>
      <w:r w:rsidRPr="00E84C8B">
        <w:rPr>
          <w:iCs/>
          <w:lang w:val="fr-FR"/>
        </w:rPr>
        <w:t>:</w:t>
      </w:r>
      <w:r w:rsidRPr="000A1E00">
        <w:rPr>
          <w:lang w:val="fr-FR"/>
        </w:rPr>
        <w:t xml:space="preserve"> </w:t>
      </w:r>
      <w:r w:rsidRPr="000A1E00">
        <w:rPr>
          <w:lang w:val="fr-FR"/>
        </w:rPr>
        <w:tab/>
        <w:t>ST/SG/AC.10/C.3/2018/40 (Pays-Bas)</w:t>
      </w:r>
      <w:r w:rsidR="00E84C8B">
        <w:rPr>
          <w:lang w:val="fr-FR"/>
        </w:rPr>
        <w:t>.</w:t>
      </w:r>
    </w:p>
    <w:p w:rsidR="00286BDC" w:rsidRPr="000A1E00" w:rsidRDefault="00286BDC" w:rsidP="00E84C8B">
      <w:pPr>
        <w:pStyle w:val="SingleTxtG"/>
        <w:rPr>
          <w:lang w:val="fr-FR"/>
        </w:rPr>
      </w:pPr>
      <w:r w:rsidRPr="000A1E00">
        <w:rPr>
          <w:lang w:val="fr-FR"/>
        </w:rPr>
        <w:t>133.</w:t>
      </w:r>
      <w:r w:rsidRPr="000A1E00">
        <w:rPr>
          <w:lang w:val="fr-FR"/>
        </w:rPr>
        <w:tab/>
        <w:t xml:space="preserve">Le Sous-Comité a confirmé que le terme </w:t>
      </w:r>
      <w:r w:rsidR="002016B9">
        <w:rPr>
          <w:lang w:val="fr-FR"/>
        </w:rPr>
        <w:t>« </w:t>
      </w:r>
      <w:r w:rsidRPr="000A1E00">
        <w:rPr>
          <w:lang w:val="fr-FR"/>
        </w:rPr>
        <w:t>means of transport</w:t>
      </w:r>
      <w:r w:rsidR="002016B9">
        <w:rPr>
          <w:lang w:val="fr-FR"/>
        </w:rPr>
        <w:t> »</w:t>
      </w:r>
      <w:r w:rsidRPr="000A1E00">
        <w:rPr>
          <w:lang w:val="fr-FR"/>
        </w:rPr>
        <w:t xml:space="preserve"> utilisé dans la version anglaise était exact et a relevé qu</w:t>
      </w:r>
      <w:r w:rsidR="000A1E00">
        <w:rPr>
          <w:lang w:val="fr-FR"/>
        </w:rPr>
        <w:t>’</w:t>
      </w:r>
      <w:r w:rsidRPr="000A1E00">
        <w:rPr>
          <w:lang w:val="fr-FR"/>
        </w:rPr>
        <w:t>il avait été incorrectement traduit en français à l</w:t>
      </w:r>
      <w:r w:rsidR="000A1E00">
        <w:rPr>
          <w:lang w:val="fr-FR"/>
        </w:rPr>
        <w:t>’</w:t>
      </w:r>
      <w:r w:rsidRPr="000A1E00">
        <w:rPr>
          <w:lang w:val="fr-FR"/>
        </w:rPr>
        <w:t>alinéa a) du paragraphe 1.1.1.2. Plusieurs experts estimaient que le terme le plus approprié en français dans ce cadre était «</w:t>
      </w:r>
      <w:r w:rsidR="00E84C8B">
        <w:rPr>
          <w:lang w:val="fr-FR"/>
        </w:rPr>
        <w:t> </w:t>
      </w:r>
      <w:r w:rsidRPr="000A1E00">
        <w:rPr>
          <w:lang w:val="fr-FR"/>
        </w:rPr>
        <w:t>moyen de transport</w:t>
      </w:r>
      <w:r w:rsidR="00E84C8B">
        <w:rPr>
          <w:lang w:val="fr-FR"/>
        </w:rPr>
        <w:t> </w:t>
      </w:r>
      <w:r w:rsidRPr="000A1E00">
        <w:rPr>
          <w:lang w:val="fr-FR"/>
        </w:rPr>
        <w:t>». Il a toutefois été souligné que ce terme figurait déjà dans les définitions du chapitre 1.2 et qu</w:t>
      </w:r>
      <w:r w:rsidR="000A1E00">
        <w:rPr>
          <w:lang w:val="fr-FR"/>
        </w:rPr>
        <w:t>’</w:t>
      </w:r>
      <w:r w:rsidRPr="000A1E00">
        <w:rPr>
          <w:lang w:val="fr-FR"/>
        </w:rPr>
        <w:t>il correspondait, en anglais, au terme « conveyance</w:t>
      </w:r>
      <w:r w:rsidR="00E84C8B">
        <w:rPr>
          <w:lang w:val="fr-FR"/>
        </w:rPr>
        <w:t> </w:t>
      </w:r>
      <w:r w:rsidRPr="000A1E00">
        <w:rPr>
          <w:lang w:val="fr-FR"/>
        </w:rPr>
        <w:t>», lequel ne semblait pas approprié aux fins du 1.1.1.2 a).</w:t>
      </w:r>
    </w:p>
    <w:p w:rsidR="00286BDC" w:rsidRPr="000A1E00" w:rsidRDefault="00286BDC" w:rsidP="00E84C8B">
      <w:pPr>
        <w:pStyle w:val="SingleTxtG"/>
        <w:rPr>
          <w:lang w:val="fr-FR"/>
        </w:rPr>
      </w:pPr>
      <w:r w:rsidRPr="000A1E00">
        <w:rPr>
          <w:lang w:val="fr-FR"/>
        </w:rPr>
        <w:t>134.</w:t>
      </w:r>
      <w:r w:rsidRPr="000A1E00">
        <w:rPr>
          <w:lang w:val="fr-FR"/>
        </w:rPr>
        <w:tab/>
        <w:t>L</w:t>
      </w:r>
      <w:r w:rsidR="000A1E00">
        <w:rPr>
          <w:lang w:val="fr-FR"/>
        </w:rPr>
        <w:t>’</w:t>
      </w:r>
      <w:r w:rsidRPr="000A1E00">
        <w:rPr>
          <w:lang w:val="fr-FR"/>
        </w:rPr>
        <w:t>expert des Pays-Bas a été invité à collaborer avec d</w:t>
      </w:r>
      <w:r w:rsidR="000A1E00">
        <w:rPr>
          <w:lang w:val="fr-FR"/>
        </w:rPr>
        <w:t>’</w:t>
      </w:r>
      <w:r w:rsidRPr="000A1E00">
        <w:rPr>
          <w:lang w:val="fr-FR"/>
        </w:rPr>
        <w:t>autres délégations intéressées afin de trouver une solution adaptée aux incohérences relevées entre les versions linguistiques au 1.1.1.2 a), tout en veillant au respect de la terminologie déjà employée dans le Règlement type et définie au chapitre 1.2.</w:t>
      </w:r>
    </w:p>
    <w:p w:rsidR="00286BDC" w:rsidRPr="000A1E00" w:rsidRDefault="00286BDC" w:rsidP="00E84C8B">
      <w:pPr>
        <w:pStyle w:val="H23G"/>
        <w:rPr>
          <w:lang w:val="fr-FR"/>
        </w:rPr>
      </w:pPr>
      <w:r w:rsidRPr="000A1E00">
        <w:rPr>
          <w:lang w:val="fr-FR"/>
        </w:rPr>
        <w:tab/>
        <w:t>4.</w:t>
      </w:r>
      <w:r w:rsidRPr="000A1E00">
        <w:rPr>
          <w:lang w:val="fr-FR"/>
        </w:rPr>
        <w:tab/>
        <w:t xml:space="preserve">Utilisation des termes </w:t>
      </w:r>
      <w:r w:rsidR="002016B9">
        <w:rPr>
          <w:lang w:val="fr-FR"/>
        </w:rPr>
        <w:t>« </w:t>
      </w:r>
      <w:r w:rsidRPr="000A1E00">
        <w:rPr>
          <w:lang w:val="fr-FR"/>
        </w:rPr>
        <w:t>conductivité</w:t>
      </w:r>
      <w:r w:rsidR="002016B9">
        <w:rPr>
          <w:lang w:val="fr-FR"/>
        </w:rPr>
        <w:t> »</w:t>
      </w:r>
      <w:r w:rsidRPr="000A1E00">
        <w:rPr>
          <w:lang w:val="fr-FR"/>
        </w:rPr>
        <w:t xml:space="preserve"> et </w:t>
      </w:r>
      <w:r w:rsidR="002016B9">
        <w:rPr>
          <w:lang w:val="fr-FR"/>
        </w:rPr>
        <w:t>« </w:t>
      </w:r>
      <w:r w:rsidRPr="000A1E00">
        <w:rPr>
          <w:lang w:val="fr-FR"/>
        </w:rPr>
        <w:t>conductance</w:t>
      </w:r>
      <w:r w:rsidR="002016B9">
        <w:rPr>
          <w:lang w:val="fr-FR"/>
        </w:rPr>
        <w:t> »</w:t>
      </w:r>
      <w:r w:rsidRPr="000A1E00">
        <w:rPr>
          <w:lang w:val="fr-FR"/>
        </w:rPr>
        <w:t xml:space="preserve"> au chapitre 6.7</w:t>
      </w:r>
    </w:p>
    <w:p w:rsidR="00286BDC" w:rsidRPr="000A1E00" w:rsidRDefault="00286BDC" w:rsidP="00E84C8B">
      <w:pPr>
        <w:pStyle w:val="SingleTxtG"/>
        <w:tabs>
          <w:tab w:val="left" w:pos="3119"/>
        </w:tabs>
        <w:rPr>
          <w:lang w:val="fr-FR"/>
        </w:rPr>
      </w:pPr>
      <w:r w:rsidRPr="000A1E00">
        <w:rPr>
          <w:i/>
          <w:iCs/>
          <w:lang w:val="fr-FR"/>
        </w:rPr>
        <w:t>Document</w:t>
      </w:r>
      <w:r w:rsidR="00E84C8B">
        <w:rPr>
          <w:i/>
          <w:iCs/>
          <w:lang w:val="fr-FR"/>
        </w:rPr>
        <w:t> </w:t>
      </w:r>
      <w:r w:rsidRPr="00E84C8B">
        <w:rPr>
          <w:iCs/>
          <w:lang w:val="fr-FR"/>
        </w:rPr>
        <w:t>:</w:t>
      </w:r>
      <w:r w:rsidRPr="000A1E00">
        <w:rPr>
          <w:lang w:val="fr-FR"/>
        </w:rPr>
        <w:t xml:space="preserve"> </w:t>
      </w:r>
      <w:r w:rsidRPr="000A1E00">
        <w:rPr>
          <w:lang w:val="fr-FR"/>
        </w:rPr>
        <w:tab/>
        <w:t>ST/SG/AC.10/C.3/2018/56 (France)</w:t>
      </w:r>
      <w:r w:rsidR="00E84C8B">
        <w:rPr>
          <w:lang w:val="fr-FR"/>
        </w:rPr>
        <w:t>.</w:t>
      </w:r>
    </w:p>
    <w:p w:rsidR="00286BDC" w:rsidRPr="000A1E00" w:rsidRDefault="00286BDC" w:rsidP="00E84C8B">
      <w:pPr>
        <w:pStyle w:val="SingleTxtG"/>
        <w:rPr>
          <w:lang w:val="fr-FR"/>
        </w:rPr>
      </w:pPr>
      <w:r w:rsidRPr="000A1E00">
        <w:rPr>
          <w:lang w:val="fr-FR"/>
        </w:rPr>
        <w:t>135.</w:t>
      </w:r>
      <w:r w:rsidRPr="000A1E00">
        <w:rPr>
          <w:lang w:val="fr-FR"/>
        </w:rPr>
        <w:tab/>
        <w:t>La proposition figurant au paragraphe 6 du document a été adoptée (voir annexe I).</w:t>
      </w:r>
    </w:p>
    <w:p w:rsidR="00286BDC" w:rsidRPr="000A1E00" w:rsidRDefault="00286BDC" w:rsidP="00E84C8B">
      <w:pPr>
        <w:pStyle w:val="H23G"/>
        <w:rPr>
          <w:lang w:val="fr-FR"/>
        </w:rPr>
      </w:pPr>
      <w:r w:rsidRPr="000A1E00">
        <w:rPr>
          <w:lang w:val="fr-FR"/>
        </w:rPr>
        <w:tab/>
        <w:t>5.</w:t>
      </w:r>
      <w:r w:rsidRPr="000A1E00">
        <w:rPr>
          <w:lang w:val="fr-FR"/>
        </w:rPr>
        <w:tab/>
        <w:t>Harmonisation de la prescription «</w:t>
      </w:r>
      <w:r w:rsidR="00E84C8B">
        <w:rPr>
          <w:lang w:val="fr-FR"/>
        </w:rPr>
        <w:t> </w:t>
      </w:r>
      <w:r w:rsidRPr="000A1E00">
        <w:rPr>
          <w:lang w:val="fr-FR"/>
        </w:rPr>
        <w:t>structurellement propre à l</w:t>
      </w:r>
      <w:r w:rsidR="000A1E00">
        <w:rPr>
          <w:lang w:val="fr-FR"/>
        </w:rPr>
        <w:t>’</w:t>
      </w:r>
      <w:r w:rsidRPr="000A1E00">
        <w:rPr>
          <w:lang w:val="fr-FR"/>
        </w:rPr>
        <w:t>emploi</w:t>
      </w:r>
      <w:r w:rsidR="00E84C8B">
        <w:rPr>
          <w:lang w:val="fr-FR"/>
        </w:rPr>
        <w:t> </w:t>
      </w:r>
      <w:r w:rsidRPr="000A1E00">
        <w:rPr>
          <w:lang w:val="fr-FR"/>
        </w:rPr>
        <w:t>»</w:t>
      </w:r>
    </w:p>
    <w:p w:rsidR="00286BDC" w:rsidRPr="000A1E00" w:rsidRDefault="00E84C8B" w:rsidP="00E84C8B">
      <w:pPr>
        <w:pStyle w:val="SingleTxtG"/>
        <w:tabs>
          <w:tab w:val="left" w:pos="3119"/>
        </w:tabs>
        <w:rPr>
          <w:lang w:val="fr-FR"/>
        </w:rPr>
      </w:pPr>
      <w:r>
        <w:rPr>
          <w:i/>
          <w:iCs/>
          <w:lang w:val="fr-FR"/>
        </w:rPr>
        <w:t>Document informel </w:t>
      </w:r>
      <w:r w:rsidR="00286BDC" w:rsidRPr="00E84C8B">
        <w:rPr>
          <w:iCs/>
          <w:lang w:val="fr-FR"/>
        </w:rPr>
        <w:t>:</w:t>
      </w:r>
      <w:r w:rsidR="00286BDC" w:rsidRPr="000A1E00">
        <w:rPr>
          <w:lang w:val="fr-FR"/>
        </w:rPr>
        <w:tab/>
        <w:t>INF.13 et Add.1 (CEFIC)</w:t>
      </w:r>
      <w:r>
        <w:rPr>
          <w:lang w:val="fr-FR"/>
        </w:rPr>
        <w:t>.</w:t>
      </w:r>
    </w:p>
    <w:p w:rsidR="00286BDC" w:rsidRPr="000A1E00" w:rsidRDefault="00286BDC" w:rsidP="00E84C8B">
      <w:pPr>
        <w:pStyle w:val="SingleTxtG"/>
        <w:rPr>
          <w:lang w:val="fr-FR"/>
        </w:rPr>
      </w:pPr>
      <w:r w:rsidRPr="000A1E00">
        <w:rPr>
          <w:lang w:val="fr-FR"/>
        </w:rPr>
        <w:t>136.</w:t>
      </w:r>
      <w:r w:rsidRPr="000A1E00">
        <w:rPr>
          <w:lang w:val="fr-FR"/>
        </w:rPr>
        <w:tab/>
        <w:t>Plusieurs experts ont relevé que la prescription «</w:t>
      </w:r>
      <w:r w:rsidR="00E84C8B">
        <w:rPr>
          <w:lang w:val="fr-FR"/>
        </w:rPr>
        <w:t> </w:t>
      </w:r>
      <w:r w:rsidRPr="000A1E00">
        <w:rPr>
          <w:lang w:val="fr-FR"/>
        </w:rPr>
        <w:t>structurellement propre à l</w:t>
      </w:r>
      <w:r w:rsidR="000A1E00">
        <w:rPr>
          <w:lang w:val="fr-FR"/>
        </w:rPr>
        <w:t>’</w:t>
      </w:r>
      <w:r w:rsidR="00E84C8B">
        <w:rPr>
          <w:lang w:val="fr-FR"/>
        </w:rPr>
        <w:t>emploi </w:t>
      </w:r>
      <w:r w:rsidRPr="000A1E00">
        <w:rPr>
          <w:lang w:val="fr-FR"/>
        </w:rPr>
        <w:t>», à l</w:t>
      </w:r>
      <w:r w:rsidR="000A1E00">
        <w:rPr>
          <w:lang w:val="fr-FR"/>
        </w:rPr>
        <w:t>’</w:t>
      </w:r>
      <w:r w:rsidRPr="000A1E00">
        <w:rPr>
          <w:lang w:val="fr-FR"/>
        </w:rPr>
        <w:t>alinéa b) du paragraphe 7.1.3.3, avait été introduite initialement aux fins du transport d</w:t>
      </w:r>
      <w:r w:rsidR="000A1E00">
        <w:rPr>
          <w:lang w:val="fr-FR"/>
        </w:rPr>
        <w:t>’</w:t>
      </w:r>
      <w:r w:rsidRPr="000A1E00">
        <w:rPr>
          <w:lang w:val="fr-FR"/>
        </w:rPr>
        <w:t>explosifs en vrac ; ils se sont dits préoccupés par les conséquences que pourrait avoir l</w:t>
      </w:r>
      <w:r w:rsidR="000A1E00">
        <w:rPr>
          <w:lang w:val="fr-FR"/>
        </w:rPr>
        <w:t>’</w:t>
      </w:r>
      <w:r w:rsidRPr="000A1E00">
        <w:rPr>
          <w:lang w:val="fr-FR"/>
        </w:rPr>
        <w:t>élargissement du domaine d</w:t>
      </w:r>
      <w:r w:rsidR="000A1E00">
        <w:rPr>
          <w:lang w:val="fr-FR"/>
        </w:rPr>
        <w:t>’</w:t>
      </w:r>
      <w:r w:rsidRPr="000A1E00">
        <w:rPr>
          <w:lang w:val="fr-FR"/>
        </w:rPr>
        <w:t>application de cette prescription à l</w:t>
      </w:r>
      <w:r w:rsidR="000A1E00">
        <w:rPr>
          <w:lang w:val="fr-FR"/>
        </w:rPr>
        <w:t>’</w:t>
      </w:r>
      <w:r w:rsidRPr="000A1E00">
        <w:rPr>
          <w:lang w:val="fr-FR"/>
        </w:rPr>
        <w:t>ensemble des classes de marchandises dangereuses transportées dans de grands récipients. Ils se sont également inquiétés de la suppression de la prescription relative à la profondeur de 19</w:t>
      </w:r>
      <w:r w:rsidR="00E84C8B">
        <w:rPr>
          <w:lang w:val="fr-FR"/>
        </w:rPr>
        <w:t> </w:t>
      </w:r>
      <w:r w:rsidRPr="000A1E00">
        <w:rPr>
          <w:lang w:val="fr-FR"/>
        </w:rPr>
        <w:t>mm concernant les défauts importants car ils estimaient qu</w:t>
      </w:r>
      <w:r w:rsidR="000A1E00">
        <w:rPr>
          <w:lang w:val="fr-FR"/>
        </w:rPr>
        <w:t>’</w:t>
      </w:r>
      <w:r w:rsidRPr="000A1E00">
        <w:rPr>
          <w:lang w:val="fr-FR"/>
        </w:rPr>
        <w:t>elle donnait des orientations précises pour permettre aux utilisateurs d</w:t>
      </w:r>
      <w:r w:rsidR="000A1E00">
        <w:rPr>
          <w:lang w:val="fr-FR"/>
        </w:rPr>
        <w:t>’</w:t>
      </w:r>
      <w:r w:rsidRPr="000A1E00">
        <w:rPr>
          <w:lang w:val="fr-FR"/>
        </w:rPr>
        <w:t>évaluer ces défauts. À la suite d</w:t>
      </w:r>
      <w:r w:rsidR="000A1E00">
        <w:rPr>
          <w:lang w:val="fr-FR"/>
        </w:rPr>
        <w:t>’</w:t>
      </w:r>
      <w:r w:rsidRPr="000A1E00">
        <w:rPr>
          <w:lang w:val="fr-FR"/>
        </w:rPr>
        <w:t>un échange de vues, il a été suggéré de demander l</w:t>
      </w:r>
      <w:r w:rsidR="000A1E00">
        <w:rPr>
          <w:lang w:val="fr-FR"/>
        </w:rPr>
        <w:t>’</w:t>
      </w:r>
      <w:r w:rsidRPr="000A1E00">
        <w:rPr>
          <w:lang w:val="fr-FR"/>
        </w:rPr>
        <w:t>avis du Groupe de travail des explosifs, s</w:t>
      </w:r>
      <w:r w:rsidR="000A1E00">
        <w:rPr>
          <w:lang w:val="fr-FR"/>
        </w:rPr>
        <w:t>’</w:t>
      </w:r>
      <w:r w:rsidRPr="000A1E00">
        <w:rPr>
          <w:lang w:val="fr-FR"/>
        </w:rPr>
        <w:t>agissant de la raison d</w:t>
      </w:r>
      <w:r w:rsidR="000A1E00">
        <w:rPr>
          <w:lang w:val="fr-FR"/>
        </w:rPr>
        <w:t>’</w:t>
      </w:r>
      <w:r w:rsidRPr="000A1E00">
        <w:rPr>
          <w:lang w:val="fr-FR"/>
        </w:rPr>
        <w:t>être de la prescription susmentionnée et du domaine d</w:t>
      </w:r>
      <w:r w:rsidR="000A1E00">
        <w:rPr>
          <w:lang w:val="fr-FR"/>
        </w:rPr>
        <w:t>’</w:t>
      </w:r>
      <w:r w:rsidRPr="000A1E00">
        <w:rPr>
          <w:lang w:val="fr-FR"/>
        </w:rPr>
        <w:t>application particulier du 7.1.3.3 b) dans sa version actuelle. D</w:t>
      </w:r>
      <w:r w:rsidR="000A1E00">
        <w:rPr>
          <w:lang w:val="fr-FR"/>
        </w:rPr>
        <w:t>’</w:t>
      </w:r>
      <w:r w:rsidRPr="000A1E00">
        <w:rPr>
          <w:lang w:val="fr-FR"/>
        </w:rPr>
        <w:t>autres experts ont estimé qu</w:t>
      </w:r>
      <w:r w:rsidR="000A1E00">
        <w:rPr>
          <w:lang w:val="fr-FR"/>
        </w:rPr>
        <w:t>’</w:t>
      </w:r>
      <w:r w:rsidRPr="000A1E00">
        <w:rPr>
          <w:lang w:val="fr-FR"/>
        </w:rPr>
        <w:t>il serait plus approprié, aux fins du Règlement type, de remplacer des critères spécifiques par une prescription générale faisant appel aux connaissances des personnes intéressées. L</w:t>
      </w:r>
      <w:r w:rsidR="000A1E00">
        <w:rPr>
          <w:lang w:val="fr-FR"/>
        </w:rPr>
        <w:t>’</w:t>
      </w:r>
      <w:r w:rsidRPr="000A1E00">
        <w:rPr>
          <w:lang w:val="fr-FR"/>
        </w:rPr>
        <w:t>experte de l</w:t>
      </w:r>
      <w:r w:rsidR="000A1E00">
        <w:rPr>
          <w:lang w:val="fr-FR"/>
        </w:rPr>
        <w:t>’</w:t>
      </w:r>
      <w:r w:rsidRPr="000A1E00">
        <w:rPr>
          <w:lang w:val="fr-FR"/>
        </w:rPr>
        <w:t>Allemagne a souligné que des prescriptions liées à la notion «</w:t>
      </w:r>
      <w:r w:rsidR="00E84C8B">
        <w:rPr>
          <w:lang w:val="fr-FR"/>
        </w:rPr>
        <w:t> </w:t>
      </w:r>
      <w:r w:rsidRPr="000A1E00">
        <w:rPr>
          <w:lang w:val="fr-FR"/>
        </w:rPr>
        <w:t>structurellement propre à l</w:t>
      </w:r>
      <w:r w:rsidR="000A1E00">
        <w:rPr>
          <w:lang w:val="fr-FR"/>
        </w:rPr>
        <w:t>’</w:t>
      </w:r>
      <w:r w:rsidRPr="000A1E00">
        <w:rPr>
          <w:lang w:val="fr-FR"/>
        </w:rPr>
        <w:t>emploi</w:t>
      </w:r>
      <w:r w:rsidR="00E84C8B">
        <w:rPr>
          <w:lang w:val="fr-FR"/>
        </w:rPr>
        <w:t> </w:t>
      </w:r>
      <w:r w:rsidRPr="000A1E00">
        <w:rPr>
          <w:lang w:val="fr-FR"/>
        </w:rPr>
        <w:t>» étaient déjà mises en œuvre pour le transport terrestre de marchandises dangereuses dans toutes les classes de grands récipients, du moins dans des pays qui étaient Parties contractantes au RID et à l</w:t>
      </w:r>
      <w:r w:rsidR="000A1E00">
        <w:rPr>
          <w:lang w:val="fr-FR"/>
        </w:rPr>
        <w:t>’</w:t>
      </w:r>
      <w:r w:rsidRPr="000A1E00">
        <w:rPr>
          <w:lang w:val="fr-FR"/>
        </w:rPr>
        <w:t>ADR, dont le paragraphe 7.1.4 comprenait des dispositions relatives à cette question.</w:t>
      </w:r>
    </w:p>
    <w:p w:rsidR="00286BDC" w:rsidRPr="000A1E00" w:rsidRDefault="00286BDC" w:rsidP="00E84C8B">
      <w:pPr>
        <w:pStyle w:val="SingleTxtG"/>
        <w:rPr>
          <w:lang w:val="fr-FR"/>
        </w:rPr>
      </w:pPr>
      <w:r w:rsidRPr="000A1E00">
        <w:rPr>
          <w:lang w:val="fr-FR"/>
        </w:rPr>
        <w:t>137.</w:t>
      </w:r>
      <w:r w:rsidRPr="000A1E00">
        <w:rPr>
          <w:lang w:val="fr-FR"/>
        </w:rPr>
        <w:tab/>
        <w:t>L</w:t>
      </w:r>
      <w:r w:rsidR="000A1E00">
        <w:rPr>
          <w:lang w:val="fr-FR"/>
        </w:rPr>
        <w:t>’</w:t>
      </w:r>
      <w:r w:rsidRPr="000A1E00">
        <w:rPr>
          <w:lang w:val="fr-FR"/>
        </w:rPr>
        <w:t>experte de l</w:t>
      </w:r>
      <w:r w:rsidR="000A1E00">
        <w:rPr>
          <w:lang w:val="fr-FR"/>
        </w:rPr>
        <w:t>’</w:t>
      </w:r>
      <w:r w:rsidRPr="000A1E00">
        <w:rPr>
          <w:lang w:val="fr-FR"/>
        </w:rPr>
        <w:t>Allemagne a remercié tous les experts qui avaient formulé des observations et a dit qu</w:t>
      </w:r>
      <w:r w:rsidR="000A1E00">
        <w:rPr>
          <w:lang w:val="fr-FR"/>
        </w:rPr>
        <w:t>’</w:t>
      </w:r>
      <w:r w:rsidRPr="000A1E00">
        <w:rPr>
          <w:lang w:val="fr-FR"/>
        </w:rPr>
        <w:t>elle continuerait d</w:t>
      </w:r>
      <w:r w:rsidR="000A1E00">
        <w:rPr>
          <w:lang w:val="fr-FR"/>
        </w:rPr>
        <w:t>’</w:t>
      </w:r>
      <w:r w:rsidRPr="000A1E00">
        <w:rPr>
          <w:lang w:val="fr-FR"/>
        </w:rPr>
        <w:t>étudier cette question avec d</w:t>
      </w:r>
      <w:r w:rsidR="000A1E00">
        <w:rPr>
          <w:lang w:val="fr-FR"/>
        </w:rPr>
        <w:t>’</w:t>
      </w:r>
      <w:r w:rsidRPr="000A1E00">
        <w:rPr>
          <w:lang w:val="fr-FR"/>
        </w:rPr>
        <w:t xml:space="preserve">autres délégations intéressées, en vue de soumettre une proposition révisée. </w:t>
      </w:r>
    </w:p>
    <w:p w:rsidR="00286BDC" w:rsidRPr="000A1E00" w:rsidRDefault="00286BDC" w:rsidP="00E84C8B">
      <w:pPr>
        <w:pStyle w:val="H23G"/>
        <w:rPr>
          <w:lang w:val="fr-FR"/>
        </w:rPr>
      </w:pPr>
      <w:r w:rsidRPr="000A1E00">
        <w:rPr>
          <w:lang w:val="fr-FR"/>
        </w:rPr>
        <w:tab/>
        <w:t>6.</w:t>
      </w:r>
      <w:r w:rsidRPr="000A1E00">
        <w:rPr>
          <w:lang w:val="fr-FR"/>
        </w:rPr>
        <w:tab/>
      </w:r>
      <w:r w:rsidR="00E84C8B">
        <w:rPr>
          <w:lang w:val="fr-FR"/>
        </w:rPr>
        <w:t>Définition du « </w:t>
      </w:r>
      <w:r w:rsidRPr="000A1E00">
        <w:rPr>
          <w:lang w:val="fr-FR"/>
        </w:rPr>
        <w:t>point d</w:t>
      </w:r>
      <w:r w:rsidR="000A1E00">
        <w:rPr>
          <w:lang w:val="fr-FR"/>
        </w:rPr>
        <w:t>’</w:t>
      </w:r>
      <w:r w:rsidRPr="000A1E00">
        <w:rPr>
          <w:lang w:val="fr-FR"/>
        </w:rPr>
        <w:t>éclair</w:t>
      </w:r>
      <w:r w:rsidR="00E84C8B">
        <w:rPr>
          <w:lang w:val="fr-FR"/>
        </w:rPr>
        <w:t> </w:t>
      </w:r>
      <w:r w:rsidRPr="000A1E00">
        <w:rPr>
          <w:lang w:val="fr-FR"/>
        </w:rPr>
        <w:t>»</w:t>
      </w:r>
    </w:p>
    <w:p w:rsidR="00286BDC" w:rsidRPr="000A1E00" w:rsidRDefault="00286BDC" w:rsidP="00E84C8B">
      <w:pPr>
        <w:pStyle w:val="SingleTxtG"/>
        <w:tabs>
          <w:tab w:val="left" w:pos="3119"/>
        </w:tabs>
        <w:rPr>
          <w:lang w:val="fr-FR"/>
        </w:rPr>
      </w:pPr>
      <w:r w:rsidRPr="000A1E00">
        <w:rPr>
          <w:i/>
          <w:iCs/>
          <w:lang w:val="fr-FR"/>
        </w:rPr>
        <w:t>Document informel</w:t>
      </w:r>
      <w:r w:rsidR="00E84C8B">
        <w:rPr>
          <w:i/>
          <w:iCs/>
          <w:lang w:val="fr-FR"/>
        </w:rPr>
        <w:t> </w:t>
      </w:r>
      <w:r w:rsidRPr="00E84C8B">
        <w:rPr>
          <w:iCs/>
          <w:lang w:val="fr-FR"/>
        </w:rPr>
        <w:t>:</w:t>
      </w:r>
      <w:r w:rsidRPr="000A1E00">
        <w:rPr>
          <w:lang w:val="fr-FR"/>
        </w:rPr>
        <w:tab/>
        <w:t>INF.48 (Fédération de Russie)</w:t>
      </w:r>
      <w:r w:rsidR="00E84C8B">
        <w:rPr>
          <w:lang w:val="fr-FR"/>
        </w:rPr>
        <w:t>.</w:t>
      </w:r>
    </w:p>
    <w:p w:rsidR="00286BDC" w:rsidRPr="000A1E00" w:rsidRDefault="00286BDC" w:rsidP="00E84C8B">
      <w:pPr>
        <w:pStyle w:val="SingleTxtG"/>
        <w:rPr>
          <w:lang w:val="fr-FR"/>
        </w:rPr>
      </w:pPr>
      <w:r w:rsidRPr="000A1E00">
        <w:rPr>
          <w:lang w:val="fr-FR"/>
        </w:rPr>
        <w:t>138.</w:t>
      </w:r>
      <w:r w:rsidRPr="000A1E00">
        <w:rPr>
          <w:lang w:val="fr-FR"/>
        </w:rPr>
        <w:tab/>
        <w:t>Plusieurs experts se sont inquiétés des conséquences imprévues que pourrait avoir la proposition (par exemple, incompatibilité avec les normes énumérées au 2.3.3 concernant la détermination du point d</w:t>
      </w:r>
      <w:r w:rsidR="000A1E00">
        <w:rPr>
          <w:lang w:val="fr-FR"/>
        </w:rPr>
        <w:t>’</w:t>
      </w:r>
      <w:r w:rsidRPr="000A1E00">
        <w:rPr>
          <w:lang w:val="fr-FR"/>
        </w:rPr>
        <w:t>éclair). D</w:t>
      </w:r>
      <w:r w:rsidR="000A1E00">
        <w:rPr>
          <w:lang w:val="fr-FR"/>
        </w:rPr>
        <w:t>’</w:t>
      </w:r>
      <w:r w:rsidRPr="000A1E00">
        <w:rPr>
          <w:lang w:val="fr-FR"/>
        </w:rPr>
        <w:t>autres experts ont signalé que la définition suggérée n</w:t>
      </w:r>
      <w:r w:rsidR="000A1E00">
        <w:rPr>
          <w:lang w:val="fr-FR"/>
        </w:rPr>
        <w:t>’</w:t>
      </w:r>
      <w:r w:rsidRPr="000A1E00">
        <w:rPr>
          <w:lang w:val="fr-FR"/>
        </w:rPr>
        <w:t>était pas alignée sur celle qui figurait au chapitre 1.2 du SGH et ils ont noté que la proposition n</w:t>
      </w:r>
      <w:r w:rsidR="000A1E00">
        <w:rPr>
          <w:lang w:val="fr-FR"/>
        </w:rPr>
        <w:t>’</w:t>
      </w:r>
      <w:r w:rsidRPr="000A1E00">
        <w:rPr>
          <w:lang w:val="fr-FR"/>
        </w:rPr>
        <w:t>était pas justifiée du point de vue de la sécurité. Compte tenu de ce qui précède, le Sous-Comité n</w:t>
      </w:r>
      <w:r w:rsidR="000A1E00">
        <w:rPr>
          <w:lang w:val="fr-FR"/>
        </w:rPr>
        <w:t>’</w:t>
      </w:r>
      <w:r w:rsidRPr="000A1E00">
        <w:rPr>
          <w:lang w:val="fr-FR"/>
        </w:rPr>
        <w:t>a pas approuvé l</w:t>
      </w:r>
      <w:r w:rsidR="000A1E00">
        <w:rPr>
          <w:lang w:val="fr-FR"/>
        </w:rPr>
        <w:t>’</w:t>
      </w:r>
      <w:r w:rsidRPr="000A1E00">
        <w:rPr>
          <w:lang w:val="fr-FR"/>
        </w:rPr>
        <w:t>introduction dans le Règlement type d</w:t>
      </w:r>
      <w:r w:rsidR="000A1E00">
        <w:rPr>
          <w:lang w:val="fr-FR"/>
        </w:rPr>
        <w:t>’</w:t>
      </w:r>
      <w:r w:rsidRPr="000A1E00">
        <w:rPr>
          <w:lang w:val="fr-FR"/>
        </w:rPr>
        <w:t>une définition du point d</w:t>
      </w:r>
      <w:r w:rsidR="000A1E00">
        <w:rPr>
          <w:lang w:val="fr-FR"/>
        </w:rPr>
        <w:t>’</w:t>
      </w:r>
      <w:r w:rsidRPr="000A1E00">
        <w:rPr>
          <w:lang w:val="fr-FR"/>
        </w:rPr>
        <w:t xml:space="preserve">éclair. </w:t>
      </w:r>
    </w:p>
    <w:p w:rsidR="00286BDC" w:rsidRPr="000A1E00" w:rsidRDefault="00286BDC" w:rsidP="00E84C8B">
      <w:pPr>
        <w:pStyle w:val="HChG"/>
        <w:rPr>
          <w:lang w:val="fr-FR"/>
        </w:rPr>
      </w:pPr>
      <w:r w:rsidRPr="000A1E00">
        <w:rPr>
          <w:lang w:val="fr-FR"/>
        </w:rPr>
        <w:tab/>
        <w:t xml:space="preserve">IX. </w:t>
      </w:r>
      <w:r w:rsidRPr="000A1E00">
        <w:rPr>
          <w:lang w:val="fr-FR"/>
        </w:rPr>
        <w:tab/>
        <w:t xml:space="preserve">Harmonisation générale des règlements de transport </w:t>
      </w:r>
      <w:r w:rsidR="00E84C8B">
        <w:rPr>
          <w:lang w:val="fr-FR"/>
        </w:rPr>
        <w:br/>
      </w:r>
      <w:r w:rsidRPr="000A1E00">
        <w:rPr>
          <w:lang w:val="fr-FR"/>
        </w:rPr>
        <w:t xml:space="preserve">des marchandises dangereuses avec le Règlement type </w:t>
      </w:r>
      <w:r w:rsidR="00E84C8B">
        <w:rPr>
          <w:lang w:val="fr-FR"/>
        </w:rPr>
        <w:br/>
      </w:r>
      <w:r w:rsidRPr="000A1E00">
        <w:rPr>
          <w:lang w:val="fr-FR"/>
        </w:rPr>
        <w:t>(point 7 de l</w:t>
      </w:r>
      <w:r w:rsidR="000A1E00">
        <w:rPr>
          <w:lang w:val="fr-FR"/>
        </w:rPr>
        <w:t>’</w:t>
      </w:r>
      <w:r w:rsidRPr="000A1E00">
        <w:rPr>
          <w:lang w:val="fr-FR"/>
        </w:rPr>
        <w:t>ordre du jour)</w:t>
      </w:r>
    </w:p>
    <w:p w:rsidR="00286BDC" w:rsidRPr="000A1E00" w:rsidRDefault="00286BDC" w:rsidP="00E84C8B">
      <w:pPr>
        <w:pStyle w:val="H1G"/>
        <w:rPr>
          <w:lang w:val="fr-FR"/>
        </w:rPr>
      </w:pPr>
      <w:r w:rsidRPr="000A1E00">
        <w:rPr>
          <w:lang w:val="fr-FR"/>
        </w:rPr>
        <w:tab/>
        <w:t>A.</w:t>
      </w:r>
      <w:r w:rsidRPr="000A1E00">
        <w:rPr>
          <w:lang w:val="fr-FR"/>
        </w:rPr>
        <w:tab/>
        <w:t>Proposition visant à insérer la disposition spéciale 653 de l</w:t>
      </w:r>
      <w:r w:rsidR="000A1E00">
        <w:rPr>
          <w:lang w:val="fr-FR"/>
        </w:rPr>
        <w:t>’</w:t>
      </w:r>
      <w:r w:rsidRPr="000A1E00">
        <w:rPr>
          <w:lang w:val="fr-FR"/>
        </w:rPr>
        <w:t xml:space="preserve">ADR </w:t>
      </w:r>
      <w:r w:rsidR="00E84C8B">
        <w:rPr>
          <w:lang w:val="fr-FR"/>
        </w:rPr>
        <w:br/>
      </w:r>
      <w:r w:rsidRPr="000A1E00">
        <w:rPr>
          <w:lang w:val="fr-FR"/>
        </w:rPr>
        <w:t>dans le Règlement type</w:t>
      </w:r>
    </w:p>
    <w:p w:rsidR="00286BDC" w:rsidRPr="000A1E00" w:rsidRDefault="00E84C8B" w:rsidP="00E84C8B">
      <w:pPr>
        <w:pStyle w:val="SingleTxtG"/>
        <w:tabs>
          <w:tab w:val="left" w:pos="3119"/>
        </w:tabs>
        <w:rPr>
          <w:lang w:val="en-US"/>
        </w:rPr>
      </w:pPr>
      <w:r>
        <w:rPr>
          <w:i/>
          <w:iCs/>
          <w:lang w:val="en-US"/>
        </w:rPr>
        <w:t>Document </w:t>
      </w:r>
      <w:r w:rsidR="00286BDC" w:rsidRPr="00E84C8B">
        <w:rPr>
          <w:iCs/>
          <w:lang w:val="en-US"/>
        </w:rPr>
        <w:t>:</w:t>
      </w:r>
      <w:r w:rsidR="00286BDC" w:rsidRPr="000A1E00">
        <w:rPr>
          <w:lang w:val="en-US"/>
        </w:rPr>
        <w:t xml:space="preserve"> </w:t>
      </w:r>
      <w:r w:rsidR="00286BDC" w:rsidRPr="000A1E00">
        <w:rPr>
          <w:lang w:val="en-US"/>
        </w:rPr>
        <w:tab/>
        <w:t>ST/SG/AC.10/C.3/2018/16 (EIGA)</w:t>
      </w:r>
      <w:r>
        <w:rPr>
          <w:lang w:val="en-US"/>
        </w:rPr>
        <w:t>.</w:t>
      </w:r>
    </w:p>
    <w:p w:rsidR="00286BDC" w:rsidRPr="000A1E00" w:rsidRDefault="00286BDC" w:rsidP="00E84C8B">
      <w:pPr>
        <w:pStyle w:val="SingleTxtG"/>
        <w:rPr>
          <w:lang w:val="fr-FR"/>
        </w:rPr>
      </w:pPr>
      <w:r w:rsidRPr="000A1E00">
        <w:rPr>
          <w:lang w:val="fr-FR"/>
        </w:rPr>
        <w:t>139.</w:t>
      </w:r>
      <w:r w:rsidRPr="000A1E00">
        <w:rPr>
          <w:lang w:val="fr-FR"/>
        </w:rPr>
        <w:tab/>
        <w:t>Si la plupart des experts qui se sont exprimés ont estimé que la dérogation était justifiée pour le transport terrestre, ils se sont dits réticents à l</w:t>
      </w:r>
      <w:r w:rsidR="000A1E00">
        <w:rPr>
          <w:lang w:val="fr-FR"/>
        </w:rPr>
        <w:t>’</w:t>
      </w:r>
      <w:r w:rsidRPr="000A1E00">
        <w:rPr>
          <w:lang w:val="fr-FR"/>
        </w:rPr>
        <w:t>étendre au transport multimodal. Certains étaient d</w:t>
      </w:r>
      <w:r w:rsidR="000A1E00">
        <w:rPr>
          <w:lang w:val="fr-FR"/>
        </w:rPr>
        <w:t>’</w:t>
      </w:r>
      <w:r w:rsidRPr="000A1E00">
        <w:rPr>
          <w:lang w:val="fr-FR"/>
        </w:rPr>
        <w:t>avis que les dispositions de remplissage et les exigences en matière de formation devaient être prises en compte. D</w:t>
      </w:r>
      <w:r w:rsidR="000A1E00">
        <w:rPr>
          <w:lang w:val="fr-FR"/>
        </w:rPr>
        <w:t>’</w:t>
      </w:r>
      <w:r w:rsidRPr="000A1E00">
        <w:rPr>
          <w:lang w:val="fr-FR"/>
        </w:rPr>
        <w:t>autres souhaitaient disposer de plus amples informations, étayées par des données, sur la raison d</w:t>
      </w:r>
      <w:r w:rsidR="000A1E00">
        <w:rPr>
          <w:lang w:val="fr-FR"/>
        </w:rPr>
        <w:t>’</w:t>
      </w:r>
      <w:r w:rsidRPr="000A1E00">
        <w:rPr>
          <w:lang w:val="fr-FR"/>
        </w:rPr>
        <w:t>être de la proposition. Le représentant de l</w:t>
      </w:r>
      <w:r w:rsidR="000A1E00">
        <w:rPr>
          <w:lang w:val="fr-FR"/>
        </w:rPr>
        <w:t>’</w:t>
      </w:r>
      <w:r w:rsidRPr="000A1E00">
        <w:rPr>
          <w:lang w:val="fr-FR"/>
        </w:rPr>
        <w:t>EIGA a dit qu</w:t>
      </w:r>
      <w:r w:rsidR="000A1E00">
        <w:rPr>
          <w:lang w:val="fr-FR"/>
        </w:rPr>
        <w:t>’</w:t>
      </w:r>
      <w:r w:rsidRPr="000A1E00">
        <w:rPr>
          <w:lang w:val="fr-FR"/>
        </w:rPr>
        <w:t>il tiendrait compte des observations formulées et qu</w:t>
      </w:r>
      <w:r w:rsidR="000A1E00">
        <w:rPr>
          <w:lang w:val="fr-FR"/>
        </w:rPr>
        <w:t>’</w:t>
      </w:r>
      <w:r w:rsidRPr="000A1E00">
        <w:rPr>
          <w:lang w:val="fr-FR"/>
        </w:rPr>
        <w:t>il soumettrait une proposition révisée à la session suivante.</w:t>
      </w:r>
    </w:p>
    <w:p w:rsidR="00286BDC" w:rsidRPr="000A1E00" w:rsidRDefault="00286BDC" w:rsidP="00E84C8B">
      <w:pPr>
        <w:pStyle w:val="H1G"/>
        <w:rPr>
          <w:lang w:val="fr-FR"/>
        </w:rPr>
      </w:pPr>
      <w:r w:rsidRPr="000A1E00">
        <w:rPr>
          <w:lang w:val="fr-FR"/>
        </w:rPr>
        <w:tab/>
        <w:t>B.</w:t>
      </w:r>
      <w:r w:rsidRPr="000A1E00">
        <w:rPr>
          <w:lang w:val="fr-FR"/>
        </w:rPr>
        <w:tab/>
        <w:t>Examen des prescriptions du Canada relatives à la formation en matière de transport de marchandises dangereuses</w:t>
      </w:r>
    </w:p>
    <w:p w:rsidR="00286BDC" w:rsidRPr="000A1E00" w:rsidRDefault="00286BDC" w:rsidP="00E84C8B">
      <w:pPr>
        <w:pStyle w:val="SingleTxtG"/>
        <w:tabs>
          <w:tab w:val="left" w:pos="3119"/>
        </w:tabs>
        <w:rPr>
          <w:lang w:val="en-US"/>
        </w:rPr>
      </w:pPr>
      <w:r w:rsidRPr="000A1E00">
        <w:rPr>
          <w:i/>
          <w:iCs/>
          <w:lang w:val="en-US"/>
        </w:rPr>
        <w:t>Document</w:t>
      </w:r>
      <w:r w:rsidR="00E84C8B">
        <w:rPr>
          <w:i/>
          <w:iCs/>
          <w:lang w:val="en-US"/>
        </w:rPr>
        <w:t> </w:t>
      </w:r>
      <w:r w:rsidRPr="00E84C8B">
        <w:rPr>
          <w:iCs/>
          <w:lang w:val="en-US"/>
        </w:rPr>
        <w:t>:</w:t>
      </w:r>
      <w:r w:rsidRPr="000A1E00">
        <w:rPr>
          <w:lang w:val="en-US"/>
        </w:rPr>
        <w:t xml:space="preserve"> </w:t>
      </w:r>
      <w:r w:rsidRPr="000A1E00">
        <w:rPr>
          <w:lang w:val="en-US"/>
        </w:rPr>
        <w:tab/>
        <w:t>ST/SG/AC.10/C.3/2018/17 (Canada)</w:t>
      </w:r>
      <w:r w:rsidR="00E84C8B">
        <w:rPr>
          <w:lang w:val="en-US"/>
        </w:rPr>
        <w:t>.</w:t>
      </w:r>
    </w:p>
    <w:p w:rsidR="00286BDC" w:rsidRPr="000A1E00" w:rsidRDefault="00286BDC" w:rsidP="00E84C8B">
      <w:pPr>
        <w:pStyle w:val="SingleTxtG"/>
        <w:rPr>
          <w:lang w:val="fr-FR"/>
        </w:rPr>
      </w:pPr>
      <w:r w:rsidRPr="000A1E00">
        <w:rPr>
          <w:lang w:val="fr-FR"/>
        </w:rPr>
        <w:t>140.</w:t>
      </w:r>
      <w:r w:rsidRPr="000A1E00">
        <w:rPr>
          <w:lang w:val="fr-FR"/>
        </w:rPr>
        <w:tab/>
        <w:t>Le Sous-Comité s</w:t>
      </w:r>
      <w:r w:rsidR="000A1E00">
        <w:rPr>
          <w:lang w:val="fr-FR"/>
        </w:rPr>
        <w:t>’</w:t>
      </w:r>
      <w:r w:rsidRPr="000A1E00">
        <w:rPr>
          <w:lang w:val="fr-FR"/>
        </w:rPr>
        <w:t>est félicité des informations fournies par l</w:t>
      </w:r>
      <w:r w:rsidR="000A1E00">
        <w:rPr>
          <w:lang w:val="fr-FR"/>
        </w:rPr>
        <w:t>’</w:t>
      </w:r>
      <w:r w:rsidRPr="000A1E00">
        <w:rPr>
          <w:lang w:val="fr-FR"/>
        </w:rPr>
        <w:t>experte du Canada et a noté que cette dernière continuerait à faire part de l</w:t>
      </w:r>
      <w:r w:rsidR="000A1E00">
        <w:rPr>
          <w:lang w:val="fr-FR"/>
        </w:rPr>
        <w:t>’</w:t>
      </w:r>
      <w:r w:rsidRPr="000A1E00">
        <w:rPr>
          <w:lang w:val="fr-FR"/>
        </w:rPr>
        <w:t>expérience de son pays dans la mise en œuvre de la formation axée sur les compétences.</w:t>
      </w:r>
    </w:p>
    <w:p w:rsidR="00286BDC" w:rsidRPr="000A1E00" w:rsidRDefault="00286BDC" w:rsidP="00E84C8B">
      <w:pPr>
        <w:pStyle w:val="SingleTxtG"/>
        <w:rPr>
          <w:lang w:val="fr-FR"/>
        </w:rPr>
      </w:pPr>
      <w:r w:rsidRPr="000A1E00">
        <w:rPr>
          <w:lang w:val="fr-FR"/>
        </w:rPr>
        <w:t>141.</w:t>
      </w:r>
      <w:r w:rsidRPr="000A1E00">
        <w:rPr>
          <w:lang w:val="fr-FR"/>
        </w:rPr>
        <w:tab/>
        <w:t>L</w:t>
      </w:r>
      <w:r w:rsidR="000A1E00">
        <w:rPr>
          <w:lang w:val="fr-FR"/>
        </w:rPr>
        <w:t>’</w:t>
      </w:r>
      <w:r w:rsidRPr="000A1E00">
        <w:rPr>
          <w:lang w:val="fr-FR"/>
        </w:rPr>
        <w:t>expert du Brésil a informé le Sous-Comité que les discussions sur la mise en œuvre de la formation axée sur les compétences avaient commencé au niveau du pays et que les autorités compétentes avaient l</w:t>
      </w:r>
      <w:r w:rsidR="000A1E00">
        <w:rPr>
          <w:lang w:val="fr-FR"/>
        </w:rPr>
        <w:t>’</w:t>
      </w:r>
      <w:r w:rsidRPr="000A1E00">
        <w:rPr>
          <w:lang w:val="fr-FR"/>
        </w:rPr>
        <w:t>intention de réaliser une étude nationale sur la manière de mettre en œuvre les instructions techniques de l</w:t>
      </w:r>
      <w:r w:rsidR="000A1E00">
        <w:rPr>
          <w:lang w:val="fr-FR"/>
        </w:rPr>
        <w:t>’</w:t>
      </w:r>
      <w:r w:rsidRPr="000A1E00">
        <w:rPr>
          <w:lang w:val="fr-FR"/>
        </w:rPr>
        <w:t>OACI.</w:t>
      </w:r>
    </w:p>
    <w:p w:rsidR="00286BDC" w:rsidRPr="000A1E00" w:rsidRDefault="00286BDC" w:rsidP="00E84C8B">
      <w:pPr>
        <w:pStyle w:val="SingleTxtG"/>
        <w:rPr>
          <w:lang w:val="fr-FR"/>
        </w:rPr>
      </w:pPr>
      <w:r w:rsidRPr="000A1E00">
        <w:rPr>
          <w:lang w:val="fr-FR"/>
        </w:rPr>
        <w:t>142.</w:t>
      </w:r>
      <w:r w:rsidRPr="000A1E00">
        <w:rPr>
          <w:lang w:val="fr-FR"/>
        </w:rPr>
        <w:tab/>
        <w:t>La représentante de l</w:t>
      </w:r>
      <w:r w:rsidR="000A1E00">
        <w:rPr>
          <w:lang w:val="fr-FR"/>
        </w:rPr>
        <w:t>’</w:t>
      </w:r>
      <w:r w:rsidRPr="000A1E00">
        <w:rPr>
          <w:lang w:val="fr-FR"/>
        </w:rPr>
        <w:t>OACI a dit qu</w:t>
      </w:r>
      <w:r w:rsidR="000A1E00">
        <w:rPr>
          <w:lang w:val="fr-FR"/>
        </w:rPr>
        <w:t>’</w:t>
      </w:r>
      <w:r w:rsidRPr="000A1E00">
        <w:rPr>
          <w:lang w:val="fr-FR"/>
        </w:rPr>
        <w:t>une révision de l</w:t>
      </w:r>
      <w:r w:rsidR="000A1E00">
        <w:rPr>
          <w:lang w:val="fr-FR"/>
        </w:rPr>
        <w:t>’</w:t>
      </w:r>
      <w:r w:rsidRPr="000A1E00">
        <w:rPr>
          <w:lang w:val="fr-FR"/>
        </w:rPr>
        <w:t>édition 2017 des directives relatives à la formation axée sur les compétences avait été effectuée afin de tenir compte des observations des pays et des dispositions de l</w:t>
      </w:r>
      <w:r w:rsidR="000A1E00">
        <w:rPr>
          <w:lang w:val="fr-FR"/>
        </w:rPr>
        <w:t>’</w:t>
      </w:r>
      <w:r w:rsidRPr="000A1E00">
        <w:rPr>
          <w:lang w:val="fr-FR"/>
        </w:rPr>
        <w:t>édition 2019-2020 des Instructions techniques publiées par l</w:t>
      </w:r>
      <w:r w:rsidR="000A1E00">
        <w:rPr>
          <w:lang w:val="fr-FR"/>
        </w:rPr>
        <w:t>’</w:t>
      </w:r>
      <w:r w:rsidRPr="000A1E00">
        <w:rPr>
          <w:lang w:val="fr-FR"/>
        </w:rPr>
        <w:t>OACI. La représentante a informé le Sous-Comité de son intention de présenter pour la prochaine session un document comportant des informations sur les actualisations effectuées.</w:t>
      </w:r>
    </w:p>
    <w:p w:rsidR="00286BDC" w:rsidRPr="000A1E00" w:rsidRDefault="00286BDC" w:rsidP="00E84C8B">
      <w:pPr>
        <w:pStyle w:val="SingleTxtG"/>
        <w:rPr>
          <w:lang w:val="fr-FR"/>
        </w:rPr>
      </w:pPr>
      <w:r w:rsidRPr="000A1E00">
        <w:rPr>
          <w:lang w:val="fr-FR"/>
        </w:rPr>
        <w:t>143.</w:t>
      </w:r>
      <w:r w:rsidRPr="000A1E00">
        <w:rPr>
          <w:lang w:val="fr-FR"/>
        </w:rPr>
        <w:tab/>
        <w:t>Le représentant de l</w:t>
      </w:r>
      <w:r w:rsidR="000A1E00">
        <w:rPr>
          <w:lang w:val="fr-FR"/>
        </w:rPr>
        <w:t>’</w:t>
      </w:r>
      <w:r w:rsidRPr="000A1E00">
        <w:rPr>
          <w:lang w:val="fr-FR"/>
        </w:rPr>
        <w:t xml:space="preserve">IATA a souligné que les programmes de formation axée sur les compétences devaient tenir compte de la marge de manœuvre dont avaient besoin les tiers dispensant des formations et être suffisamment adaptables, et dit que ce point était particulièrement important pour les petites entreprises ne disposant pas de ressources suffisantes pour assurer une telle formation en interne. </w:t>
      </w:r>
    </w:p>
    <w:p w:rsidR="00286BDC" w:rsidRPr="000A1E00" w:rsidRDefault="00286BDC" w:rsidP="00E84C8B">
      <w:pPr>
        <w:pStyle w:val="SingleTxtG"/>
        <w:rPr>
          <w:lang w:val="fr-FR"/>
        </w:rPr>
      </w:pPr>
      <w:r w:rsidRPr="000A1E00">
        <w:rPr>
          <w:lang w:val="fr-FR"/>
        </w:rPr>
        <w:t>144.</w:t>
      </w:r>
      <w:r w:rsidRPr="000A1E00">
        <w:rPr>
          <w:lang w:val="fr-FR"/>
        </w:rPr>
        <w:tab/>
        <w:t>Le Sous-Comité a encouragé les pays à continuer de fournir des informations sur les activités liées à l</w:t>
      </w:r>
      <w:r w:rsidR="000A1E00">
        <w:rPr>
          <w:lang w:val="fr-FR"/>
        </w:rPr>
        <w:t>’</w:t>
      </w:r>
      <w:r w:rsidRPr="000A1E00">
        <w:rPr>
          <w:lang w:val="fr-FR"/>
        </w:rPr>
        <w:t xml:space="preserve">élaboration et à la mise en œuvre de la formation axée sur les compétences. </w:t>
      </w:r>
    </w:p>
    <w:p w:rsidR="00286BDC" w:rsidRPr="000A1E00" w:rsidRDefault="00286BDC" w:rsidP="00E84C8B">
      <w:pPr>
        <w:pStyle w:val="H1G"/>
        <w:rPr>
          <w:lang w:val="fr-FR"/>
        </w:rPr>
      </w:pPr>
      <w:r w:rsidRPr="000A1E00">
        <w:rPr>
          <w:lang w:val="fr-FR"/>
        </w:rPr>
        <w:tab/>
        <w:t>C.</w:t>
      </w:r>
      <w:r w:rsidRPr="000A1E00">
        <w:rPr>
          <w:lang w:val="fr-FR"/>
        </w:rPr>
        <w:tab/>
        <w:t>Modification du 7.1.5.4.5</w:t>
      </w:r>
    </w:p>
    <w:p w:rsidR="00286BDC" w:rsidRPr="000A1E00" w:rsidRDefault="00286BDC" w:rsidP="00E84C8B">
      <w:pPr>
        <w:pStyle w:val="SingleTxtG"/>
        <w:tabs>
          <w:tab w:val="left" w:pos="3119"/>
        </w:tabs>
        <w:rPr>
          <w:lang w:val="fr-FR"/>
        </w:rPr>
      </w:pPr>
      <w:r w:rsidRPr="000A1E00">
        <w:rPr>
          <w:i/>
          <w:iCs/>
          <w:lang w:val="fr-FR"/>
        </w:rPr>
        <w:t>Document</w:t>
      </w:r>
      <w:r w:rsidR="00E84C8B">
        <w:rPr>
          <w:i/>
          <w:iCs/>
          <w:lang w:val="fr-FR"/>
        </w:rPr>
        <w:t> </w:t>
      </w:r>
      <w:r w:rsidRPr="00E84C8B">
        <w:rPr>
          <w:iCs/>
          <w:lang w:val="fr-FR"/>
        </w:rPr>
        <w:t>:</w:t>
      </w:r>
      <w:r w:rsidRPr="000A1E00">
        <w:rPr>
          <w:lang w:val="fr-FR"/>
        </w:rPr>
        <w:t xml:space="preserve"> </w:t>
      </w:r>
      <w:r w:rsidRPr="000A1E00">
        <w:rPr>
          <w:lang w:val="fr-FR"/>
        </w:rPr>
        <w:tab/>
        <w:t>ST/SG/AC.10/C.3/2018/39 (Pays-Bas)</w:t>
      </w:r>
      <w:r w:rsidR="00E84C8B">
        <w:rPr>
          <w:lang w:val="fr-FR"/>
        </w:rPr>
        <w:t>.</w:t>
      </w:r>
    </w:p>
    <w:p w:rsidR="00286BDC" w:rsidRPr="000A1E00" w:rsidRDefault="00286BDC" w:rsidP="00E84C8B">
      <w:pPr>
        <w:pStyle w:val="SingleTxtG"/>
        <w:rPr>
          <w:lang w:val="fr-FR"/>
        </w:rPr>
      </w:pPr>
      <w:r w:rsidRPr="000A1E00">
        <w:rPr>
          <w:lang w:val="fr-FR"/>
        </w:rPr>
        <w:t>145.</w:t>
      </w:r>
      <w:r w:rsidRPr="000A1E00">
        <w:rPr>
          <w:lang w:val="fr-FR"/>
        </w:rPr>
        <w:tab/>
        <w:t>Certains experts, estimant que le niveau de sécurité exigé pour le transport de marchandises dangereuses par route devait être appliqué à tous les modes de transport, étaient favorables à la proposition. D</w:t>
      </w:r>
      <w:r w:rsidR="000A1E00">
        <w:rPr>
          <w:lang w:val="fr-FR"/>
        </w:rPr>
        <w:t>’</w:t>
      </w:r>
      <w:r w:rsidRPr="000A1E00">
        <w:rPr>
          <w:lang w:val="fr-FR"/>
        </w:rPr>
        <w:t>autres estimaient que l</w:t>
      </w:r>
      <w:r w:rsidR="000A1E00">
        <w:rPr>
          <w:lang w:val="fr-FR"/>
        </w:rPr>
        <w:t>’</w:t>
      </w:r>
      <w:r w:rsidRPr="000A1E00">
        <w:rPr>
          <w:lang w:val="fr-FR"/>
        </w:rPr>
        <w:t>expression «</w:t>
      </w:r>
      <w:r w:rsidR="00E84C8B">
        <w:rPr>
          <w:lang w:val="fr-FR"/>
        </w:rPr>
        <w:t> isolation thermique </w:t>
      </w:r>
      <w:r w:rsidRPr="000A1E00">
        <w:rPr>
          <w:lang w:val="fr-FR"/>
        </w:rPr>
        <w:t>», aux alinéas c), d) et e), était redondante. Quelques autres ont demandé un délai supplémentaire pour consulter les parties prenantes au niveau national et pour examiner les incidences de la proposition.</w:t>
      </w:r>
    </w:p>
    <w:p w:rsidR="00286BDC" w:rsidRPr="000A1E00" w:rsidRDefault="00286BDC" w:rsidP="00E84C8B">
      <w:pPr>
        <w:pStyle w:val="SingleTxtG"/>
        <w:rPr>
          <w:lang w:val="fr-FR"/>
        </w:rPr>
      </w:pPr>
      <w:r w:rsidRPr="000A1E00">
        <w:rPr>
          <w:lang w:val="fr-FR"/>
        </w:rPr>
        <w:t>146.</w:t>
      </w:r>
      <w:r w:rsidRPr="000A1E00">
        <w:rPr>
          <w:lang w:val="fr-FR"/>
        </w:rPr>
        <w:tab/>
        <w:t xml:space="preserve">Compte tenu de ce qui précède, le Sous-Comité a décidé de placer les modifications du paragraphe 5 du document ST/SG/AC.10/C.3/2018/39 entre crochets </w:t>
      </w:r>
      <w:r w:rsidR="00CF30D6">
        <w:rPr>
          <w:lang w:val="fr-FR"/>
        </w:rPr>
        <w:t>en</w:t>
      </w:r>
      <w:r w:rsidRPr="000A1E00">
        <w:rPr>
          <w:lang w:val="fr-FR"/>
        </w:rPr>
        <w:t xml:space="preserve"> l</w:t>
      </w:r>
      <w:r w:rsidR="000A1E00">
        <w:rPr>
          <w:lang w:val="fr-FR"/>
        </w:rPr>
        <w:t>’</w:t>
      </w:r>
      <w:r w:rsidRPr="000A1E00">
        <w:rPr>
          <w:lang w:val="fr-FR"/>
        </w:rPr>
        <w:t>attente d</w:t>
      </w:r>
      <w:r w:rsidR="000A1E00">
        <w:rPr>
          <w:lang w:val="fr-FR"/>
        </w:rPr>
        <w:t>’</w:t>
      </w:r>
      <w:r w:rsidRPr="000A1E00">
        <w:rPr>
          <w:lang w:val="fr-FR"/>
        </w:rPr>
        <w:t>une confirmation à la session suivante (voir annexe I). L</w:t>
      </w:r>
      <w:r w:rsidR="000A1E00">
        <w:rPr>
          <w:lang w:val="fr-FR"/>
        </w:rPr>
        <w:t>’</w:t>
      </w:r>
      <w:r w:rsidRPr="000A1E00">
        <w:rPr>
          <w:lang w:val="fr-FR"/>
        </w:rPr>
        <w:t>ajout de l</w:t>
      </w:r>
      <w:r w:rsidR="000A1E00">
        <w:rPr>
          <w:lang w:val="fr-FR"/>
        </w:rPr>
        <w:t>’</w:t>
      </w:r>
      <w:r w:rsidRPr="000A1E00">
        <w:rPr>
          <w:lang w:val="fr-FR"/>
        </w:rPr>
        <w:t>expressi</w:t>
      </w:r>
      <w:r w:rsidR="00E84C8B">
        <w:rPr>
          <w:lang w:val="fr-FR"/>
        </w:rPr>
        <w:t>on « non inflammable </w:t>
      </w:r>
      <w:r w:rsidRPr="000A1E00">
        <w:rPr>
          <w:lang w:val="fr-FR"/>
        </w:rPr>
        <w:t>» au point i) de l</w:t>
      </w:r>
      <w:r w:rsidR="000A1E00">
        <w:rPr>
          <w:lang w:val="fr-FR"/>
        </w:rPr>
        <w:t>’</w:t>
      </w:r>
      <w:r w:rsidRPr="000A1E00">
        <w:rPr>
          <w:lang w:val="fr-FR"/>
        </w:rPr>
        <w:t>alinéa b) du paragraphe 7.1.5.4.5 n</w:t>
      </w:r>
      <w:r w:rsidR="000A1E00">
        <w:rPr>
          <w:lang w:val="fr-FR"/>
        </w:rPr>
        <w:t>’</w:t>
      </w:r>
      <w:r w:rsidRPr="000A1E00">
        <w:rPr>
          <w:lang w:val="fr-FR"/>
        </w:rPr>
        <w:t>a pas été adopté, plusieurs experts l</w:t>
      </w:r>
      <w:r w:rsidR="000A1E00">
        <w:rPr>
          <w:lang w:val="fr-FR"/>
        </w:rPr>
        <w:t>’</w:t>
      </w:r>
      <w:r w:rsidRPr="000A1E00">
        <w:rPr>
          <w:lang w:val="fr-FR"/>
        </w:rPr>
        <w:t>ayant jugé inutile.</w:t>
      </w:r>
    </w:p>
    <w:p w:rsidR="00286BDC" w:rsidRPr="000A1E00" w:rsidRDefault="00286BDC" w:rsidP="00E84C8B">
      <w:pPr>
        <w:pStyle w:val="H1G"/>
        <w:rPr>
          <w:lang w:val="fr-FR"/>
        </w:rPr>
      </w:pPr>
      <w:r w:rsidRPr="000A1E00">
        <w:rPr>
          <w:lang w:val="fr-FR"/>
        </w:rPr>
        <w:tab/>
        <w:t>D.</w:t>
      </w:r>
      <w:r w:rsidRPr="000A1E00">
        <w:rPr>
          <w:lang w:val="fr-FR"/>
        </w:rPr>
        <w:tab/>
        <w:t>Proposition de constitution d</w:t>
      </w:r>
      <w:r w:rsidR="000A1E00">
        <w:rPr>
          <w:lang w:val="fr-FR"/>
        </w:rPr>
        <w:t>’</w:t>
      </w:r>
      <w:r w:rsidRPr="000A1E00">
        <w:rPr>
          <w:lang w:val="fr-FR"/>
        </w:rPr>
        <w:t xml:space="preserve">un groupe de travail informel </w:t>
      </w:r>
      <w:r w:rsidR="00E84C8B">
        <w:rPr>
          <w:lang w:val="fr-FR"/>
        </w:rPr>
        <w:br/>
      </w:r>
      <w:r w:rsidRPr="000A1E00">
        <w:rPr>
          <w:lang w:val="fr-FR"/>
        </w:rPr>
        <w:t xml:space="preserve">sur les initiatives de formation axée sur les compétences </w:t>
      </w:r>
    </w:p>
    <w:p w:rsidR="00286BDC" w:rsidRPr="000A1E00" w:rsidRDefault="00286BDC" w:rsidP="00E84C8B">
      <w:pPr>
        <w:pStyle w:val="SingleTxtG"/>
        <w:tabs>
          <w:tab w:val="left" w:pos="3119"/>
        </w:tabs>
        <w:rPr>
          <w:lang w:val="fr-FR"/>
        </w:rPr>
      </w:pPr>
      <w:r w:rsidRPr="00E84C8B">
        <w:rPr>
          <w:i/>
          <w:lang w:val="fr-FR"/>
        </w:rPr>
        <w:t>Document informel</w:t>
      </w:r>
      <w:r w:rsidR="00E84C8B">
        <w:rPr>
          <w:lang w:val="fr-FR"/>
        </w:rPr>
        <w:t> </w:t>
      </w:r>
      <w:r w:rsidRPr="000A1E00">
        <w:rPr>
          <w:lang w:val="fr-FR"/>
        </w:rPr>
        <w:t>:</w:t>
      </w:r>
      <w:r w:rsidRPr="000A1E00">
        <w:rPr>
          <w:lang w:val="fr-FR"/>
        </w:rPr>
        <w:tab/>
        <w:t>INF.35 (DGTA)</w:t>
      </w:r>
      <w:r w:rsidR="00E84C8B">
        <w:rPr>
          <w:lang w:val="fr-FR"/>
        </w:rPr>
        <w:t>.</w:t>
      </w:r>
    </w:p>
    <w:p w:rsidR="00286BDC" w:rsidRPr="000A1E00" w:rsidRDefault="00286BDC" w:rsidP="00E84C8B">
      <w:pPr>
        <w:pStyle w:val="SingleTxtG"/>
        <w:rPr>
          <w:lang w:val="fr-FR"/>
        </w:rPr>
      </w:pPr>
      <w:r w:rsidRPr="000A1E00">
        <w:rPr>
          <w:lang w:val="fr-FR"/>
        </w:rPr>
        <w:t>147.</w:t>
      </w:r>
      <w:r w:rsidRPr="000A1E00">
        <w:rPr>
          <w:lang w:val="fr-FR"/>
        </w:rPr>
        <w:tab/>
        <w:t>Le Sous-Comité n</w:t>
      </w:r>
      <w:r w:rsidR="000A1E00">
        <w:rPr>
          <w:lang w:val="fr-FR"/>
        </w:rPr>
        <w:t>’</w:t>
      </w:r>
      <w:r w:rsidRPr="000A1E00">
        <w:rPr>
          <w:lang w:val="fr-FR"/>
        </w:rPr>
        <w:t>était pas favorable, en l</w:t>
      </w:r>
      <w:r w:rsidR="000A1E00">
        <w:rPr>
          <w:lang w:val="fr-FR"/>
        </w:rPr>
        <w:t>’</w:t>
      </w:r>
      <w:r w:rsidRPr="000A1E00">
        <w:rPr>
          <w:lang w:val="fr-FR"/>
        </w:rPr>
        <w:t>état, à la création d</w:t>
      </w:r>
      <w:r w:rsidR="000A1E00">
        <w:rPr>
          <w:lang w:val="fr-FR"/>
        </w:rPr>
        <w:t>’</w:t>
      </w:r>
      <w:r w:rsidRPr="000A1E00">
        <w:rPr>
          <w:lang w:val="fr-FR"/>
        </w:rPr>
        <w:t>un groupe de travail informel sur les initiatives de formation axée sur les compétences. La plupart des experts qui se sont exprimés ont estimé qu</w:t>
      </w:r>
      <w:r w:rsidR="000A1E00">
        <w:rPr>
          <w:lang w:val="fr-FR"/>
        </w:rPr>
        <w:t>’</w:t>
      </w:r>
      <w:r w:rsidRPr="000A1E00">
        <w:rPr>
          <w:lang w:val="fr-FR"/>
        </w:rPr>
        <w:t>il serait prématuré d</w:t>
      </w:r>
      <w:r w:rsidR="000A1E00">
        <w:rPr>
          <w:lang w:val="fr-FR"/>
        </w:rPr>
        <w:t>’</w:t>
      </w:r>
      <w:r w:rsidRPr="000A1E00">
        <w:rPr>
          <w:lang w:val="fr-FR"/>
        </w:rPr>
        <w:t>examiner cette question d</w:t>
      </w:r>
      <w:r w:rsidR="000A1E00">
        <w:rPr>
          <w:lang w:val="fr-FR"/>
        </w:rPr>
        <w:t>’</w:t>
      </w:r>
      <w:r w:rsidRPr="000A1E00">
        <w:rPr>
          <w:lang w:val="fr-FR"/>
        </w:rPr>
        <w:t>un point de vue multimodal tant que l</w:t>
      </w:r>
      <w:r w:rsidR="000A1E00">
        <w:rPr>
          <w:lang w:val="fr-FR"/>
        </w:rPr>
        <w:t>’</w:t>
      </w:r>
      <w:r w:rsidRPr="000A1E00">
        <w:rPr>
          <w:lang w:val="fr-FR"/>
        </w:rPr>
        <w:t>on ne disposerait pas d</w:t>
      </w:r>
      <w:r w:rsidR="000A1E00">
        <w:rPr>
          <w:lang w:val="fr-FR"/>
        </w:rPr>
        <w:t>’</w:t>
      </w:r>
      <w:r w:rsidRPr="000A1E00">
        <w:rPr>
          <w:lang w:val="fr-FR"/>
        </w:rPr>
        <w:t xml:space="preserve">une expérience suffisante de la mise en œuvre au niveau modal. </w:t>
      </w:r>
    </w:p>
    <w:p w:rsidR="00286BDC" w:rsidRPr="000A1E00" w:rsidRDefault="00286BDC" w:rsidP="00E84C8B">
      <w:pPr>
        <w:pStyle w:val="SingleTxtG"/>
        <w:rPr>
          <w:lang w:val="fr-FR"/>
        </w:rPr>
      </w:pPr>
      <w:r w:rsidRPr="000A1E00">
        <w:rPr>
          <w:lang w:val="fr-FR"/>
        </w:rPr>
        <w:t>148.</w:t>
      </w:r>
      <w:r w:rsidRPr="000A1E00">
        <w:rPr>
          <w:lang w:val="fr-FR"/>
        </w:rPr>
        <w:tab/>
        <w:t>D</w:t>
      </w:r>
      <w:r w:rsidR="000A1E00">
        <w:rPr>
          <w:lang w:val="fr-FR"/>
        </w:rPr>
        <w:t>’</w:t>
      </w:r>
      <w:r w:rsidRPr="000A1E00">
        <w:rPr>
          <w:lang w:val="fr-FR"/>
        </w:rPr>
        <w:t>autres ont estimé que le mandat relatif à ces travaux (objectifs, questions à traiter, etc.) devait être défini avant que la question de la nécessité de créer un groupe de travail informel soit examinée. Le représentant de la DGTA a dit qu</w:t>
      </w:r>
      <w:r w:rsidR="000A1E00">
        <w:rPr>
          <w:lang w:val="fr-FR"/>
        </w:rPr>
        <w:t>’</w:t>
      </w:r>
      <w:r w:rsidRPr="000A1E00">
        <w:rPr>
          <w:lang w:val="fr-FR"/>
        </w:rPr>
        <w:t>il soumettrait à une prochaine session un document énonçant des objectifs plus précis, pour examen par le Sous-Comité.</w:t>
      </w:r>
    </w:p>
    <w:p w:rsidR="00286BDC" w:rsidRPr="000A1E00" w:rsidRDefault="00286BDC" w:rsidP="00E84C8B">
      <w:pPr>
        <w:pStyle w:val="HChG"/>
        <w:rPr>
          <w:lang w:val="fr-FR"/>
        </w:rPr>
      </w:pPr>
      <w:r w:rsidRPr="000A1E00">
        <w:rPr>
          <w:lang w:val="fr-FR"/>
        </w:rPr>
        <w:tab/>
        <w:t>X.</w:t>
      </w:r>
      <w:r w:rsidRPr="000A1E00">
        <w:rPr>
          <w:lang w:val="fr-FR"/>
        </w:rPr>
        <w:tab/>
        <w:t>Coopération avec l</w:t>
      </w:r>
      <w:r w:rsidR="000A1E00">
        <w:rPr>
          <w:lang w:val="fr-FR"/>
        </w:rPr>
        <w:t>’</w:t>
      </w:r>
      <w:r w:rsidRPr="000A1E00">
        <w:rPr>
          <w:lang w:val="fr-FR"/>
        </w:rPr>
        <w:t>Agence internationale de l</w:t>
      </w:r>
      <w:r w:rsidR="000A1E00">
        <w:rPr>
          <w:lang w:val="fr-FR"/>
        </w:rPr>
        <w:t>’</w:t>
      </w:r>
      <w:r w:rsidRPr="000A1E00">
        <w:rPr>
          <w:lang w:val="fr-FR"/>
        </w:rPr>
        <w:t>énergie atomique (point 8 de l</w:t>
      </w:r>
      <w:r w:rsidR="000A1E00">
        <w:rPr>
          <w:lang w:val="fr-FR"/>
        </w:rPr>
        <w:t>’</w:t>
      </w:r>
      <w:r w:rsidRPr="000A1E00">
        <w:rPr>
          <w:lang w:val="fr-FR"/>
        </w:rPr>
        <w:t>ordre du jour)</w:t>
      </w:r>
    </w:p>
    <w:p w:rsidR="00286BDC" w:rsidRPr="000A1E00" w:rsidRDefault="00286BDC" w:rsidP="00E84C8B">
      <w:pPr>
        <w:pStyle w:val="H1G"/>
        <w:rPr>
          <w:lang w:val="fr-FR"/>
        </w:rPr>
      </w:pPr>
      <w:r w:rsidRPr="000A1E00">
        <w:rPr>
          <w:lang w:val="fr-FR"/>
        </w:rPr>
        <w:tab/>
        <w:t>A.</w:t>
      </w:r>
      <w:r w:rsidRPr="000A1E00">
        <w:rPr>
          <w:lang w:val="fr-FR"/>
        </w:rPr>
        <w:tab/>
        <w:t>Harmonisation entre la circulaire INFCIRC/225/Rev.5 de l</w:t>
      </w:r>
      <w:r w:rsidR="000A1E00">
        <w:rPr>
          <w:lang w:val="fr-FR"/>
        </w:rPr>
        <w:t>’</w:t>
      </w:r>
      <w:r w:rsidRPr="000A1E00">
        <w:rPr>
          <w:lang w:val="fr-FR"/>
        </w:rPr>
        <w:t>AIEA et le Règlement type</w:t>
      </w:r>
    </w:p>
    <w:p w:rsidR="00286BDC" w:rsidRPr="000A1E00" w:rsidRDefault="00E84C8B" w:rsidP="00E84C8B">
      <w:pPr>
        <w:pStyle w:val="SingleTxtG"/>
        <w:tabs>
          <w:tab w:val="left" w:pos="3119"/>
        </w:tabs>
        <w:rPr>
          <w:lang w:val="en-US"/>
        </w:rPr>
      </w:pPr>
      <w:r>
        <w:rPr>
          <w:i/>
          <w:iCs/>
          <w:lang w:val="en-US"/>
        </w:rPr>
        <w:t>Document </w:t>
      </w:r>
      <w:r w:rsidR="00286BDC" w:rsidRPr="00E84C8B">
        <w:rPr>
          <w:iCs/>
          <w:lang w:val="en-US"/>
        </w:rPr>
        <w:t>:</w:t>
      </w:r>
      <w:r w:rsidR="00286BDC" w:rsidRPr="000A1E00">
        <w:rPr>
          <w:lang w:val="en-US"/>
        </w:rPr>
        <w:t xml:space="preserve"> </w:t>
      </w:r>
      <w:r w:rsidR="00286BDC" w:rsidRPr="000A1E00">
        <w:rPr>
          <w:lang w:val="en-US"/>
        </w:rPr>
        <w:tab/>
        <w:t>ST/SG/AC.10/C.3/2017/33/Rev.1 (WNTI)</w:t>
      </w:r>
      <w:r>
        <w:rPr>
          <w:lang w:val="en-US"/>
        </w:rPr>
        <w:t>.</w:t>
      </w:r>
    </w:p>
    <w:p w:rsidR="00286BDC" w:rsidRPr="000A1E00" w:rsidRDefault="00286BDC" w:rsidP="00E84C8B">
      <w:pPr>
        <w:pStyle w:val="SingleTxtG"/>
        <w:rPr>
          <w:lang w:val="fr-FR"/>
        </w:rPr>
      </w:pPr>
      <w:r w:rsidRPr="000A1E00">
        <w:rPr>
          <w:lang w:val="fr-FR"/>
        </w:rPr>
        <w:t>149.</w:t>
      </w:r>
      <w:r w:rsidRPr="000A1E00">
        <w:rPr>
          <w:lang w:val="fr-FR"/>
        </w:rPr>
        <w:tab/>
        <w:t>Le Sous-Comité a adopté la proposition visant à mettre à jour le renvoi au document INFCIRC/225/Rev.4, au paragraphe 1.4.3.2.3 du Règlement type (voir annexe I).</w:t>
      </w:r>
    </w:p>
    <w:p w:rsidR="00286BDC" w:rsidRPr="000A1E00" w:rsidRDefault="00286BDC" w:rsidP="00E84C8B">
      <w:pPr>
        <w:pStyle w:val="H1G"/>
        <w:rPr>
          <w:lang w:val="fr-FR"/>
        </w:rPr>
      </w:pPr>
      <w:r w:rsidRPr="000A1E00">
        <w:rPr>
          <w:lang w:val="fr-FR"/>
        </w:rPr>
        <w:tab/>
        <w:t>B.</w:t>
      </w:r>
      <w:r w:rsidRPr="000A1E00">
        <w:rPr>
          <w:lang w:val="fr-FR"/>
        </w:rPr>
        <w:tab/>
        <w:t>Harmonisation avec le Règlement de transport des matières radioactives de l</w:t>
      </w:r>
      <w:r w:rsidR="000A1E00">
        <w:rPr>
          <w:lang w:val="fr-FR"/>
        </w:rPr>
        <w:t>’</w:t>
      </w:r>
      <w:r w:rsidRPr="000A1E00">
        <w:rPr>
          <w:lang w:val="fr-FR"/>
        </w:rPr>
        <w:t>AIEA</w:t>
      </w:r>
    </w:p>
    <w:p w:rsidR="00286BDC" w:rsidRPr="000A1E00" w:rsidRDefault="00286BDC" w:rsidP="00E84C8B">
      <w:pPr>
        <w:pStyle w:val="SingleTxtG"/>
        <w:tabs>
          <w:tab w:val="left" w:pos="3119"/>
        </w:tabs>
        <w:rPr>
          <w:lang w:val="fr-FR"/>
        </w:rPr>
      </w:pPr>
      <w:r w:rsidRPr="000A1E00">
        <w:rPr>
          <w:i/>
          <w:iCs/>
          <w:lang w:val="fr-FR"/>
        </w:rPr>
        <w:t>Document</w:t>
      </w:r>
      <w:r w:rsidR="00E84C8B">
        <w:rPr>
          <w:i/>
          <w:iCs/>
          <w:lang w:val="fr-FR"/>
        </w:rPr>
        <w:t> </w:t>
      </w:r>
      <w:r w:rsidRPr="00E84C8B">
        <w:rPr>
          <w:iCs/>
          <w:lang w:val="fr-FR"/>
        </w:rPr>
        <w:t>:</w:t>
      </w:r>
      <w:r w:rsidRPr="000A1E00">
        <w:rPr>
          <w:lang w:val="fr-FR"/>
        </w:rPr>
        <w:t xml:space="preserve"> </w:t>
      </w:r>
      <w:r w:rsidRPr="000A1E00">
        <w:rPr>
          <w:lang w:val="fr-FR"/>
        </w:rPr>
        <w:tab/>
        <w:t>ST/SG/AC.10/C.3/2018/54 (AIEA)</w:t>
      </w:r>
    </w:p>
    <w:p w:rsidR="00286BDC" w:rsidRPr="000A1E00" w:rsidRDefault="00286BDC" w:rsidP="00E84C8B">
      <w:pPr>
        <w:pStyle w:val="SingleTxtG"/>
        <w:tabs>
          <w:tab w:val="left" w:pos="3119"/>
        </w:tabs>
        <w:rPr>
          <w:lang w:val="fr-FR"/>
        </w:rPr>
      </w:pPr>
      <w:r w:rsidRPr="00E84C8B">
        <w:rPr>
          <w:i/>
          <w:lang w:val="fr-FR"/>
        </w:rPr>
        <w:t>Document informel</w:t>
      </w:r>
      <w:r w:rsidR="00E84C8B">
        <w:rPr>
          <w:lang w:val="fr-FR"/>
        </w:rPr>
        <w:t> </w:t>
      </w:r>
      <w:r w:rsidRPr="000A1E00">
        <w:rPr>
          <w:lang w:val="fr-FR"/>
        </w:rPr>
        <w:t>:</w:t>
      </w:r>
      <w:r w:rsidRPr="000A1E00">
        <w:rPr>
          <w:lang w:val="fr-FR"/>
        </w:rPr>
        <w:tab/>
        <w:t>INF.8 (AIEA)</w:t>
      </w:r>
      <w:r w:rsidR="00E84C8B">
        <w:rPr>
          <w:lang w:val="fr-FR"/>
        </w:rPr>
        <w:t>.</w:t>
      </w:r>
    </w:p>
    <w:p w:rsidR="00286BDC" w:rsidRPr="000A1E00" w:rsidRDefault="00286BDC" w:rsidP="00E84C8B">
      <w:pPr>
        <w:pStyle w:val="SingleTxtG"/>
        <w:rPr>
          <w:lang w:val="fr-FR"/>
        </w:rPr>
      </w:pPr>
      <w:r w:rsidRPr="000A1E00">
        <w:rPr>
          <w:lang w:val="fr-FR"/>
        </w:rPr>
        <w:t>150.</w:t>
      </w:r>
      <w:r w:rsidRPr="000A1E00">
        <w:rPr>
          <w:lang w:val="fr-FR"/>
        </w:rPr>
        <w:tab/>
        <w:t>Le représentant de l</w:t>
      </w:r>
      <w:r w:rsidR="000A1E00">
        <w:rPr>
          <w:lang w:val="fr-FR"/>
        </w:rPr>
        <w:t>’</w:t>
      </w:r>
      <w:r w:rsidRPr="000A1E00">
        <w:rPr>
          <w:lang w:val="fr-FR"/>
        </w:rPr>
        <w:t>IATA a fait part de sa préoccupation quant aux conséquences, pour les expéditeurs et les transporteurs, de la nouvelle formulation du paragraphe 1.5.2.5. Il a estimé qu</w:t>
      </w:r>
      <w:r w:rsidR="000A1E00">
        <w:rPr>
          <w:lang w:val="fr-FR"/>
        </w:rPr>
        <w:t>’</w:t>
      </w:r>
      <w:r w:rsidRPr="000A1E00">
        <w:rPr>
          <w:lang w:val="fr-FR"/>
        </w:rPr>
        <w:t>il n</w:t>
      </w:r>
      <w:r w:rsidR="000A1E00">
        <w:rPr>
          <w:lang w:val="fr-FR"/>
        </w:rPr>
        <w:t>’</w:t>
      </w:r>
      <w:r w:rsidRPr="000A1E00">
        <w:rPr>
          <w:lang w:val="fr-FR"/>
        </w:rPr>
        <w:t>était pas réaliste de leur demander de mettre en place des dispositifs de préparation et d</w:t>
      </w:r>
      <w:r w:rsidR="000A1E00">
        <w:rPr>
          <w:lang w:val="fr-FR"/>
        </w:rPr>
        <w:t>’</w:t>
      </w:r>
      <w:r w:rsidRPr="000A1E00">
        <w:rPr>
          <w:lang w:val="fr-FR"/>
        </w:rPr>
        <w:t>intervention pour chaque expédition, car ces dispositifs relèvent de la responsabilité des autorités nationales compétentes et diffèrent d</w:t>
      </w:r>
      <w:r w:rsidR="000A1E00">
        <w:rPr>
          <w:lang w:val="fr-FR"/>
        </w:rPr>
        <w:t>’</w:t>
      </w:r>
      <w:r w:rsidRPr="000A1E00">
        <w:rPr>
          <w:lang w:val="fr-FR"/>
        </w:rPr>
        <w:t>un pays à l</w:t>
      </w:r>
      <w:r w:rsidR="000A1E00">
        <w:rPr>
          <w:lang w:val="fr-FR"/>
        </w:rPr>
        <w:t>’</w:t>
      </w:r>
      <w:r w:rsidRPr="000A1E00">
        <w:rPr>
          <w:lang w:val="fr-FR"/>
        </w:rPr>
        <w:t>autre. Il a estimé que la nouvelle disposition, si elle était mise à exécution, aurait pour effet d</w:t>
      </w:r>
      <w:r w:rsidR="000A1E00">
        <w:rPr>
          <w:lang w:val="fr-FR"/>
        </w:rPr>
        <w:t>’</w:t>
      </w:r>
      <w:r w:rsidRPr="000A1E00">
        <w:rPr>
          <w:lang w:val="fr-FR"/>
        </w:rPr>
        <w:t>augmenter le nombre de refus d</w:t>
      </w:r>
      <w:r w:rsidR="000A1E00">
        <w:rPr>
          <w:lang w:val="fr-FR"/>
        </w:rPr>
        <w:t>’</w:t>
      </w:r>
      <w:r w:rsidRPr="000A1E00">
        <w:rPr>
          <w:lang w:val="fr-FR"/>
        </w:rPr>
        <w:t>expédition pour le transport de matières radioactives. Le représentant de l</w:t>
      </w:r>
      <w:r w:rsidR="000A1E00">
        <w:rPr>
          <w:lang w:val="fr-FR"/>
        </w:rPr>
        <w:t>’</w:t>
      </w:r>
      <w:r w:rsidRPr="000A1E00">
        <w:rPr>
          <w:lang w:val="fr-FR"/>
        </w:rPr>
        <w:t>AIEA a expliqué que le paragraphe 1.5.2.5 visait à garantir la mise en place, par les transporteurs et les expéditeurs, de dispositifs de préparation et d</w:t>
      </w:r>
      <w:r w:rsidR="000A1E00">
        <w:rPr>
          <w:lang w:val="fr-FR"/>
        </w:rPr>
        <w:t>’</w:t>
      </w:r>
      <w:r w:rsidRPr="000A1E00">
        <w:rPr>
          <w:lang w:val="fr-FR"/>
        </w:rPr>
        <w:t>intervention en accord avec ceux qui existaient au niveau national ou international, et il a réaffirmé qu</w:t>
      </w:r>
      <w:r w:rsidR="000A1E00">
        <w:rPr>
          <w:lang w:val="fr-FR"/>
        </w:rPr>
        <w:t>’</w:t>
      </w:r>
      <w:r w:rsidRPr="000A1E00">
        <w:rPr>
          <w:lang w:val="fr-FR"/>
        </w:rPr>
        <w:t>il ne leur était pas demandé d</w:t>
      </w:r>
      <w:r w:rsidR="000A1E00">
        <w:rPr>
          <w:lang w:val="fr-FR"/>
        </w:rPr>
        <w:t>’</w:t>
      </w:r>
      <w:r w:rsidRPr="000A1E00">
        <w:rPr>
          <w:lang w:val="fr-FR"/>
        </w:rPr>
        <w:t>élaborer des dispositions destinées à compléter ou à remplacer celles en vigueur au ni</w:t>
      </w:r>
      <w:r w:rsidR="00E84C8B">
        <w:rPr>
          <w:lang w:val="fr-FR"/>
        </w:rPr>
        <w:t>veau national ou international.</w:t>
      </w:r>
    </w:p>
    <w:p w:rsidR="00286BDC" w:rsidRPr="000A1E00" w:rsidRDefault="00286BDC" w:rsidP="00E84C8B">
      <w:pPr>
        <w:pStyle w:val="SingleTxtG"/>
        <w:rPr>
          <w:lang w:val="fr-FR"/>
        </w:rPr>
      </w:pPr>
      <w:r w:rsidRPr="000A1E00">
        <w:rPr>
          <w:lang w:val="fr-FR"/>
        </w:rPr>
        <w:t>151.</w:t>
      </w:r>
      <w:r w:rsidRPr="000A1E00">
        <w:rPr>
          <w:lang w:val="fr-FR"/>
        </w:rPr>
        <w:tab/>
        <w:t>Ayant examiné les préoccupations exprimées par le représentant de l</w:t>
      </w:r>
      <w:r w:rsidR="000A1E00">
        <w:rPr>
          <w:lang w:val="fr-FR"/>
        </w:rPr>
        <w:t>’</w:t>
      </w:r>
      <w:r w:rsidRPr="000A1E00">
        <w:rPr>
          <w:lang w:val="fr-FR"/>
        </w:rPr>
        <w:t>IATA, le Sous-Comité a décidé de reporter sa décision à propos de l</w:t>
      </w:r>
      <w:r w:rsidR="000A1E00">
        <w:rPr>
          <w:lang w:val="fr-FR"/>
        </w:rPr>
        <w:t>’</w:t>
      </w:r>
      <w:r w:rsidRPr="000A1E00">
        <w:rPr>
          <w:lang w:val="fr-FR"/>
        </w:rPr>
        <w:t>adoption du paragraphe 1.5.2.5 et des références correspondantes dans le 1.5.2.6 à la prochaine session, afin de laisser aux experts le temps d</w:t>
      </w:r>
      <w:r w:rsidR="000A1E00">
        <w:rPr>
          <w:lang w:val="fr-FR"/>
        </w:rPr>
        <w:t>’</w:t>
      </w:r>
      <w:r w:rsidRPr="000A1E00">
        <w:rPr>
          <w:lang w:val="fr-FR"/>
        </w:rPr>
        <w:t>évaluer les incidences de la mise en œuvre. Le représentant de l</w:t>
      </w:r>
      <w:r w:rsidR="000A1E00">
        <w:rPr>
          <w:lang w:val="fr-FR"/>
        </w:rPr>
        <w:t>’</w:t>
      </w:r>
      <w:r w:rsidRPr="000A1E00">
        <w:rPr>
          <w:lang w:val="fr-FR"/>
        </w:rPr>
        <w:t>AIEA a dit qu</w:t>
      </w:r>
      <w:r w:rsidR="000A1E00">
        <w:rPr>
          <w:lang w:val="fr-FR"/>
        </w:rPr>
        <w:t>’</w:t>
      </w:r>
      <w:r w:rsidRPr="000A1E00">
        <w:rPr>
          <w:lang w:val="fr-FR"/>
        </w:rPr>
        <w:t>il soumettrait pour la prochaine session un document officiel donnant un complément d</w:t>
      </w:r>
      <w:r w:rsidR="000A1E00">
        <w:rPr>
          <w:lang w:val="fr-FR"/>
        </w:rPr>
        <w:t>’</w:t>
      </w:r>
      <w:r w:rsidRPr="000A1E00">
        <w:rPr>
          <w:lang w:val="fr-FR"/>
        </w:rPr>
        <w:t>information sur cette proposition afin d</w:t>
      </w:r>
      <w:r w:rsidR="000A1E00">
        <w:rPr>
          <w:lang w:val="fr-FR"/>
        </w:rPr>
        <w:t>’</w:t>
      </w:r>
      <w:r w:rsidRPr="000A1E00">
        <w:rPr>
          <w:lang w:val="fr-FR"/>
        </w:rPr>
        <w:t>aider le Sous-Comité à prendre une décision en connaissance de cause.</w:t>
      </w:r>
    </w:p>
    <w:p w:rsidR="00286BDC" w:rsidRPr="000A1E00" w:rsidRDefault="00286BDC" w:rsidP="00E84C8B">
      <w:pPr>
        <w:pStyle w:val="SingleTxtG"/>
        <w:rPr>
          <w:lang w:val="fr-FR"/>
        </w:rPr>
      </w:pPr>
      <w:r w:rsidRPr="000A1E00">
        <w:rPr>
          <w:lang w:val="fr-FR"/>
        </w:rPr>
        <w:t>152.</w:t>
      </w:r>
      <w:r w:rsidRPr="000A1E00">
        <w:rPr>
          <w:lang w:val="fr-FR"/>
        </w:rPr>
        <w:tab/>
        <w:t>Le Sous-Comité, estimant qu</w:t>
      </w:r>
      <w:r w:rsidR="000A1E00">
        <w:rPr>
          <w:lang w:val="fr-FR"/>
        </w:rPr>
        <w:t>’</w:t>
      </w:r>
      <w:r w:rsidRPr="000A1E00">
        <w:rPr>
          <w:lang w:val="fr-FR"/>
        </w:rPr>
        <w:t>il était inutile de modifier les définitions actuelles des GRV et des conteneurs, n</w:t>
      </w:r>
      <w:r w:rsidR="000A1E00">
        <w:rPr>
          <w:lang w:val="fr-FR"/>
        </w:rPr>
        <w:t>’</w:t>
      </w:r>
      <w:r w:rsidRPr="000A1E00">
        <w:rPr>
          <w:lang w:val="fr-FR"/>
        </w:rPr>
        <w:t>a pas adopté les modifications d</w:t>
      </w:r>
      <w:r w:rsidR="000A1E00">
        <w:rPr>
          <w:lang w:val="fr-FR"/>
        </w:rPr>
        <w:t>’</w:t>
      </w:r>
      <w:r w:rsidRPr="000A1E00">
        <w:rPr>
          <w:lang w:val="fr-FR"/>
        </w:rPr>
        <w:t>ordre rédactionnel proposées.</w:t>
      </w:r>
    </w:p>
    <w:p w:rsidR="00286BDC" w:rsidRPr="000A1E00" w:rsidRDefault="00286BDC" w:rsidP="00E84C8B">
      <w:pPr>
        <w:pStyle w:val="SingleTxtG"/>
        <w:rPr>
          <w:lang w:val="fr-FR"/>
        </w:rPr>
      </w:pPr>
      <w:r w:rsidRPr="000A1E00">
        <w:rPr>
          <w:lang w:val="fr-FR"/>
        </w:rPr>
        <w:t>153.</w:t>
      </w:r>
      <w:r w:rsidRPr="000A1E00">
        <w:rPr>
          <w:lang w:val="fr-FR"/>
        </w:rPr>
        <w:tab/>
        <w:t>Contrairement au cas des amendements au 1.5.2.5 et au 1.5.2.6 et des définitions des GRV et des conteneurs, le Sous-Comité a adopté les amendements au ST/SG/AC.10/</w:t>
      </w:r>
      <w:r w:rsidR="00CF30D6">
        <w:rPr>
          <w:lang w:val="fr-FR"/>
        </w:rPr>
        <w:t xml:space="preserve"> </w:t>
      </w:r>
      <w:r w:rsidRPr="000A1E00">
        <w:rPr>
          <w:lang w:val="fr-FR"/>
        </w:rPr>
        <w:t>C.3/2018/54, qui vise à mettre en concordance le Règlement type avec l</w:t>
      </w:r>
      <w:r w:rsidR="000A1E00">
        <w:rPr>
          <w:lang w:val="fr-FR"/>
        </w:rPr>
        <w:t>’</w:t>
      </w:r>
      <w:r w:rsidRPr="000A1E00">
        <w:rPr>
          <w:lang w:val="fr-FR"/>
        </w:rPr>
        <w:t>édition 2018 du Règlement de transport des matières radioactives de l</w:t>
      </w:r>
      <w:r w:rsidR="000A1E00">
        <w:rPr>
          <w:lang w:val="fr-FR"/>
        </w:rPr>
        <w:t>’</w:t>
      </w:r>
      <w:r w:rsidRPr="000A1E00">
        <w:rPr>
          <w:lang w:val="fr-FR"/>
        </w:rPr>
        <w:t>AIEA (SSR-6, Rev.1), moyennant une correction au 2.7.2.3.3.8 (voir annexe I).</w:t>
      </w:r>
    </w:p>
    <w:p w:rsidR="00286BDC" w:rsidRPr="000A1E00" w:rsidRDefault="00286BDC" w:rsidP="00E84C8B">
      <w:pPr>
        <w:pStyle w:val="HChG"/>
        <w:rPr>
          <w:lang w:val="fr-FR"/>
        </w:rPr>
      </w:pPr>
      <w:r w:rsidRPr="000A1E00">
        <w:rPr>
          <w:lang w:val="fr-FR"/>
        </w:rPr>
        <w:tab/>
        <w:t>XI.</w:t>
      </w:r>
      <w:r w:rsidRPr="000A1E00">
        <w:rPr>
          <w:lang w:val="fr-FR"/>
        </w:rPr>
        <w:tab/>
        <w:t>Principes directeurs du Règlement type (point 9 de l</w:t>
      </w:r>
      <w:r w:rsidR="000A1E00">
        <w:rPr>
          <w:lang w:val="fr-FR"/>
        </w:rPr>
        <w:t>’</w:t>
      </w:r>
      <w:r w:rsidRPr="000A1E00">
        <w:rPr>
          <w:lang w:val="fr-FR"/>
        </w:rPr>
        <w:t xml:space="preserve">ordre </w:t>
      </w:r>
      <w:r w:rsidR="005031BD">
        <w:rPr>
          <w:lang w:val="fr-FR"/>
        </w:rPr>
        <w:br/>
      </w:r>
      <w:r w:rsidRPr="000A1E00">
        <w:rPr>
          <w:lang w:val="fr-FR"/>
        </w:rPr>
        <w:t>du jour)</w:t>
      </w:r>
    </w:p>
    <w:p w:rsidR="00286BDC" w:rsidRPr="000A1E00" w:rsidRDefault="00286BDC" w:rsidP="005031BD">
      <w:pPr>
        <w:pStyle w:val="SingleTxtG"/>
        <w:rPr>
          <w:lang w:val="fr-FR"/>
        </w:rPr>
      </w:pPr>
      <w:r w:rsidRPr="000A1E00">
        <w:rPr>
          <w:lang w:val="fr-FR"/>
        </w:rPr>
        <w:t>154.</w:t>
      </w:r>
      <w:r w:rsidRPr="000A1E00">
        <w:rPr>
          <w:lang w:val="fr-FR"/>
        </w:rPr>
        <w:tab/>
        <w:t>Aucun document n</w:t>
      </w:r>
      <w:r w:rsidR="000A1E00">
        <w:rPr>
          <w:lang w:val="fr-FR"/>
        </w:rPr>
        <w:t>’</w:t>
      </w:r>
      <w:r w:rsidRPr="000A1E00">
        <w:rPr>
          <w:lang w:val="fr-FR"/>
        </w:rPr>
        <w:t>ayant été soumis au titre de ce point de l</w:t>
      </w:r>
      <w:r w:rsidR="000A1E00">
        <w:rPr>
          <w:lang w:val="fr-FR"/>
        </w:rPr>
        <w:t>’</w:t>
      </w:r>
      <w:r w:rsidRPr="000A1E00">
        <w:rPr>
          <w:lang w:val="fr-FR"/>
        </w:rPr>
        <w:t>ordre du jour, cette question n</w:t>
      </w:r>
      <w:r w:rsidR="000A1E00">
        <w:rPr>
          <w:lang w:val="fr-FR"/>
        </w:rPr>
        <w:t>’</w:t>
      </w:r>
      <w:r w:rsidRPr="000A1E00">
        <w:rPr>
          <w:lang w:val="fr-FR"/>
        </w:rPr>
        <w:t>a pas été abordée.</w:t>
      </w:r>
    </w:p>
    <w:p w:rsidR="00286BDC" w:rsidRPr="000A1E00" w:rsidRDefault="00286BDC" w:rsidP="005031BD">
      <w:pPr>
        <w:pStyle w:val="HChG"/>
        <w:rPr>
          <w:lang w:val="fr-FR"/>
        </w:rPr>
      </w:pPr>
      <w:r w:rsidRPr="000A1E00">
        <w:rPr>
          <w:lang w:val="fr-FR"/>
        </w:rPr>
        <w:tab/>
        <w:t>XII.</w:t>
      </w:r>
      <w:r w:rsidRPr="000A1E00">
        <w:rPr>
          <w:lang w:val="fr-FR"/>
        </w:rPr>
        <w:tab/>
        <w:t>Questions relativ</w:t>
      </w:r>
      <w:r w:rsidR="005031BD">
        <w:rPr>
          <w:lang w:val="fr-FR"/>
        </w:rPr>
        <w:t xml:space="preserve">es au Système général harmonisé </w:t>
      </w:r>
      <w:r w:rsidRPr="000A1E00">
        <w:rPr>
          <w:lang w:val="fr-FR"/>
        </w:rPr>
        <w:t xml:space="preserve">de </w:t>
      </w:r>
      <w:r w:rsidR="005031BD">
        <w:rPr>
          <w:lang w:val="fr-FR"/>
        </w:rPr>
        <w:br/>
      </w:r>
      <w:r w:rsidRPr="000A1E00">
        <w:rPr>
          <w:lang w:val="fr-FR"/>
        </w:rPr>
        <w:t>classification et d</w:t>
      </w:r>
      <w:r w:rsidR="000A1E00">
        <w:rPr>
          <w:lang w:val="fr-FR"/>
        </w:rPr>
        <w:t>’</w:t>
      </w:r>
      <w:r w:rsidRPr="000A1E00">
        <w:rPr>
          <w:lang w:val="fr-FR"/>
        </w:rPr>
        <w:t xml:space="preserve">étiquetage des produits chimiques </w:t>
      </w:r>
      <w:r w:rsidR="005031BD">
        <w:rPr>
          <w:lang w:val="fr-FR"/>
        </w:rPr>
        <w:br/>
      </w:r>
      <w:r w:rsidRPr="000A1E00">
        <w:rPr>
          <w:lang w:val="fr-FR"/>
        </w:rPr>
        <w:t>(SGH) (point 10 de l</w:t>
      </w:r>
      <w:r w:rsidR="000A1E00">
        <w:rPr>
          <w:lang w:val="fr-FR"/>
        </w:rPr>
        <w:t>’</w:t>
      </w:r>
      <w:r w:rsidRPr="000A1E00">
        <w:rPr>
          <w:lang w:val="fr-FR"/>
        </w:rPr>
        <w:t>ordre du jour)</w:t>
      </w:r>
    </w:p>
    <w:p w:rsidR="00286BDC" w:rsidRPr="000A1E00" w:rsidRDefault="00286BDC" w:rsidP="005031BD">
      <w:pPr>
        <w:pStyle w:val="H1G"/>
        <w:rPr>
          <w:lang w:val="fr-FR"/>
        </w:rPr>
      </w:pPr>
      <w:r w:rsidRPr="000A1E00">
        <w:rPr>
          <w:lang w:val="fr-FR"/>
        </w:rPr>
        <w:tab/>
        <w:t>A.</w:t>
      </w:r>
      <w:r w:rsidRPr="000A1E00">
        <w:rPr>
          <w:lang w:val="fr-FR"/>
        </w:rPr>
        <w:tab/>
        <w:t>Critères relatifs à l</w:t>
      </w:r>
      <w:r w:rsidR="000A1E00">
        <w:rPr>
          <w:lang w:val="fr-FR"/>
        </w:rPr>
        <w:t>’</w:t>
      </w:r>
      <w:r w:rsidRPr="000A1E00">
        <w:rPr>
          <w:lang w:val="fr-FR"/>
        </w:rPr>
        <w:t>hydroréactivité</w:t>
      </w:r>
    </w:p>
    <w:p w:rsidR="00286BDC" w:rsidRPr="000A1E00" w:rsidRDefault="00286BDC" w:rsidP="005031BD">
      <w:pPr>
        <w:pStyle w:val="SingleTxtG"/>
        <w:rPr>
          <w:lang w:val="fr-FR"/>
        </w:rPr>
      </w:pPr>
      <w:r w:rsidRPr="000A1E00">
        <w:rPr>
          <w:lang w:val="fr-FR"/>
        </w:rPr>
        <w:t>155.</w:t>
      </w:r>
      <w:r w:rsidRPr="000A1E00">
        <w:rPr>
          <w:lang w:val="fr-FR"/>
        </w:rPr>
        <w:tab/>
        <w:t>Aucun document n</w:t>
      </w:r>
      <w:r w:rsidR="000A1E00">
        <w:rPr>
          <w:lang w:val="fr-FR"/>
        </w:rPr>
        <w:t>’</w:t>
      </w:r>
      <w:r w:rsidRPr="000A1E00">
        <w:rPr>
          <w:lang w:val="fr-FR"/>
        </w:rPr>
        <w:t>ayant été soumis au titre de ce point de l</w:t>
      </w:r>
      <w:r w:rsidR="000A1E00">
        <w:rPr>
          <w:lang w:val="fr-FR"/>
        </w:rPr>
        <w:t>’</w:t>
      </w:r>
      <w:r w:rsidRPr="000A1E00">
        <w:rPr>
          <w:lang w:val="fr-FR"/>
        </w:rPr>
        <w:t>ordre du jour, cette question n</w:t>
      </w:r>
      <w:r w:rsidR="000A1E00">
        <w:rPr>
          <w:lang w:val="fr-FR"/>
        </w:rPr>
        <w:t>’</w:t>
      </w:r>
      <w:r w:rsidRPr="000A1E00">
        <w:rPr>
          <w:lang w:val="fr-FR"/>
        </w:rPr>
        <w:t>a pas été abordée.</w:t>
      </w:r>
    </w:p>
    <w:p w:rsidR="00286BDC" w:rsidRPr="000A1E00" w:rsidRDefault="00286BDC" w:rsidP="005031BD">
      <w:pPr>
        <w:pStyle w:val="H1G"/>
        <w:rPr>
          <w:lang w:val="fr-FR"/>
        </w:rPr>
      </w:pPr>
      <w:r w:rsidRPr="000A1E00">
        <w:rPr>
          <w:lang w:val="fr-FR"/>
        </w:rPr>
        <w:tab/>
        <w:t>B.</w:t>
      </w:r>
      <w:r w:rsidRPr="000A1E00">
        <w:rPr>
          <w:lang w:val="fr-FR"/>
        </w:rPr>
        <w:tab/>
        <w:t>Épreuves relatives aux matières comburantes</w:t>
      </w:r>
    </w:p>
    <w:p w:rsidR="00286BDC" w:rsidRPr="000A1E00" w:rsidRDefault="00286BDC" w:rsidP="005031BD">
      <w:pPr>
        <w:pStyle w:val="SingleTxtG"/>
        <w:tabs>
          <w:tab w:val="left" w:pos="3119"/>
        </w:tabs>
        <w:rPr>
          <w:lang w:val="fr-FR"/>
        </w:rPr>
      </w:pPr>
      <w:r w:rsidRPr="000A1E00">
        <w:rPr>
          <w:i/>
          <w:iCs/>
          <w:lang w:val="fr-FR"/>
        </w:rPr>
        <w:t>Document</w:t>
      </w:r>
      <w:r w:rsidR="005031BD">
        <w:rPr>
          <w:i/>
          <w:iCs/>
          <w:lang w:val="fr-FR"/>
        </w:rPr>
        <w:t> </w:t>
      </w:r>
      <w:r w:rsidRPr="005031BD">
        <w:rPr>
          <w:iCs/>
          <w:lang w:val="fr-FR"/>
        </w:rPr>
        <w:t>:</w:t>
      </w:r>
      <w:r w:rsidRPr="000A1E00">
        <w:rPr>
          <w:lang w:val="fr-FR"/>
        </w:rPr>
        <w:t xml:space="preserve"> </w:t>
      </w:r>
      <w:r w:rsidRPr="000A1E00">
        <w:rPr>
          <w:lang w:val="fr-FR"/>
        </w:rPr>
        <w:tab/>
        <w:t>ST/SG/AC.10/C.3/2018/35 (France)</w:t>
      </w:r>
    </w:p>
    <w:p w:rsidR="00286BDC" w:rsidRPr="000A1E00" w:rsidRDefault="005031BD" w:rsidP="005031BD">
      <w:pPr>
        <w:pStyle w:val="SingleTxtG"/>
        <w:tabs>
          <w:tab w:val="left" w:pos="3119"/>
        </w:tabs>
        <w:rPr>
          <w:lang w:val="fr-FR"/>
        </w:rPr>
      </w:pPr>
      <w:r w:rsidRPr="005031BD">
        <w:rPr>
          <w:i/>
          <w:lang w:val="fr-FR"/>
        </w:rPr>
        <w:t>Document informel</w:t>
      </w:r>
      <w:r>
        <w:rPr>
          <w:lang w:val="fr-FR"/>
        </w:rPr>
        <w:t> </w:t>
      </w:r>
      <w:r w:rsidR="00286BDC" w:rsidRPr="000A1E00">
        <w:rPr>
          <w:lang w:val="fr-FR"/>
        </w:rPr>
        <w:t>:</w:t>
      </w:r>
      <w:r w:rsidR="00286BDC" w:rsidRPr="000A1E00">
        <w:rPr>
          <w:lang w:val="fr-FR"/>
        </w:rPr>
        <w:tab/>
        <w:t>INF.56 (France)</w:t>
      </w:r>
      <w:r>
        <w:rPr>
          <w:lang w:val="fr-FR"/>
        </w:rPr>
        <w:t>.</w:t>
      </w:r>
    </w:p>
    <w:p w:rsidR="00286BDC" w:rsidRPr="000A1E00" w:rsidRDefault="00286BDC" w:rsidP="005031BD">
      <w:pPr>
        <w:pStyle w:val="SingleTxtG"/>
        <w:rPr>
          <w:lang w:val="fr-FR"/>
        </w:rPr>
      </w:pPr>
      <w:r w:rsidRPr="000A1E00">
        <w:rPr>
          <w:lang w:val="fr-FR"/>
        </w:rPr>
        <w:t>156.</w:t>
      </w:r>
      <w:r w:rsidRPr="000A1E00">
        <w:rPr>
          <w:lang w:val="fr-FR"/>
        </w:rPr>
        <w:tab/>
        <w:t xml:space="preserve">Le Sous-Comité a appuyé la poursuite des travaux relatifs au perfectionnement des propositions formulées dans le document ST/SG/AC.10/C.3/2018/35. </w:t>
      </w:r>
    </w:p>
    <w:p w:rsidR="00286BDC" w:rsidRPr="000A1E00" w:rsidRDefault="00286BDC" w:rsidP="005031BD">
      <w:pPr>
        <w:pStyle w:val="SingleTxtG"/>
        <w:rPr>
          <w:lang w:val="fr-FR"/>
        </w:rPr>
      </w:pPr>
      <w:r w:rsidRPr="000A1E00">
        <w:rPr>
          <w:lang w:val="fr-FR"/>
        </w:rPr>
        <w:t>157.</w:t>
      </w:r>
      <w:r w:rsidRPr="000A1E00">
        <w:rPr>
          <w:lang w:val="fr-FR"/>
        </w:rPr>
        <w:tab/>
        <w:t>Certains experts ont dit souhaiter recevoir davantage d</w:t>
      </w:r>
      <w:r w:rsidR="000A1E00">
        <w:rPr>
          <w:lang w:val="fr-FR"/>
        </w:rPr>
        <w:t>’</w:t>
      </w:r>
      <w:r w:rsidRPr="000A1E00">
        <w:rPr>
          <w:lang w:val="fr-FR"/>
        </w:rPr>
        <w:t>informations sur les résultats des essais interlaboratoires. D</w:t>
      </w:r>
      <w:r w:rsidR="000A1E00">
        <w:rPr>
          <w:lang w:val="fr-FR"/>
        </w:rPr>
        <w:t>’</w:t>
      </w:r>
      <w:r w:rsidRPr="000A1E00">
        <w:rPr>
          <w:lang w:val="fr-FR"/>
        </w:rPr>
        <w:t>autres ont estimé que les dispositions relatives aux épreuves pourraient être complétées de telle façon qu</w:t>
      </w:r>
      <w:r w:rsidR="000A1E00">
        <w:rPr>
          <w:lang w:val="fr-FR"/>
        </w:rPr>
        <w:t>’</w:t>
      </w:r>
      <w:r w:rsidRPr="000A1E00">
        <w:rPr>
          <w:lang w:val="fr-FR"/>
        </w:rPr>
        <w:t>y figurent, par exemple, des détails sur les résultats faussement positifs ou une meilleure description des matériaux utilisés pour les épreuves (par exemple pour écarter ceux qui pourraient influer sur les résultats de l</w:t>
      </w:r>
      <w:r w:rsidR="000A1E00">
        <w:rPr>
          <w:lang w:val="fr-FR"/>
        </w:rPr>
        <w:t>’</w:t>
      </w:r>
      <w:r w:rsidRPr="000A1E00">
        <w:rPr>
          <w:lang w:val="fr-FR"/>
        </w:rPr>
        <w:t xml:space="preserve">épreuve, comme dans le cas des agitateurs métalliques). Quelques autres experts ont mis en doute le fait que la notion de </w:t>
      </w:r>
      <w:r w:rsidR="002016B9">
        <w:rPr>
          <w:lang w:val="fr-FR"/>
        </w:rPr>
        <w:t>« </w:t>
      </w:r>
      <w:r w:rsidRPr="000A1E00">
        <w:rPr>
          <w:lang w:val="fr-FR"/>
        </w:rPr>
        <w:t>temps</w:t>
      </w:r>
      <w:r w:rsidR="002016B9">
        <w:rPr>
          <w:lang w:val="fr-FR"/>
        </w:rPr>
        <w:t> »</w:t>
      </w:r>
      <w:r w:rsidRPr="000A1E00">
        <w:rPr>
          <w:lang w:val="fr-FR"/>
        </w:rPr>
        <w:t xml:space="preserve"> entre en ligne de compte dans la définition de la «</w:t>
      </w:r>
      <w:r w:rsidR="005031BD">
        <w:rPr>
          <w:lang w:val="fr-FR"/>
        </w:rPr>
        <w:t> </w:t>
      </w:r>
      <w:r w:rsidRPr="000A1E00">
        <w:rPr>
          <w:lang w:val="fr-FR"/>
        </w:rPr>
        <w:t>perte de masse totale</w:t>
      </w:r>
      <w:r w:rsidR="005031BD">
        <w:rPr>
          <w:lang w:val="fr-FR"/>
        </w:rPr>
        <w:t> </w:t>
      </w:r>
      <w:r w:rsidRPr="000A1E00">
        <w:rPr>
          <w:lang w:val="fr-FR"/>
        </w:rPr>
        <w:t>», le fait qu</w:t>
      </w:r>
      <w:r w:rsidR="000A1E00">
        <w:rPr>
          <w:lang w:val="fr-FR"/>
        </w:rPr>
        <w:t>’</w:t>
      </w:r>
      <w:r w:rsidRPr="000A1E00">
        <w:rPr>
          <w:lang w:val="fr-FR"/>
        </w:rPr>
        <w:t>il soit fait référence à un diamètre «</w:t>
      </w:r>
      <w:r w:rsidR="005031BD">
        <w:rPr>
          <w:lang w:val="fr-FR"/>
        </w:rPr>
        <w:t> </w:t>
      </w:r>
      <w:r w:rsidRPr="000A1E00">
        <w:rPr>
          <w:lang w:val="fr-FR"/>
        </w:rPr>
        <w:t>inférieur à 1 mm</w:t>
      </w:r>
      <w:r w:rsidR="005031BD">
        <w:rPr>
          <w:lang w:val="fr-FR"/>
        </w:rPr>
        <w:t> </w:t>
      </w:r>
      <w:r w:rsidRPr="000A1E00">
        <w:rPr>
          <w:lang w:val="fr-FR"/>
        </w:rPr>
        <w:t>» et non de 1,00</w:t>
      </w:r>
      <w:r w:rsidR="005031BD">
        <w:rPr>
          <w:lang w:val="fr-FR"/>
        </w:rPr>
        <w:t> </w:t>
      </w:r>
      <w:r w:rsidRPr="000A1E00">
        <w:rPr>
          <w:lang w:val="fr-FR"/>
        </w:rPr>
        <w:t>mm (le type le plus courant), ou la priorité donnée au «</w:t>
      </w:r>
      <w:r w:rsidR="005031BD">
        <w:rPr>
          <w:lang w:val="fr-FR"/>
        </w:rPr>
        <w:t> </w:t>
      </w:r>
      <w:r w:rsidRPr="000A1E00">
        <w:rPr>
          <w:lang w:val="fr-FR"/>
        </w:rPr>
        <w:t>jugement fondé sur l</w:t>
      </w:r>
      <w:r w:rsidR="000A1E00">
        <w:rPr>
          <w:lang w:val="fr-FR"/>
        </w:rPr>
        <w:t>’</w:t>
      </w:r>
      <w:r w:rsidRPr="000A1E00">
        <w:rPr>
          <w:lang w:val="fr-FR"/>
        </w:rPr>
        <w:t>expérience</w:t>
      </w:r>
      <w:r w:rsidR="005031BD">
        <w:rPr>
          <w:lang w:val="fr-FR"/>
        </w:rPr>
        <w:t> </w:t>
      </w:r>
      <w:r w:rsidRPr="000A1E00">
        <w:rPr>
          <w:lang w:val="fr-FR"/>
        </w:rPr>
        <w:t>» ou au «</w:t>
      </w:r>
      <w:r w:rsidR="005031BD">
        <w:rPr>
          <w:lang w:val="fr-FR"/>
        </w:rPr>
        <w:t> </w:t>
      </w:r>
      <w:r w:rsidRPr="000A1E00">
        <w:rPr>
          <w:lang w:val="fr-FR"/>
        </w:rPr>
        <w:t>jugement des experts</w:t>
      </w:r>
      <w:r w:rsidR="005031BD">
        <w:rPr>
          <w:lang w:val="fr-FR"/>
        </w:rPr>
        <w:t> </w:t>
      </w:r>
      <w:r w:rsidRPr="000A1E00">
        <w:rPr>
          <w:lang w:val="fr-FR"/>
        </w:rPr>
        <w:t>» sur les résultats de l</w:t>
      </w:r>
      <w:r w:rsidR="000A1E00">
        <w:rPr>
          <w:lang w:val="fr-FR"/>
        </w:rPr>
        <w:t>’</w:t>
      </w:r>
      <w:r w:rsidRPr="000A1E00">
        <w:rPr>
          <w:lang w:val="fr-FR"/>
        </w:rPr>
        <w:t>épreuve, lorsque les résultats de l</w:t>
      </w:r>
      <w:r w:rsidR="000A1E00">
        <w:rPr>
          <w:lang w:val="fr-FR"/>
        </w:rPr>
        <w:t>’</w:t>
      </w:r>
      <w:r w:rsidRPr="000A1E00">
        <w:rPr>
          <w:lang w:val="fr-FR"/>
        </w:rPr>
        <w:t>épreuve montraient que le mélange éprouvé ne satisfaisait pas aux critères.</w:t>
      </w:r>
    </w:p>
    <w:p w:rsidR="00286BDC" w:rsidRPr="000A1E00" w:rsidRDefault="00286BDC" w:rsidP="005031BD">
      <w:pPr>
        <w:pStyle w:val="SingleTxtG"/>
        <w:rPr>
          <w:lang w:val="fr-FR"/>
        </w:rPr>
      </w:pPr>
      <w:r w:rsidRPr="000A1E00">
        <w:rPr>
          <w:lang w:val="fr-FR"/>
        </w:rPr>
        <w:t>158.</w:t>
      </w:r>
      <w:r w:rsidRPr="000A1E00">
        <w:rPr>
          <w:lang w:val="fr-FR"/>
        </w:rPr>
        <w:tab/>
        <w:t>L</w:t>
      </w:r>
      <w:r w:rsidR="000A1E00">
        <w:rPr>
          <w:lang w:val="fr-FR"/>
        </w:rPr>
        <w:t>’</w:t>
      </w:r>
      <w:r w:rsidRPr="000A1E00">
        <w:rPr>
          <w:lang w:val="fr-FR"/>
        </w:rPr>
        <w:t>expert de la France a expliqué que les propositions contenues dans le document ST/SG/AC.10/C.3/2018/35 avaient trait à des problèmes recensés au cours des essais interlaboratoires. Après avoir pris connaissance des avis exprimés pendant les débats, il a invité les experts à interroger les laboratoires nationaux à ce sujet et à lui faire part des résultats de leur enquête. Le Sous-Comité a noté que l</w:t>
      </w:r>
      <w:r w:rsidR="000A1E00">
        <w:rPr>
          <w:lang w:val="fr-FR"/>
        </w:rPr>
        <w:t>’</w:t>
      </w:r>
      <w:r w:rsidRPr="000A1E00">
        <w:rPr>
          <w:lang w:val="fr-FR"/>
        </w:rPr>
        <w:t>expert avait l</w:t>
      </w:r>
      <w:r w:rsidR="000A1E00">
        <w:rPr>
          <w:lang w:val="fr-FR"/>
        </w:rPr>
        <w:t>’</w:t>
      </w:r>
      <w:r w:rsidRPr="000A1E00">
        <w:rPr>
          <w:lang w:val="fr-FR"/>
        </w:rPr>
        <w:t>intention de revoir les propositions à la lumière des observations formulées et de présenter un documen</w:t>
      </w:r>
      <w:r w:rsidR="005031BD">
        <w:rPr>
          <w:lang w:val="fr-FR"/>
        </w:rPr>
        <w:t>t révisé à la session suivante.</w:t>
      </w:r>
    </w:p>
    <w:p w:rsidR="00286BDC" w:rsidRPr="000A1E00" w:rsidRDefault="00286BDC" w:rsidP="005031BD">
      <w:pPr>
        <w:pStyle w:val="SingleTxtG"/>
        <w:rPr>
          <w:lang w:val="fr-FR"/>
        </w:rPr>
      </w:pPr>
      <w:r w:rsidRPr="000A1E00">
        <w:rPr>
          <w:lang w:val="fr-FR"/>
        </w:rPr>
        <w:t>159.</w:t>
      </w:r>
      <w:r w:rsidRPr="000A1E00">
        <w:rPr>
          <w:lang w:val="fr-FR"/>
        </w:rPr>
        <w:tab/>
        <w:t>En ce qui concerne la proposition de travaux supplémentaires faite dans le document informel INF.56, le Sous-Comité a estimé qu</w:t>
      </w:r>
      <w:r w:rsidR="000A1E00">
        <w:rPr>
          <w:lang w:val="fr-FR"/>
        </w:rPr>
        <w:t>’</w:t>
      </w:r>
      <w:r w:rsidRPr="000A1E00">
        <w:rPr>
          <w:lang w:val="fr-FR"/>
        </w:rPr>
        <w:t>il fallait s</w:t>
      </w:r>
      <w:r w:rsidR="000A1E00">
        <w:rPr>
          <w:lang w:val="fr-FR"/>
        </w:rPr>
        <w:t>’</w:t>
      </w:r>
      <w:r w:rsidRPr="000A1E00">
        <w:rPr>
          <w:lang w:val="fr-FR"/>
        </w:rPr>
        <w:t>occuper des problèmes déjà recensés dans le document ST/SG/AC.10/C.3/2018/35 avant d</w:t>
      </w:r>
      <w:r w:rsidR="000A1E00">
        <w:rPr>
          <w:lang w:val="fr-FR"/>
        </w:rPr>
        <w:t>’</w:t>
      </w:r>
      <w:r w:rsidRPr="000A1E00">
        <w:rPr>
          <w:lang w:val="fr-FR"/>
        </w:rPr>
        <w:t>envisager des travaux supplémentaires portant sur de nouveaux points. L</w:t>
      </w:r>
      <w:r w:rsidR="000A1E00">
        <w:rPr>
          <w:lang w:val="fr-FR"/>
        </w:rPr>
        <w:t>’</w:t>
      </w:r>
      <w:r w:rsidRPr="000A1E00">
        <w:rPr>
          <w:lang w:val="fr-FR"/>
        </w:rPr>
        <w:t>expert de la France a souscrit à ce point de vue et indiqué qu</w:t>
      </w:r>
      <w:r w:rsidR="000A1E00">
        <w:rPr>
          <w:lang w:val="fr-FR"/>
        </w:rPr>
        <w:t>’</w:t>
      </w:r>
      <w:r w:rsidRPr="000A1E00">
        <w:rPr>
          <w:lang w:val="fr-FR"/>
        </w:rPr>
        <w:t>il ne poursuivrait pas ses travaux dans le sens de la proposition formulée dans le document informel INF.56 si elle n</w:t>
      </w:r>
      <w:r w:rsidR="000A1E00">
        <w:rPr>
          <w:lang w:val="fr-FR"/>
        </w:rPr>
        <w:t>’</w:t>
      </w:r>
      <w:r w:rsidRPr="000A1E00">
        <w:rPr>
          <w:lang w:val="fr-FR"/>
        </w:rPr>
        <w:t>était pas appuyée par le Sous-Comité.</w:t>
      </w:r>
    </w:p>
    <w:p w:rsidR="00286BDC" w:rsidRPr="000A1E00" w:rsidRDefault="00286BDC" w:rsidP="005031BD">
      <w:pPr>
        <w:pStyle w:val="H1G"/>
        <w:rPr>
          <w:lang w:val="fr-FR"/>
        </w:rPr>
      </w:pPr>
      <w:r w:rsidRPr="000A1E00">
        <w:rPr>
          <w:lang w:val="fr-FR"/>
        </w:rPr>
        <w:tab/>
        <w:t>C.</w:t>
      </w:r>
      <w:r w:rsidRPr="000A1E00">
        <w:rPr>
          <w:lang w:val="fr-FR"/>
        </w:rPr>
        <w:tab/>
        <w:t>Mise à jour des références aux directives de l</w:t>
      </w:r>
      <w:r w:rsidR="000A1E00">
        <w:rPr>
          <w:lang w:val="fr-FR"/>
        </w:rPr>
        <w:t>’</w:t>
      </w:r>
      <w:r w:rsidRPr="000A1E00">
        <w:rPr>
          <w:lang w:val="fr-FR"/>
        </w:rPr>
        <w:t>OCDE</w:t>
      </w:r>
    </w:p>
    <w:p w:rsidR="00286BDC" w:rsidRPr="000A1E00" w:rsidRDefault="00286BDC" w:rsidP="005031BD">
      <w:pPr>
        <w:pStyle w:val="SingleTxtG"/>
        <w:rPr>
          <w:lang w:val="fr-FR"/>
        </w:rPr>
      </w:pPr>
      <w:r w:rsidRPr="000A1E00">
        <w:rPr>
          <w:lang w:val="fr-FR"/>
        </w:rPr>
        <w:t>160.</w:t>
      </w:r>
      <w:r w:rsidRPr="000A1E00">
        <w:rPr>
          <w:lang w:val="fr-FR"/>
        </w:rPr>
        <w:tab/>
        <w:t>Les documents soumis au titre de ce point de l</w:t>
      </w:r>
      <w:r w:rsidR="000A1E00">
        <w:rPr>
          <w:lang w:val="fr-FR"/>
        </w:rPr>
        <w:t>’</w:t>
      </w:r>
      <w:r w:rsidRPr="000A1E00">
        <w:rPr>
          <w:lang w:val="fr-FR"/>
        </w:rPr>
        <w:t>ordre du jour ont été examinés lors de la session conjointe (voir par.</w:t>
      </w:r>
      <w:r w:rsidR="005031BD">
        <w:rPr>
          <w:lang w:val="fr-FR"/>
        </w:rPr>
        <w:t> </w:t>
      </w:r>
      <w:r w:rsidRPr="000A1E00">
        <w:rPr>
          <w:lang w:val="fr-FR"/>
        </w:rPr>
        <w:t>167).</w:t>
      </w:r>
    </w:p>
    <w:p w:rsidR="00286BDC" w:rsidRPr="000A1E00" w:rsidRDefault="00286BDC" w:rsidP="005031BD">
      <w:pPr>
        <w:pStyle w:val="H1G"/>
        <w:rPr>
          <w:lang w:val="fr-FR"/>
        </w:rPr>
      </w:pPr>
      <w:r w:rsidRPr="000A1E00">
        <w:rPr>
          <w:lang w:val="fr-FR"/>
        </w:rPr>
        <w:tab/>
        <w:t>D.</w:t>
      </w:r>
      <w:r w:rsidRPr="000A1E00">
        <w:rPr>
          <w:lang w:val="fr-FR"/>
        </w:rPr>
        <w:tab/>
        <w:t>Utilisation du Manuel d</w:t>
      </w:r>
      <w:r w:rsidR="000A1E00">
        <w:rPr>
          <w:lang w:val="fr-FR"/>
        </w:rPr>
        <w:t>’</w:t>
      </w:r>
      <w:r w:rsidRPr="000A1E00">
        <w:rPr>
          <w:lang w:val="fr-FR"/>
        </w:rPr>
        <w:t xml:space="preserve">épreuves et de critères dans le contexte </w:t>
      </w:r>
      <w:r w:rsidR="005031BD">
        <w:rPr>
          <w:lang w:val="fr-FR"/>
        </w:rPr>
        <w:br/>
      </w:r>
      <w:r w:rsidRPr="000A1E00">
        <w:rPr>
          <w:lang w:val="fr-FR"/>
        </w:rPr>
        <w:t>du SGH</w:t>
      </w:r>
    </w:p>
    <w:p w:rsidR="00286BDC" w:rsidRPr="000A1E00" w:rsidRDefault="00286BDC" w:rsidP="005031BD">
      <w:pPr>
        <w:pStyle w:val="SingleTxtG"/>
        <w:rPr>
          <w:lang w:val="fr-FR"/>
        </w:rPr>
      </w:pPr>
      <w:r w:rsidRPr="000A1E00">
        <w:rPr>
          <w:lang w:val="fr-FR"/>
        </w:rPr>
        <w:t>161.</w:t>
      </w:r>
      <w:r w:rsidRPr="000A1E00">
        <w:rPr>
          <w:lang w:val="fr-FR"/>
        </w:rPr>
        <w:tab/>
        <w:t>Les documents soumis au titre de ce point de l</w:t>
      </w:r>
      <w:r w:rsidR="000A1E00">
        <w:rPr>
          <w:lang w:val="fr-FR"/>
        </w:rPr>
        <w:t>’</w:t>
      </w:r>
      <w:r w:rsidRPr="000A1E00">
        <w:rPr>
          <w:lang w:val="fr-FR"/>
        </w:rPr>
        <w:t>ordre du jour ont été examinés lors de la session conjointe (voir par.</w:t>
      </w:r>
      <w:r w:rsidR="005031BD">
        <w:rPr>
          <w:lang w:val="fr-FR"/>
        </w:rPr>
        <w:t> </w:t>
      </w:r>
      <w:r w:rsidRPr="000A1E00">
        <w:rPr>
          <w:lang w:val="fr-FR"/>
        </w:rPr>
        <w:t>176).</w:t>
      </w:r>
    </w:p>
    <w:p w:rsidR="00286BDC" w:rsidRPr="000A1E00" w:rsidRDefault="005031BD" w:rsidP="005031BD">
      <w:pPr>
        <w:pStyle w:val="H1G"/>
        <w:rPr>
          <w:lang w:val="fr-FR"/>
        </w:rPr>
      </w:pPr>
      <w:r>
        <w:rPr>
          <w:lang w:val="fr-FR"/>
        </w:rPr>
        <w:tab/>
        <w:t>E.</w:t>
      </w:r>
      <w:r>
        <w:rPr>
          <w:lang w:val="fr-FR"/>
        </w:rPr>
        <w:tab/>
      </w:r>
      <w:r w:rsidR="00286BDC" w:rsidRPr="000A1E00">
        <w:rPr>
          <w:lang w:val="fr-FR"/>
        </w:rPr>
        <w:t>Travaux à mener conjointement avec le Sous-Comité SGH</w:t>
      </w:r>
    </w:p>
    <w:p w:rsidR="00286BDC" w:rsidRPr="000A1E00" w:rsidRDefault="00286BDC" w:rsidP="005031BD">
      <w:pPr>
        <w:pStyle w:val="SingleTxtG"/>
        <w:rPr>
          <w:lang w:val="fr-FR"/>
        </w:rPr>
      </w:pPr>
      <w:r w:rsidRPr="000A1E00">
        <w:rPr>
          <w:lang w:val="fr-FR"/>
        </w:rPr>
        <w:t>162.</w:t>
      </w:r>
      <w:r w:rsidRPr="000A1E00">
        <w:rPr>
          <w:lang w:val="fr-FR"/>
        </w:rPr>
        <w:tab/>
        <w:t xml:space="preserve">Les deux </w:t>
      </w:r>
      <w:r w:rsidR="00CF30D6">
        <w:rPr>
          <w:lang w:val="fr-FR"/>
        </w:rPr>
        <w:t>S</w:t>
      </w:r>
      <w:r w:rsidRPr="000A1E00">
        <w:rPr>
          <w:lang w:val="fr-FR"/>
        </w:rPr>
        <w:t>ous-</w:t>
      </w:r>
      <w:r w:rsidR="00CF30D6">
        <w:rPr>
          <w:lang w:val="fr-FR"/>
        </w:rPr>
        <w:t>C</w:t>
      </w:r>
      <w:r w:rsidRPr="000A1E00">
        <w:rPr>
          <w:lang w:val="fr-FR"/>
        </w:rPr>
        <w:t>omités TMD et SGH ont tenu leur troisième session conjointe dans l</w:t>
      </w:r>
      <w:r w:rsidR="000A1E00">
        <w:rPr>
          <w:lang w:val="fr-FR"/>
        </w:rPr>
        <w:t>’</w:t>
      </w:r>
      <w:r w:rsidRPr="000A1E00">
        <w:rPr>
          <w:lang w:val="fr-FR"/>
        </w:rPr>
        <w:t>après-midi du 3</w:t>
      </w:r>
      <w:r w:rsidR="005031BD">
        <w:rPr>
          <w:lang w:val="fr-FR"/>
        </w:rPr>
        <w:t> </w:t>
      </w:r>
      <w:r w:rsidRPr="000A1E00">
        <w:rPr>
          <w:lang w:val="fr-FR"/>
        </w:rPr>
        <w:t>juillet, sous la présidence de M.</w:t>
      </w:r>
      <w:r w:rsidR="005031BD">
        <w:rPr>
          <w:lang w:val="fr-FR"/>
        </w:rPr>
        <w:t> </w:t>
      </w:r>
      <w:r w:rsidRPr="000A1E00">
        <w:rPr>
          <w:lang w:val="fr-FR"/>
        </w:rPr>
        <w:t>Duane Pfund (Président du Sous-Comité TMD). Au cours de cette réunion conjointe, les Sous-Comités ont examiné les points 1 à 6 ci-dessous.</w:t>
      </w:r>
    </w:p>
    <w:p w:rsidR="00286BDC" w:rsidRPr="000A1E00" w:rsidRDefault="00286BDC" w:rsidP="005031BD">
      <w:pPr>
        <w:pStyle w:val="H23G"/>
        <w:rPr>
          <w:lang w:val="fr-FR"/>
        </w:rPr>
      </w:pPr>
      <w:r w:rsidRPr="000A1E00">
        <w:rPr>
          <w:lang w:val="fr-FR"/>
        </w:rPr>
        <w:tab/>
        <w:t>1.</w:t>
      </w:r>
      <w:r w:rsidRPr="000A1E00">
        <w:rPr>
          <w:lang w:val="fr-FR"/>
        </w:rPr>
        <w:tab/>
        <w:t>Révision du chapitre 2.1</w:t>
      </w:r>
    </w:p>
    <w:p w:rsidR="00286BDC" w:rsidRPr="000A1E00" w:rsidRDefault="00286BDC" w:rsidP="005031BD">
      <w:pPr>
        <w:pStyle w:val="SingleTxtG"/>
        <w:tabs>
          <w:tab w:val="left" w:pos="3119"/>
        </w:tabs>
        <w:jc w:val="left"/>
        <w:rPr>
          <w:lang w:val="fr-FR"/>
        </w:rPr>
      </w:pPr>
      <w:r w:rsidRPr="000A1E00">
        <w:rPr>
          <w:i/>
          <w:iCs/>
          <w:lang w:val="fr-FR"/>
        </w:rPr>
        <w:t>Document</w:t>
      </w:r>
      <w:r w:rsidR="005031BD">
        <w:rPr>
          <w:i/>
          <w:iCs/>
          <w:lang w:val="fr-FR"/>
        </w:rPr>
        <w:t> </w:t>
      </w:r>
      <w:r w:rsidRPr="005031BD">
        <w:rPr>
          <w:iCs/>
          <w:lang w:val="fr-FR"/>
        </w:rPr>
        <w:t>:</w:t>
      </w:r>
      <w:r w:rsidRPr="000A1E00">
        <w:rPr>
          <w:lang w:val="fr-FR"/>
        </w:rPr>
        <w:t xml:space="preserve"> </w:t>
      </w:r>
      <w:r w:rsidRPr="000A1E00">
        <w:rPr>
          <w:lang w:val="fr-FR"/>
        </w:rPr>
        <w:tab/>
        <w:t>ST/SG/AC.10/C.3/2018/33−ST/SG/AC.10/C.4/2018/7 (Suède)</w:t>
      </w:r>
    </w:p>
    <w:p w:rsidR="00286BDC" w:rsidRPr="000A1E00" w:rsidRDefault="00286BDC" w:rsidP="005031BD">
      <w:pPr>
        <w:pStyle w:val="SingleTxtG"/>
        <w:tabs>
          <w:tab w:val="left" w:pos="3119"/>
        </w:tabs>
        <w:ind w:left="3119" w:hanging="1985"/>
        <w:jc w:val="left"/>
        <w:rPr>
          <w:lang w:val="fr-FR"/>
        </w:rPr>
      </w:pPr>
      <w:r w:rsidRPr="000A1E00">
        <w:rPr>
          <w:i/>
          <w:iCs/>
          <w:lang w:val="fr-FR"/>
        </w:rPr>
        <w:t>Documents informels</w:t>
      </w:r>
      <w:r w:rsidR="005031BD">
        <w:rPr>
          <w:i/>
          <w:iCs/>
          <w:lang w:val="fr-FR"/>
        </w:rPr>
        <w:t> </w:t>
      </w:r>
      <w:r w:rsidRPr="005031BD">
        <w:rPr>
          <w:iCs/>
          <w:lang w:val="fr-FR"/>
        </w:rPr>
        <w:t>:</w:t>
      </w:r>
      <w:r w:rsidRPr="000A1E00">
        <w:rPr>
          <w:lang w:val="fr-FR"/>
        </w:rPr>
        <w:tab/>
        <w:t xml:space="preserve">TDG/INF.9 </w:t>
      </w:r>
      <w:r w:rsidR="005031BD">
        <w:rPr>
          <w:lang w:val="fr-FR"/>
        </w:rPr>
        <w:t>−</w:t>
      </w:r>
      <w:r w:rsidRPr="000A1E00">
        <w:rPr>
          <w:lang w:val="fr-FR"/>
        </w:rPr>
        <w:t xml:space="preserve"> GHS/INF.10 (Suède)</w:t>
      </w:r>
      <w:r w:rsidRPr="000A1E00">
        <w:rPr>
          <w:lang w:val="fr-FR"/>
        </w:rPr>
        <w:br/>
        <w:t xml:space="preserve">TDG/INF.33 </w:t>
      </w:r>
      <w:r w:rsidR="005031BD">
        <w:rPr>
          <w:lang w:val="fr-FR"/>
        </w:rPr>
        <w:t>−</w:t>
      </w:r>
      <w:r w:rsidRPr="000A1E00">
        <w:rPr>
          <w:lang w:val="fr-FR"/>
        </w:rPr>
        <w:t xml:space="preserve"> GHS/INF.15 (États-Unis, IME et SAAMI)</w:t>
      </w:r>
      <w:r w:rsidRPr="000A1E00">
        <w:rPr>
          <w:lang w:val="fr-FR"/>
        </w:rPr>
        <w:br/>
        <w:t xml:space="preserve">TDG/INF.46 </w:t>
      </w:r>
      <w:r w:rsidR="005031BD">
        <w:rPr>
          <w:lang w:val="fr-FR"/>
        </w:rPr>
        <w:t>−</w:t>
      </w:r>
      <w:r w:rsidRPr="000A1E00">
        <w:rPr>
          <w:lang w:val="fr-FR"/>
        </w:rPr>
        <w:t xml:space="preserve"> GHS/INF.16 (Suède)</w:t>
      </w:r>
      <w:r w:rsidR="005031BD">
        <w:rPr>
          <w:lang w:val="fr-FR"/>
        </w:rPr>
        <w:t>.</w:t>
      </w:r>
    </w:p>
    <w:p w:rsidR="00286BDC" w:rsidRPr="000A1E00" w:rsidRDefault="00286BDC" w:rsidP="005031BD">
      <w:pPr>
        <w:pStyle w:val="SingleTxtG"/>
        <w:rPr>
          <w:lang w:val="fr-FR"/>
        </w:rPr>
      </w:pPr>
      <w:r w:rsidRPr="000A1E00">
        <w:rPr>
          <w:lang w:val="fr-FR"/>
        </w:rPr>
        <w:t>163.</w:t>
      </w:r>
      <w:r w:rsidRPr="000A1E00">
        <w:rPr>
          <w:lang w:val="fr-FR"/>
        </w:rPr>
        <w:tab/>
        <w:t>Les experts se sont généralement montrés favorables à la poursuite des travaux sur cette question ainsi qu</w:t>
      </w:r>
      <w:r w:rsidR="000A1E00">
        <w:rPr>
          <w:lang w:val="fr-FR"/>
        </w:rPr>
        <w:t>’</w:t>
      </w:r>
      <w:r w:rsidRPr="000A1E00">
        <w:rPr>
          <w:lang w:val="fr-FR"/>
        </w:rPr>
        <w:t>aux méthodes proposées pour la révision des critères de classification des matières et objets explosifs dans le SGH. Il a été souligné que le nouveau système de classification n</w:t>
      </w:r>
      <w:r w:rsidR="000A1E00">
        <w:rPr>
          <w:lang w:val="fr-FR"/>
        </w:rPr>
        <w:t>’</w:t>
      </w:r>
      <w:r w:rsidRPr="000A1E00">
        <w:rPr>
          <w:lang w:val="fr-FR"/>
        </w:rPr>
        <w:t>impliquerait pas la mise en place d</w:t>
      </w:r>
      <w:r w:rsidR="000A1E00">
        <w:rPr>
          <w:lang w:val="fr-FR"/>
        </w:rPr>
        <w:t>’</w:t>
      </w:r>
      <w:r w:rsidRPr="000A1E00">
        <w:rPr>
          <w:lang w:val="fr-FR"/>
        </w:rPr>
        <w:t>une nouvelle épreuve et continuerait d</w:t>
      </w:r>
      <w:r w:rsidR="000A1E00">
        <w:rPr>
          <w:lang w:val="fr-FR"/>
        </w:rPr>
        <w:t>’</w:t>
      </w:r>
      <w:r w:rsidRPr="000A1E00">
        <w:rPr>
          <w:lang w:val="fr-FR"/>
        </w:rPr>
        <w:t>assurer la cohérence avec le système actuel de classification aux fins du transport (en d</w:t>
      </w:r>
      <w:r w:rsidR="000A1E00">
        <w:rPr>
          <w:lang w:val="fr-FR"/>
        </w:rPr>
        <w:t>’</w:t>
      </w:r>
      <w:r w:rsidRPr="000A1E00">
        <w:rPr>
          <w:lang w:val="fr-FR"/>
        </w:rPr>
        <w:t>autres termes, la répartition au sein des différentes divisions de transport resterait inchangée). Par conséquent, il ne devrait y avoir aucune incidence sur les dispositions relatives au transport ou à l</w:t>
      </w:r>
      <w:r w:rsidR="000A1E00">
        <w:rPr>
          <w:lang w:val="fr-FR"/>
        </w:rPr>
        <w:t>’</w:t>
      </w:r>
      <w:r w:rsidRPr="000A1E00">
        <w:rPr>
          <w:lang w:val="fr-FR"/>
        </w:rPr>
        <w:t>entreposage, pour autant que les explosifs soient dans leur configuration de transport (par exemple, tels qu</w:t>
      </w:r>
      <w:r w:rsidR="000A1E00">
        <w:rPr>
          <w:lang w:val="fr-FR"/>
        </w:rPr>
        <w:t>’</w:t>
      </w:r>
      <w:r w:rsidRPr="000A1E00">
        <w:rPr>
          <w:lang w:val="fr-FR"/>
        </w:rPr>
        <w:t xml:space="preserve">emballés aux fins du transport). </w:t>
      </w:r>
    </w:p>
    <w:p w:rsidR="00286BDC" w:rsidRPr="000A1E00" w:rsidRDefault="00286BDC" w:rsidP="005031BD">
      <w:pPr>
        <w:pStyle w:val="SingleTxtG"/>
        <w:rPr>
          <w:lang w:val="fr-FR"/>
        </w:rPr>
      </w:pPr>
      <w:r w:rsidRPr="000A1E00">
        <w:rPr>
          <w:lang w:val="fr-FR"/>
        </w:rPr>
        <w:t>164.</w:t>
      </w:r>
      <w:r w:rsidRPr="000A1E00">
        <w:rPr>
          <w:lang w:val="fr-FR"/>
        </w:rPr>
        <w:tab/>
        <w:t>Toutefois, l</w:t>
      </w:r>
      <w:r w:rsidR="000A1E00">
        <w:rPr>
          <w:lang w:val="fr-FR"/>
        </w:rPr>
        <w:t>’</w:t>
      </w:r>
      <w:r w:rsidRPr="000A1E00">
        <w:rPr>
          <w:lang w:val="fr-FR"/>
        </w:rPr>
        <w:t>applicabilité du système de classification proposé en ce qui concerne les explosifs non intentionnels ou les échantillons énergétiques, le champ d</w:t>
      </w:r>
      <w:r w:rsidR="000A1E00">
        <w:rPr>
          <w:lang w:val="fr-FR"/>
        </w:rPr>
        <w:t>’</w:t>
      </w:r>
      <w:r w:rsidRPr="000A1E00">
        <w:rPr>
          <w:lang w:val="fr-FR"/>
        </w:rPr>
        <w:t>application de la nouvelle catégorie 1 (qui couvrirait les dangers faibles et élevés, alors que dans le texte actuel du SGH, la catégorie 1 correspond au degré de danger le plus élevé au sein d</w:t>
      </w:r>
      <w:r w:rsidR="000A1E00">
        <w:rPr>
          <w:lang w:val="fr-FR"/>
        </w:rPr>
        <w:t>’</w:t>
      </w:r>
      <w:r w:rsidRPr="000A1E00">
        <w:rPr>
          <w:lang w:val="fr-FR"/>
        </w:rPr>
        <w:t>une classe de danger) et le risque de se retrouver avec un explosif classé de deux manières différentes selon que la classification tient compte ou non de la configuration de transport, ont suscité des préoccupations.</w:t>
      </w:r>
    </w:p>
    <w:p w:rsidR="00286BDC" w:rsidRPr="000A1E00" w:rsidRDefault="00286BDC" w:rsidP="005031BD">
      <w:pPr>
        <w:pStyle w:val="SingleTxtG"/>
        <w:rPr>
          <w:lang w:val="fr-FR"/>
        </w:rPr>
      </w:pPr>
      <w:r w:rsidRPr="000A1E00">
        <w:rPr>
          <w:lang w:val="fr-FR"/>
        </w:rPr>
        <w:t>165.</w:t>
      </w:r>
      <w:r w:rsidRPr="000A1E00">
        <w:rPr>
          <w:lang w:val="fr-FR"/>
        </w:rPr>
        <w:tab/>
        <w:t>L</w:t>
      </w:r>
      <w:r w:rsidR="000A1E00">
        <w:rPr>
          <w:lang w:val="fr-FR"/>
        </w:rPr>
        <w:t>’</w:t>
      </w:r>
      <w:r w:rsidRPr="000A1E00">
        <w:rPr>
          <w:lang w:val="fr-FR"/>
        </w:rPr>
        <w:t>expert de la Suède a informé les sous-comités que des moyens de répondre à certaines des préoccupations soulevées avaient déjà été trouvés et étaient à l</w:t>
      </w:r>
      <w:r w:rsidR="000A1E00">
        <w:rPr>
          <w:lang w:val="fr-FR"/>
        </w:rPr>
        <w:t>’</w:t>
      </w:r>
      <w:r w:rsidRPr="000A1E00">
        <w:rPr>
          <w:lang w:val="fr-FR"/>
        </w:rPr>
        <w:t>étude. Les sous-comités l</w:t>
      </w:r>
      <w:r w:rsidR="000A1E00">
        <w:rPr>
          <w:lang w:val="fr-FR"/>
        </w:rPr>
        <w:t>’</w:t>
      </w:r>
      <w:r w:rsidRPr="000A1E00">
        <w:rPr>
          <w:lang w:val="fr-FR"/>
        </w:rPr>
        <w:t>ont invité à poursuivre ses travaux et à soumettre un document officiel pour la prochaine session, de façon à laisser le temps aux experts de consulter leurs autorités nationales, d</w:t>
      </w:r>
      <w:r w:rsidR="000A1E00">
        <w:rPr>
          <w:lang w:val="fr-FR"/>
        </w:rPr>
        <w:t>’</w:t>
      </w:r>
      <w:r w:rsidRPr="000A1E00">
        <w:rPr>
          <w:lang w:val="fr-FR"/>
        </w:rPr>
        <w:t xml:space="preserve">évaluer les incidences potentielles et de prendre une décision éclairée. </w:t>
      </w:r>
    </w:p>
    <w:p w:rsidR="00286BDC" w:rsidRPr="000A1E00" w:rsidRDefault="00286BDC" w:rsidP="005031BD">
      <w:pPr>
        <w:pStyle w:val="H23G"/>
        <w:rPr>
          <w:lang w:val="fr-FR"/>
        </w:rPr>
      </w:pPr>
      <w:r w:rsidRPr="000A1E00">
        <w:rPr>
          <w:lang w:val="fr-FR"/>
        </w:rPr>
        <w:tab/>
        <w:t xml:space="preserve">2. </w:t>
      </w:r>
      <w:r w:rsidRPr="000A1E00">
        <w:rPr>
          <w:lang w:val="fr-FR"/>
        </w:rPr>
        <w:tab/>
        <w:t xml:space="preserve">Mise à jour des références à la norme ISO 10156 </w:t>
      </w:r>
    </w:p>
    <w:p w:rsidR="00286BDC" w:rsidRPr="000A1E00" w:rsidRDefault="005031BD" w:rsidP="005031BD">
      <w:pPr>
        <w:pStyle w:val="SingleTxtG"/>
        <w:tabs>
          <w:tab w:val="left" w:pos="3119"/>
        </w:tabs>
        <w:rPr>
          <w:lang w:val="en-US"/>
        </w:rPr>
      </w:pPr>
      <w:r>
        <w:rPr>
          <w:i/>
          <w:iCs/>
          <w:lang w:val="en-US"/>
        </w:rPr>
        <w:t>Document </w:t>
      </w:r>
      <w:r w:rsidR="00286BDC" w:rsidRPr="005031BD">
        <w:rPr>
          <w:iCs/>
          <w:lang w:val="en-US"/>
        </w:rPr>
        <w:t>:</w:t>
      </w:r>
      <w:r w:rsidR="00286BDC" w:rsidRPr="000A1E00">
        <w:rPr>
          <w:lang w:val="en-US"/>
        </w:rPr>
        <w:t xml:space="preserve"> </w:t>
      </w:r>
      <w:r w:rsidR="00286BDC" w:rsidRPr="000A1E00">
        <w:rPr>
          <w:lang w:val="en-US"/>
        </w:rPr>
        <w:tab/>
      </w:r>
      <w:r w:rsidR="005C5878">
        <w:rPr>
          <w:lang w:val="en-US"/>
        </w:rPr>
        <w:t>ST/SG/AC.10/C.3/2018/2-</w:t>
      </w:r>
      <w:r w:rsidR="00286BDC" w:rsidRPr="000A1E00">
        <w:rPr>
          <w:lang w:val="en-US"/>
        </w:rPr>
        <w:t>ST/SG/AC.10/C.4/2018/2 (EIGA)</w:t>
      </w:r>
      <w:r>
        <w:rPr>
          <w:lang w:val="en-US"/>
        </w:rPr>
        <w:t>.</w:t>
      </w:r>
    </w:p>
    <w:p w:rsidR="00286BDC" w:rsidRPr="000A1E00" w:rsidRDefault="00286BDC" w:rsidP="005031BD">
      <w:pPr>
        <w:pStyle w:val="SingleTxtG"/>
        <w:rPr>
          <w:lang w:val="fr-FR"/>
        </w:rPr>
      </w:pPr>
      <w:r w:rsidRPr="000A1E00">
        <w:rPr>
          <w:lang w:val="fr-FR"/>
        </w:rPr>
        <w:t>166.</w:t>
      </w:r>
      <w:r w:rsidRPr="000A1E00">
        <w:rPr>
          <w:lang w:val="fr-FR"/>
        </w:rPr>
        <w:tab/>
        <w:t>Le Sous-Comité TMD a adopté la mise à jour des références à la norme ISO dans le Règlement type proposée au paragraphe 5 du document, moyennant</w:t>
      </w:r>
      <w:r w:rsidR="00F92FCF">
        <w:rPr>
          <w:lang w:val="fr-FR"/>
        </w:rPr>
        <w:t xml:space="preserve"> un amendement corollaire au 2</w:t>
      </w:r>
      <w:r w:rsidRPr="000A1E00">
        <w:rPr>
          <w:lang w:val="fr-FR"/>
        </w:rPr>
        <w:t>.2.2.1 a) ii) et au no</w:t>
      </w:r>
      <w:r w:rsidR="00F92FCF">
        <w:rPr>
          <w:lang w:val="fr-FR"/>
        </w:rPr>
        <w:t xml:space="preserve">ta figurant après le </w:t>
      </w:r>
      <w:r w:rsidRPr="000A1E00">
        <w:rPr>
          <w:lang w:val="fr-FR"/>
        </w:rPr>
        <w:t>2.2.2.1 b) (voir l</w:t>
      </w:r>
      <w:r w:rsidR="000A1E00">
        <w:rPr>
          <w:lang w:val="fr-FR"/>
        </w:rPr>
        <w:t>’</w:t>
      </w:r>
      <w:r w:rsidRPr="000A1E00">
        <w:rPr>
          <w:lang w:val="fr-FR"/>
        </w:rPr>
        <w:t>annexe I). En attendant l</w:t>
      </w:r>
      <w:r w:rsidR="000A1E00">
        <w:rPr>
          <w:lang w:val="fr-FR"/>
        </w:rPr>
        <w:t>’</w:t>
      </w:r>
      <w:r w:rsidRPr="000A1E00">
        <w:rPr>
          <w:lang w:val="fr-FR"/>
        </w:rPr>
        <w:t>approbation du Sous-Comité SGH à sa trente-cinquième session</w:t>
      </w:r>
      <w:r w:rsidR="005031BD">
        <w:rPr>
          <w:lang w:val="fr-FR"/>
        </w:rPr>
        <w:t xml:space="preserve"> (voir ST/SG/AC.10/C.4/70, par. </w:t>
      </w:r>
      <w:r w:rsidRPr="000A1E00">
        <w:rPr>
          <w:lang w:val="fr-FR"/>
        </w:rPr>
        <w:t>11 et 12), il a été pris note des modifications qu</w:t>
      </w:r>
      <w:r w:rsidR="000A1E00">
        <w:rPr>
          <w:lang w:val="fr-FR"/>
        </w:rPr>
        <w:t>’</w:t>
      </w:r>
      <w:r w:rsidRPr="000A1E00">
        <w:rPr>
          <w:lang w:val="fr-FR"/>
        </w:rPr>
        <w:t>il est proposé d</w:t>
      </w:r>
      <w:r w:rsidR="000A1E00">
        <w:rPr>
          <w:lang w:val="fr-FR"/>
        </w:rPr>
        <w:t>’</w:t>
      </w:r>
      <w:r w:rsidRPr="000A1E00">
        <w:rPr>
          <w:lang w:val="fr-FR"/>
        </w:rPr>
        <w:t>apporter au SGH.</w:t>
      </w:r>
    </w:p>
    <w:p w:rsidR="00286BDC" w:rsidRPr="000A1E00" w:rsidRDefault="00286BDC" w:rsidP="005031BD">
      <w:pPr>
        <w:pStyle w:val="H23G"/>
        <w:rPr>
          <w:lang w:val="fr-FR"/>
        </w:rPr>
      </w:pPr>
      <w:r w:rsidRPr="000A1E00">
        <w:rPr>
          <w:lang w:val="fr-FR"/>
        </w:rPr>
        <w:tab/>
        <w:t>3.</w:t>
      </w:r>
      <w:r w:rsidRPr="000A1E00">
        <w:rPr>
          <w:lang w:val="fr-FR"/>
        </w:rPr>
        <w:tab/>
        <w:t>Mise à jour des références aux directives de l</w:t>
      </w:r>
      <w:r w:rsidR="000A1E00">
        <w:rPr>
          <w:lang w:val="fr-FR"/>
        </w:rPr>
        <w:t>’</w:t>
      </w:r>
      <w:r w:rsidRPr="000A1E00">
        <w:rPr>
          <w:lang w:val="fr-FR"/>
        </w:rPr>
        <w:t>OCDE</w:t>
      </w:r>
    </w:p>
    <w:p w:rsidR="00286BDC" w:rsidRPr="000A1E00" w:rsidRDefault="005031BD" w:rsidP="005031BD">
      <w:pPr>
        <w:pStyle w:val="SingleTxtG"/>
        <w:tabs>
          <w:tab w:val="left" w:pos="3119"/>
        </w:tabs>
        <w:rPr>
          <w:lang w:val="fr-FR"/>
        </w:rPr>
      </w:pPr>
      <w:r>
        <w:rPr>
          <w:i/>
          <w:iCs/>
          <w:lang w:val="fr-FR"/>
        </w:rPr>
        <w:t>Document </w:t>
      </w:r>
      <w:r w:rsidR="00286BDC" w:rsidRPr="005031BD">
        <w:rPr>
          <w:iCs/>
          <w:lang w:val="fr-FR"/>
        </w:rPr>
        <w:t>:</w:t>
      </w:r>
      <w:r w:rsidR="00286BDC" w:rsidRPr="000A1E00">
        <w:rPr>
          <w:lang w:val="fr-FR"/>
        </w:rPr>
        <w:t xml:space="preserve"> </w:t>
      </w:r>
      <w:r w:rsidR="00286BDC" w:rsidRPr="000A1E00">
        <w:rPr>
          <w:lang w:val="fr-FR"/>
        </w:rPr>
        <w:tab/>
        <w:t>ST/SG/AC.10/C.3/2018/30 (Union européenne)</w:t>
      </w:r>
    </w:p>
    <w:p w:rsidR="00286BDC" w:rsidRPr="000A1E00" w:rsidRDefault="00286BDC" w:rsidP="005031BD">
      <w:pPr>
        <w:pStyle w:val="SingleTxtG"/>
        <w:tabs>
          <w:tab w:val="left" w:pos="3119"/>
        </w:tabs>
        <w:ind w:left="3119" w:hanging="1985"/>
        <w:jc w:val="left"/>
        <w:rPr>
          <w:lang w:val="fr-FR"/>
        </w:rPr>
      </w:pPr>
      <w:r w:rsidRPr="005031BD">
        <w:rPr>
          <w:i/>
          <w:lang w:val="fr-FR"/>
        </w:rPr>
        <w:t>Documents informels</w:t>
      </w:r>
      <w:r w:rsidR="005031BD">
        <w:rPr>
          <w:lang w:val="fr-FR"/>
        </w:rPr>
        <w:t> </w:t>
      </w:r>
      <w:r w:rsidRPr="000A1E00">
        <w:rPr>
          <w:lang w:val="fr-FR"/>
        </w:rPr>
        <w:t>:</w:t>
      </w:r>
      <w:r w:rsidR="005031BD">
        <w:rPr>
          <w:lang w:val="fr-FR"/>
        </w:rPr>
        <w:tab/>
        <w:t>INF.34 (CEFIC)</w:t>
      </w:r>
      <w:r w:rsidR="005031BD">
        <w:rPr>
          <w:lang w:val="fr-FR"/>
        </w:rPr>
        <w:br/>
      </w:r>
      <w:r w:rsidRPr="000A1E00">
        <w:rPr>
          <w:lang w:val="fr-FR"/>
        </w:rPr>
        <w:t>TDG/INF.</w:t>
      </w:r>
      <w:r w:rsidR="005C5878">
        <w:rPr>
          <w:lang w:val="fr-FR"/>
        </w:rPr>
        <w:t>71-GHS/INF.</w:t>
      </w:r>
      <w:r w:rsidRPr="000A1E00">
        <w:rPr>
          <w:lang w:val="fr-FR"/>
        </w:rPr>
        <w:t>28 (DGAC)</w:t>
      </w:r>
      <w:r w:rsidR="005031BD">
        <w:rPr>
          <w:lang w:val="fr-FR"/>
        </w:rPr>
        <w:t>.</w:t>
      </w:r>
    </w:p>
    <w:p w:rsidR="00286BDC" w:rsidRPr="000A1E00" w:rsidRDefault="00286BDC" w:rsidP="005031BD">
      <w:pPr>
        <w:pStyle w:val="SingleTxtG"/>
        <w:rPr>
          <w:lang w:val="fr-FR"/>
        </w:rPr>
      </w:pPr>
      <w:r w:rsidRPr="000A1E00">
        <w:rPr>
          <w:lang w:val="fr-FR"/>
        </w:rPr>
        <w:t>167.</w:t>
      </w:r>
      <w:r w:rsidRPr="000A1E00">
        <w:rPr>
          <w:lang w:val="fr-FR"/>
        </w:rPr>
        <w:tab/>
        <w:t>Les experts ont dans l</w:t>
      </w:r>
      <w:r w:rsidR="000A1E00">
        <w:rPr>
          <w:lang w:val="fr-FR"/>
        </w:rPr>
        <w:t>’</w:t>
      </w:r>
      <w:r w:rsidRPr="000A1E00">
        <w:rPr>
          <w:lang w:val="fr-FR"/>
        </w:rPr>
        <w:t>ensemble appuyé la proposition formulée dans le document ST/SG/AC.10/C.3/2018/30, telle que modifiée par le document informel INF.71, moyennant quelques modifications supplémentaires proposées oralement pendant la session. Toutefois, plusieurs experts ont estimé qu</w:t>
      </w:r>
      <w:r w:rsidR="000A1E00">
        <w:rPr>
          <w:lang w:val="fr-FR"/>
        </w:rPr>
        <w:t>’</w:t>
      </w:r>
      <w:r w:rsidRPr="000A1E00">
        <w:rPr>
          <w:lang w:val="fr-FR"/>
        </w:rPr>
        <w:t>il fallait davantage de temps pour examiner ces modifications. La représentante de l</w:t>
      </w:r>
      <w:r w:rsidR="000A1E00">
        <w:rPr>
          <w:lang w:val="fr-FR"/>
        </w:rPr>
        <w:t>’</w:t>
      </w:r>
      <w:r w:rsidRPr="000A1E00">
        <w:rPr>
          <w:lang w:val="fr-FR"/>
        </w:rPr>
        <w:t>Union européenne a indiqué qu</w:t>
      </w:r>
      <w:r w:rsidR="000A1E00">
        <w:rPr>
          <w:lang w:val="fr-FR"/>
        </w:rPr>
        <w:t>’</w:t>
      </w:r>
      <w:r w:rsidRPr="000A1E00">
        <w:rPr>
          <w:lang w:val="fr-FR"/>
        </w:rPr>
        <w:t>elle réviserait la proposition en tenant compte des observations formulées et qu</w:t>
      </w:r>
      <w:r w:rsidR="000A1E00">
        <w:rPr>
          <w:lang w:val="fr-FR"/>
        </w:rPr>
        <w:t>’</w:t>
      </w:r>
      <w:r w:rsidRPr="000A1E00">
        <w:rPr>
          <w:lang w:val="fr-FR"/>
        </w:rPr>
        <w:t>elle soumettrait un document offi</w:t>
      </w:r>
      <w:r w:rsidR="005031BD">
        <w:rPr>
          <w:lang w:val="fr-FR"/>
        </w:rPr>
        <w:t>ciel pour la prochaine session.</w:t>
      </w:r>
    </w:p>
    <w:p w:rsidR="00286BDC" w:rsidRPr="000A1E00" w:rsidRDefault="00286BDC" w:rsidP="005031BD">
      <w:pPr>
        <w:pStyle w:val="H23G"/>
        <w:rPr>
          <w:lang w:val="fr-FR"/>
        </w:rPr>
      </w:pPr>
      <w:r w:rsidRPr="000A1E00">
        <w:rPr>
          <w:lang w:val="fr-FR"/>
        </w:rPr>
        <w:tab/>
        <w:t>4.</w:t>
      </w:r>
      <w:r w:rsidRPr="000A1E00">
        <w:rPr>
          <w:lang w:val="fr-FR"/>
        </w:rPr>
        <w:tab/>
        <w:t>Classement des aérosols et des produits chimiques sous pression</w:t>
      </w:r>
    </w:p>
    <w:p w:rsidR="00286BDC" w:rsidRPr="000A1E00" w:rsidRDefault="00286BDC" w:rsidP="005031BD">
      <w:pPr>
        <w:pStyle w:val="SingleTxtG"/>
        <w:tabs>
          <w:tab w:val="left" w:pos="3119"/>
        </w:tabs>
        <w:ind w:left="3119" w:hanging="1985"/>
        <w:jc w:val="left"/>
        <w:rPr>
          <w:lang w:val="en-US"/>
        </w:rPr>
      </w:pPr>
      <w:r w:rsidRPr="005031BD">
        <w:rPr>
          <w:i/>
          <w:iCs/>
          <w:lang w:val="en-US"/>
        </w:rPr>
        <w:t>Documents</w:t>
      </w:r>
      <w:r w:rsidR="005031BD" w:rsidRPr="005031BD">
        <w:rPr>
          <w:i/>
          <w:iCs/>
          <w:lang w:val="en-US"/>
        </w:rPr>
        <w:t> </w:t>
      </w:r>
      <w:r w:rsidRPr="005031BD">
        <w:rPr>
          <w:iCs/>
          <w:lang w:val="en-US"/>
        </w:rPr>
        <w:t>:</w:t>
      </w:r>
      <w:r w:rsidR="005C5878">
        <w:rPr>
          <w:lang w:val="en-US"/>
        </w:rPr>
        <w:t xml:space="preserve"> </w:t>
      </w:r>
      <w:r w:rsidR="005C5878">
        <w:rPr>
          <w:lang w:val="en-US"/>
        </w:rPr>
        <w:tab/>
        <w:t>ST/SG/AC.10/C.3/2018/5-</w:t>
      </w:r>
      <w:r w:rsidRPr="005031BD">
        <w:rPr>
          <w:lang w:val="en-US"/>
        </w:rPr>
        <w:t>ST/SG/AC</w:t>
      </w:r>
      <w:r w:rsidR="005031BD">
        <w:rPr>
          <w:lang w:val="en-US"/>
        </w:rPr>
        <w:t>.10/C.4/2018/3</w:t>
      </w:r>
      <w:r w:rsidR="005031BD">
        <w:rPr>
          <w:lang w:val="en-US"/>
        </w:rPr>
        <w:br/>
      </w:r>
      <w:r w:rsidR="005031BD" w:rsidRPr="005031BD">
        <w:rPr>
          <w:lang w:val="en-US"/>
        </w:rPr>
        <w:t>(CEFIC et EIGA) </w:t>
      </w:r>
      <w:r w:rsidRPr="005031BD">
        <w:rPr>
          <w:lang w:val="en-US"/>
        </w:rPr>
        <w:t>;</w:t>
      </w:r>
      <w:r w:rsidR="005031BD" w:rsidRPr="005031BD">
        <w:rPr>
          <w:lang w:val="en-US"/>
        </w:rPr>
        <w:br/>
      </w:r>
      <w:r w:rsidRPr="000A1E00">
        <w:rPr>
          <w:lang w:val="en-US"/>
        </w:rPr>
        <w:t>ST/SG/AC.10/C.3/2018/60</w:t>
      </w:r>
      <w:r w:rsidR="005C5878">
        <w:rPr>
          <w:lang w:val="en-US"/>
        </w:rPr>
        <w:t>-</w:t>
      </w:r>
      <w:r w:rsidRPr="000A1E00">
        <w:rPr>
          <w:lang w:val="en-US"/>
        </w:rPr>
        <w:t>ST/SG/AC.10/C.4/2018/11 (FEA)</w:t>
      </w:r>
    </w:p>
    <w:p w:rsidR="00286BDC" w:rsidRPr="000A1E00" w:rsidRDefault="00286BDC" w:rsidP="005031BD">
      <w:pPr>
        <w:pStyle w:val="SingleTxtG"/>
        <w:tabs>
          <w:tab w:val="left" w:pos="3119"/>
        </w:tabs>
        <w:rPr>
          <w:lang w:val="fr-FR"/>
        </w:rPr>
      </w:pPr>
      <w:r w:rsidRPr="000A1E00">
        <w:rPr>
          <w:i/>
          <w:iCs/>
          <w:lang w:val="fr-FR"/>
        </w:rPr>
        <w:t>Document informel</w:t>
      </w:r>
      <w:r w:rsidR="005031BD">
        <w:rPr>
          <w:i/>
          <w:iCs/>
          <w:lang w:val="fr-FR"/>
        </w:rPr>
        <w:t> </w:t>
      </w:r>
      <w:r w:rsidRPr="005031BD">
        <w:rPr>
          <w:iCs/>
          <w:lang w:val="fr-FR"/>
        </w:rPr>
        <w:t>:</w:t>
      </w:r>
      <w:r w:rsidRPr="000A1E00">
        <w:rPr>
          <w:lang w:val="fr-FR"/>
        </w:rPr>
        <w:tab/>
        <w:t>TDG/INF.51</w:t>
      </w:r>
      <w:r w:rsidR="005C5878">
        <w:rPr>
          <w:b/>
          <w:bCs/>
          <w:lang w:val="fr-FR"/>
        </w:rPr>
        <w:t>-</w:t>
      </w:r>
      <w:r w:rsidRPr="000A1E00">
        <w:rPr>
          <w:lang w:val="fr-FR"/>
        </w:rPr>
        <w:t>GHS/INF.17 (Allemagne)</w:t>
      </w:r>
      <w:r w:rsidR="005031BD">
        <w:rPr>
          <w:lang w:val="fr-FR"/>
        </w:rPr>
        <w:t>.</w:t>
      </w:r>
    </w:p>
    <w:p w:rsidR="00286BDC" w:rsidRPr="000A1E00" w:rsidRDefault="00286BDC" w:rsidP="005031BD">
      <w:pPr>
        <w:pStyle w:val="SingleTxtG"/>
        <w:rPr>
          <w:lang w:val="fr-FR"/>
        </w:rPr>
      </w:pPr>
      <w:r w:rsidRPr="000A1E00">
        <w:rPr>
          <w:lang w:val="fr-FR"/>
        </w:rPr>
        <w:t>168.</w:t>
      </w:r>
      <w:r w:rsidRPr="000A1E00">
        <w:rPr>
          <w:lang w:val="fr-FR"/>
        </w:rPr>
        <w:tab/>
        <w:t>Les experts ont dans l</w:t>
      </w:r>
      <w:r w:rsidR="000A1E00">
        <w:rPr>
          <w:lang w:val="fr-FR"/>
        </w:rPr>
        <w:t>’</w:t>
      </w:r>
      <w:r w:rsidRPr="000A1E00">
        <w:rPr>
          <w:lang w:val="fr-FR"/>
        </w:rPr>
        <w:t>ensemble appuyé la proposition visant à ajouter des dispositions concernant les produits chimiques sous pression dans le SGH, telle que modifiée p</w:t>
      </w:r>
      <w:r w:rsidR="005031BD">
        <w:rPr>
          <w:lang w:val="fr-FR"/>
        </w:rPr>
        <w:t>ar le document informel INF.51.</w:t>
      </w:r>
    </w:p>
    <w:p w:rsidR="00286BDC" w:rsidRPr="000A1E00" w:rsidRDefault="00286BDC" w:rsidP="005031BD">
      <w:pPr>
        <w:pStyle w:val="SingleTxtG"/>
        <w:rPr>
          <w:lang w:val="fr-FR"/>
        </w:rPr>
      </w:pPr>
      <w:r w:rsidRPr="000A1E00">
        <w:rPr>
          <w:lang w:val="fr-FR"/>
        </w:rPr>
        <w:t>169.</w:t>
      </w:r>
      <w:r w:rsidRPr="000A1E00">
        <w:rPr>
          <w:lang w:val="fr-FR"/>
        </w:rPr>
        <w:tab/>
        <w:t>Quelques experts ont mis en ques</w:t>
      </w:r>
      <w:r w:rsidR="005031BD">
        <w:rPr>
          <w:lang w:val="fr-FR"/>
        </w:rPr>
        <w:t>tion la valeur seuil fixée à 50 </w:t>
      </w:r>
      <w:r w:rsidRPr="000A1E00">
        <w:rPr>
          <w:lang w:val="fr-FR"/>
        </w:rPr>
        <w:t>% et ont fait observer qu</w:t>
      </w:r>
      <w:r w:rsidR="000A1E00">
        <w:rPr>
          <w:lang w:val="fr-FR"/>
        </w:rPr>
        <w:t>’</w:t>
      </w:r>
      <w:r w:rsidRPr="000A1E00">
        <w:rPr>
          <w:lang w:val="fr-FR"/>
        </w:rPr>
        <w:t>elle n</w:t>
      </w:r>
      <w:r w:rsidR="000A1E00">
        <w:rPr>
          <w:lang w:val="fr-FR"/>
        </w:rPr>
        <w:t>’</w:t>
      </w:r>
      <w:r w:rsidRPr="000A1E00">
        <w:rPr>
          <w:lang w:val="fr-FR"/>
        </w:rPr>
        <w:t>était pas mentionnée dans la disposition spéciale 362 du Règlement type. Le représentant de l</w:t>
      </w:r>
      <w:r w:rsidR="000A1E00">
        <w:rPr>
          <w:lang w:val="fr-FR"/>
        </w:rPr>
        <w:t>’</w:t>
      </w:r>
      <w:r w:rsidRPr="000A1E00">
        <w:rPr>
          <w:lang w:val="fr-FR"/>
        </w:rPr>
        <w:t>EIGA a expliqué qu</w:t>
      </w:r>
      <w:r w:rsidR="000A1E00">
        <w:rPr>
          <w:lang w:val="fr-FR"/>
        </w:rPr>
        <w:t>’</w:t>
      </w:r>
      <w:r w:rsidRPr="000A1E00">
        <w:rPr>
          <w:lang w:val="fr-FR"/>
        </w:rPr>
        <w:t>il n</w:t>
      </w:r>
      <w:r w:rsidR="000A1E00">
        <w:rPr>
          <w:lang w:val="fr-FR"/>
        </w:rPr>
        <w:t>’</w:t>
      </w:r>
      <w:r w:rsidRPr="000A1E00">
        <w:rPr>
          <w:lang w:val="fr-FR"/>
        </w:rPr>
        <w:t>existait pour l</w:t>
      </w:r>
      <w:r w:rsidR="000A1E00">
        <w:rPr>
          <w:lang w:val="fr-FR"/>
        </w:rPr>
        <w:t>’</w:t>
      </w:r>
      <w:r w:rsidRPr="000A1E00">
        <w:rPr>
          <w:lang w:val="fr-FR"/>
        </w:rPr>
        <w:t>heure aucun critère précis permettant de déterminer ce qui pouvait être considéré comme un mélange gazeux et un produit chimique sous pression, et a indiqué qu</w:t>
      </w:r>
      <w:r w:rsidR="000A1E00">
        <w:rPr>
          <w:lang w:val="fr-FR"/>
        </w:rPr>
        <w:t>’</w:t>
      </w:r>
      <w:r w:rsidRPr="000A1E00">
        <w:rPr>
          <w:lang w:val="fr-FR"/>
        </w:rPr>
        <w:t>une valeur seuil harmonisée de 50</w:t>
      </w:r>
      <w:r w:rsidR="005031BD">
        <w:rPr>
          <w:lang w:val="fr-FR"/>
        </w:rPr>
        <w:t> </w:t>
      </w:r>
      <w:r w:rsidRPr="000A1E00">
        <w:rPr>
          <w:lang w:val="fr-FR"/>
        </w:rPr>
        <w:t>% était acceptable pour l</w:t>
      </w:r>
      <w:r w:rsidR="000A1E00">
        <w:rPr>
          <w:lang w:val="fr-FR"/>
        </w:rPr>
        <w:t>’</w:t>
      </w:r>
      <w:r w:rsidRPr="000A1E00">
        <w:rPr>
          <w:lang w:val="fr-FR"/>
        </w:rPr>
        <w:t>industrie à cet égard. Il s</w:t>
      </w:r>
      <w:r w:rsidR="000A1E00">
        <w:rPr>
          <w:lang w:val="fr-FR"/>
        </w:rPr>
        <w:t>’</w:t>
      </w:r>
      <w:r w:rsidRPr="000A1E00">
        <w:rPr>
          <w:lang w:val="fr-FR"/>
        </w:rPr>
        <w:t>est proposé pour présenter une proposition d</w:t>
      </w:r>
      <w:r w:rsidR="000A1E00">
        <w:rPr>
          <w:lang w:val="fr-FR"/>
        </w:rPr>
        <w:t>’</w:t>
      </w:r>
      <w:r w:rsidRPr="000A1E00">
        <w:rPr>
          <w:lang w:val="fr-FR"/>
        </w:rPr>
        <w:t>amendement à la disposition spéciale 362 afin de l</w:t>
      </w:r>
      <w:r w:rsidR="000A1E00">
        <w:rPr>
          <w:lang w:val="fr-FR"/>
        </w:rPr>
        <w:t>’</w:t>
      </w:r>
      <w:r w:rsidRPr="000A1E00">
        <w:rPr>
          <w:lang w:val="fr-FR"/>
        </w:rPr>
        <w:t>aligner sur les critères qu</w:t>
      </w:r>
      <w:r w:rsidR="000A1E00">
        <w:rPr>
          <w:lang w:val="fr-FR"/>
        </w:rPr>
        <w:t>’</w:t>
      </w:r>
      <w:r w:rsidRPr="000A1E00">
        <w:rPr>
          <w:lang w:val="fr-FR"/>
        </w:rPr>
        <w:t>il était proposé d</w:t>
      </w:r>
      <w:r w:rsidR="000A1E00">
        <w:rPr>
          <w:lang w:val="fr-FR"/>
        </w:rPr>
        <w:t>’</w:t>
      </w:r>
      <w:r w:rsidRPr="000A1E00">
        <w:rPr>
          <w:lang w:val="fr-FR"/>
        </w:rPr>
        <w:t>ajouter au SGH, le cas échéant. Il a également souligné que l</w:t>
      </w:r>
      <w:r w:rsidR="000A1E00">
        <w:rPr>
          <w:lang w:val="fr-FR"/>
        </w:rPr>
        <w:t>’</w:t>
      </w:r>
      <w:r w:rsidRPr="000A1E00">
        <w:rPr>
          <w:lang w:val="fr-FR"/>
        </w:rPr>
        <w:t>ajout de ces critères permettrait d</w:t>
      </w:r>
      <w:r w:rsidR="000A1E00">
        <w:rPr>
          <w:lang w:val="fr-FR"/>
        </w:rPr>
        <w:t>’</w:t>
      </w:r>
      <w:r w:rsidRPr="000A1E00">
        <w:rPr>
          <w:lang w:val="fr-FR"/>
        </w:rPr>
        <w:t>obtenir une classification fondée sur les dangers pouvant exister tant lors d</w:t>
      </w:r>
      <w:r w:rsidR="000A1E00">
        <w:rPr>
          <w:lang w:val="fr-FR"/>
        </w:rPr>
        <w:t>’</w:t>
      </w:r>
      <w:r w:rsidRPr="000A1E00">
        <w:rPr>
          <w:lang w:val="fr-FR"/>
        </w:rPr>
        <w:t>une utilisation normale du produit qu</w:t>
      </w:r>
      <w:r w:rsidR="000A1E00">
        <w:rPr>
          <w:lang w:val="fr-FR"/>
        </w:rPr>
        <w:t>’</w:t>
      </w:r>
      <w:r w:rsidRPr="000A1E00">
        <w:rPr>
          <w:lang w:val="fr-FR"/>
        </w:rPr>
        <w:t>en cas de déversement accidentel.</w:t>
      </w:r>
    </w:p>
    <w:p w:rsidR="00286BDC" w:rsidRPr="000A1E00" w:rsidRDefault="00286BDC" w:rsidP="00286BDC">
      <w:pPr>
        <w:pStyle w:val="SingleTxtG"/>
        <w:rPr>
          <w:lang w:val="fr-FR"/>
        </w:rPr>
      </w:pPr>
      <w:r w:rsidRPr="000A1E00">
        <w:rPr>
          <w:lang w:val="fr-FR"/>
        </w:rPr>
        <w:t>170.</w:t>
      </w:r>
      <w:r w:rsidRPr="000A1E00">
        <w:rPr>
          <w:lang w:val="fr-FR"/>
        </w:rPr>
        <w:tab/>
        <w:t>D</w:t>
      </w:r>
      <w:r w:rsidR="000A1E00">
        <w:rPr>
          <w:lang w:val="fr-FR"/>
        </w:rPr>
        <w:t>’</w:t>
      </w:r>
      <w:r w:rsidRPr="000A1E00">
        <w:rPr>
          <w:lang w:val="fr-FR"/>
        </w:rPr>
        <w:t xml:space="preserve">autres experts ont fait observer que des méthodes de classification différentes étaient proposées pour le secteur des transports et pour les autres secteurs, et se sont dits préoccupés par les problèmes que cela pourrait engendrer (par exemple, un produit chimique pourrait être classé de manière différente en fonction du secteur). Ils ont invité les auteurs de la proposition à indiquer clairement les différences entre ces deux méthodes afin de permettre aux sous-comités de déterminer si ces divergences sont justifiées ou si une plus grande harmonisation entre les secteurs est nécessaire. Il a également été suggéré de faire figurer la définition de </w:t>
      </w:r>
      <w:r w:rsidR="002016B9">
        <w:rPr>
          <w:lang w:val="fr-FR"/>
        </w:rPr>
        <w:t>« </w:t>
      </w:r>
      <w:r w:rsidRPr="000A1E00">
        <w:rPr>
          <w:lang w:val="fr-FR"/>
        </w:rPr>
        <w:t>produit chimique sous pression</w:t>
      </w:r>
      <w:r w:rsidR="002016B9">
        <w:rPr>
          <w:lang w:val="fr-FR"/>
        </w:rPr>
        <w:t> »</w:t>
      </w:r>
      <w:r w:rsidRPr="000A1E00">
        <w:rPr>
          <w:lang w:val="fr-FR"/>
        </w:rPr>
        <w:t xml:space="preserve"> proposée pour le SGH dans le Règlement type. </w:t>
      </w:r>
    </w:p>
    <w:p w:rsidR="00286BDC" w:rsidRPr="000A1E00" w:rsidRDefault="00286BDC" w:rsidP="00286BDC">
      <w:pPr>
        <w:pStyle w:val="SingleTxtG"/>
        <w:rPr>
          <w:lang w:val="fr-FR"/>
        </w:rPr>
      </w:pPr>
      <w:r w:rsidRPr="000A1E00">
        <w:rPr>
          <w:lang w:val="fr-FR"/>
        </w:rPr>
        <w:t>171.</w:t>
      </w:r>
      <w:r w:rsidRPr="000A1E00">
        <w:rPr>
          <w:lang w:val="fr-FR"/>
        </w:rPr>
        <w:tab/>
        <w:t>Le représentant de l</w:t>
      </w:r>
      <w:r w:rsidR="000A1E00">
        <w:rPr>
          <w:lang w:val="fr-FR"/>
        </w:rPr>
        <w:t>’</w:t>
      </w:r>
      <w:r w:rsidRPr="000A1E00">
        <w:rPr>
          <w:lang w:val="fr-FR"/>
        </w:rPr>
        <w:t>EIGA a dit que le CEFIC et l</w:t>
      </w:r>
      <w:r w:rsidR="000A1E00">
        <w:rPr>
          <w:lang w:val="fr-FR"/>
        </w:rPr>
        <w:t>’</w:t>
      </w:r>
      <w:r w:rsidRPr="000A1E00">
        <w:rPr>
          <w:lang w:val="fr-FR"/>
        </w:rPr>
        <w:t>EIGA dirigeraient un groupe de travail intersessions informel qui serait chargé de réviser la proposition à la lumière des observations formulées et de soumettre un nouveau document pour examen par les deux sous-comités à la prochaine</w:t>
      </w:r>
      <w:r w:rsidR="005C5878">
        <w:rPr>
          <w:lang w:val="fr-FR"/>
        </w:rPr>
        <w:t xml:space="preserve"> session. Les experts des Sous-C</w:t>
      </w:r>
      <w:r w:rsidRPr="000A1E00">
        <w:rPr>
          <w:lang w:val="fr-FR"/>
        </w:rPr>
        <w:t>omité TMD et SGH intéressés par ces travaux ont été invités à contacter les représentants de l</w:t>
      </w:r>
      <w:r w:rsidR="000A1E00">
        <w:rPr>
          <w:lang w:val="fr-FR"/>
        </w:rPr>
        <w:t>’</w:t>
      </w:r>
      <w:r w:rsidRPr="000A1E00">
        <w:rPr>
          <w:lang w:val="fr-FR"/>
        </w:rPr>
        <w:t>EIGA (M.</w:t>
      </w:r>
      <w:r w:rsidR="005031BD">
        <w:rPr>
          <w:lang w:val="fr-FR"/>
        </w:rPr>
        <w:t> </w:t>
      </w:r>
      <w:r w:rsidRPr="000A1E00">
        <w:rPr>
          <w:lang w:val="fr-FR"/>
        </w:rPr>
        <w:t>Pierre Wolfs) ou du CEFIC (</w:t>
      </w:r>
      <w:r w:rsidR="005031BD" w:rsidRPr="005031BD">
        <w:rPr>
          <w:lang w:val="fr-FR"/>
        </w:rPr>
        <w:t>M</w:t>
      </w:r>
      <w:r w:rsidR="005031BD" w:rsidRPr="005031BD">
        <w:rPr>
          <w:vertAlign w:val="superscript"/>
          <w:lang w:val="fr-FR"/>
        </w:rPr>
        <w:t>me</w:t>
      </w:r>
      <w:r w:rsidR="005031BD" w:rsidRPr="005031BD">
        <w:rPr>
          <w:lang w:val="fr-FR"/>
        </w:rPr>
        <w:t> </w:t>
      </w:r>
      <w:r w:rsidRPr="000A1E00">
        <w:rPr>
          <w:lang w:val="fr-FR"/>
        </w:rPr>
        <w:t xml:space="preserve">Eva Kessler). </w:t>
      </w:r>
    </w:p>
    <w:p w:rsidR="00286BDC" w:rsidRPr="000A1E00" w:rsidRDefault="00286BDC" w:rsidP="005031BD">
      <w:pPr>
        <w:pStyle w:val="SingleTxtG"/>
        <w:rPr>
          <w:lang w:val="fr-FR"/>
        </w:rPr>
      </w:pPr>
      <w:r w:rsidRPr="000A1E00">
        <w:rPr>
          <w:lang w:val="fr-FR"/>
        </w:rPr>
        <w:t>172.</w:t>
      </w:r>
      <w:r w:rsidRPr="000A1E00">
        <w:rPr>
          <w:lang w:val="fr-FR"/>
        </w:rPr>
        <w:tab/>
        <w:t>Il a été indiqué que les propositions concernant les amendements corollaires au chapitre 2.3 du SGH devraient être examinées à la trente-cinquième session du Sous-Comité SGH</w:t>
      </w:r>
      <w:r w:rsidR="005031BD">
        <w:rPr>
          <w:lang w:val="fr-FR"/>
        </w:rPr>
        <w:t xml:space="preserve"> (voir ST/SG/AC.10/C.4/70, par. </w:t>
      </w:r>
      <w:r w:rsidRPr="000A1E00">
        <w:rPr>
          <w:lang w:val="fr-FR"/>
        </w:rPr>
        <w:t>13 et 14).</w:t>
      </w:r>
    </w:p>
    <w:p w:rsidR="00286BDC" w:rsidRPr="000A1E00" w:rsidRDefault="00286BDC" w:rsidP="005031BD">
      <w:pPr>
        <w:pStyle w:val="H23G"/>
        <w:rPr>
          <w:lang w:val="fr-FR"/>
        </w:rPr>
      </w:pPr>
      <w:r w:rsidRPr="000A1E00">
        <w:rPr>
          <w:lang w:val="fr-FR"/>
        </w:rPr>
        <w:tab/>
        <w:t>5.</w:t>
      </w:r>
      <w:r w:rsidRPr="000A1E00">
        <w:rPr>
          <w:lang w:val="fr-FR"/>
        </w:rPr>
        <w:tab/>
        <w:t>Classement des dangers physiques selon le SGH</w:t>
      </w:r>
    </w:p>
    <w:p w:rsidR="00286BDC" w:rsidRPr="000A1E00" w:rsidRDefault="005031BD" w:rsidP="005031BD">
      <w:pPr>
        <w:pStyle w:val="SingleTxtG"/>
        <w:tabs>
          <w:tab w:val="left" w:pos="3119"/>
        </w:tabs>
        <w:rPr>
          <w:lang w:val="fr-FR"/>
        </w:rPr>
      </w:pPr>
      <w:r>
        <w:rPr>
          <w:i/>
          <w:iCs/>
          <w:lang w:val="fr-FR"/>
        </w:rPr>
        <w:t>Document informel </w:t>
      </w:r>
      <w:r w:rsidR="00286BDC" w:rsidRPr="005031BD">
        <w:rPr>
          <w:iCs/>
          <w:lang w:val="fr-FR"/>
        </w:rPr>
        <w:t>:</w:t>
      </w:r>
      <w:r w:rsidR="00286BDC" w:rsidRPr="000A1E00">
        <w:rPr>
          <w:lang w:val="fr-FR"/>
        </w:rPr>
        <w:tab/>
        <w:t>TDG/INF.20</w:t>
      </w:r>
      <w:r w:rsidR="005C5878">
        <w:rPr>
          <w:lang w:val="fr-FR"/>
        </w:rPr>
        <w:t>-</w:t>
      </w:r>
      <w:r w:rsidR="00286BDC" w:rsidRPr="000A1E00">
        <w:rPr>
          <w:lang w:val="fr-FR"/>
        </w:rPr>
        <w:t>GHS/INF.13 (Allemagne)</w:t>
      </w:r>
      <w:r>
        <w:rPr>
          <w:lang w:val="fr-FR"/>
        </w:rPr>
        <w:t>.</w:t>
      </w:r>
    </w:p>
    <w:p w:rsidR="00286BDC" w:rsidRPr="000A1E00" w:rsidRDefault="00286BDC" w:rsidP="005031BD">
      <w:pPr>
        <w:pStyle w:val="SingleTxtG"/>
        <w:rPr>
          <w:lang w:val="fr-FR"/>
        </w:rPr>
      </w:pPr>
      <w:r w:rsidRPr="000A1E00">
        <w:rPr>
          <w:lang w:val="fr-FR"/>
        </w:rPr>
        <w:t>173.</w:t>
      </w:r>
      <w:r w:rsidRPr="000A1E00">
        <w:rPr>
          <w:lang w:val="fr-FR"/>
        </w:rPr>
        <w:tab/>
        <w:t>Les experts se sont déclarés en faveur de l</w:t>
      </w:r>
      <w:r w:rsidR="000A1E00">
        <w:rPr>
          <w:lang w:val="fr-FR"/>
        </w:rPr>
        <w:t>’</w:t>
      </w:r>
      <w:r w:rsidRPr="000A1E00">
        <w:rPr>
          <w:lang w:val="fr-FR"/>
        </w:rPr>
        <w:t>élaboration de dire</w:t>
      </w:r>
      <w:r w:rsidR="005031BD">
        <w:rPr>
          <w:lang w:val="fr-FR"/>
        </w:rPr>
        <w:t>ctives dans le contexte du SGH.</w:t>
      </w:r>
    </w:p>
    <w:p w:rsidR="00286BDC" w:rsidRPr="000A1E00" w:rsidRDefault="00286BDC" w:rsidP="005031BD">
      <w:pPr>
        <w:pStyle w:val="SingleTxtG"/>
        <w:rPr>
          <w:lang w:val="fr-FR"/>
        </w:rPr>
      </w:pPr>
      <w:r w:rsidRPr="000A1E00">
        <w:rPr>
          <w:lang w:val="fr-FR"/>
        </w:rPr>
        <w:t>174.</w:t>
      </w:r>
      <w:r w:rsidRPr="000A1E00">
        <w:rPr>
          <w:lang w:val="fr-FR"/>
        </w:rPr>
        <w:tab/>
        <w:t>Certains experts ont estimé que, si des directives devaient être mises au point, il convenait d</w:t>
      </w:r>
      <w:r w:rsidR="000A1E00">
        <w:rPr>
          <w:lang w:val="fr-FR"/>
        </w:rPr>
        <w:t>’</w:t>
      </w:r>
      <w:r w:rsidRPr="000A1E00">
        <w:rPr>
          <w:lang w:val="fr-FR"/>
        </w:rPr>
        <w:t>en établir plus clairement la nécessité et d</w:t>
      </w:r>
      <w:r w:rsidR="000A1E00">
        <w:rPr>
          <w:lang w:val="fr-FR"/>
        </w:rPr>
        <w:t>’</w:t>
      </w:r>
      <w:r w:rsidRPr="000A1E00">
        <w:rPr>
          <w:lang w:val="fr-FR"/>
        </w:rPr>
        <w:t>en préciser davantage la portée. D</w:t>
      </w:r>
      <w:r w:rsidR="000A1E00">
        <w:rPr>
          <w:lang w:val="fr-FR"/>
        </w:rPr>
        <w:t>’</w:t>
      </w:r>
      <w:r w:rsidRPr="000A1E00">
        <w:rPr>
          <w:lang w:val="fr-FR"/>
        </w:rPr>
        <w:t>autres ont relevé que certaines des combinaisons considérées comme «</w:t>
      </w:r>
      <w:r w:rsidR="005031BD">
        <w:rPr>
          <w:lang w:val="fr-FR"/>
        </w:rPr>
        <w:t> </w:t>
      </w:r>
      <w:r w:rsidRPr="000A1E00">
        <w:rPr>
          <w:lang w:val="fr-FR"/>
        </w:rPr>
        <w:t>impossibles</w:t>
      </w:r>
      <w:r w:rsidR="005031BD">
        <w:rPr>
          <w:lang w:val="fr-FR"/>
        </w:rPr>
        <w:t> </w:t>
      </w:r>
      <w:r w:rsidRPr="000A1E00">
        <w:rPr>
          <w:lang w:val="fr-FR"/>
        </w:rPr>
        <w:t xml:space="preserve">» étaient couvertes dans les règlements de transport, telles que les matières solides comburantes inflammables (relevant du </w:t>
      </w:r>
      <w:r w:rsidR="005031BD">
        <w:rPr>
          <w:lang w:val="fr-FR"/>
        </w:rPr>
        <w:t>No </w:t>
      </w:r>
      <w:r w:rsidRPr="000A1E00">
        <w:rPr>
          <w:lang w:val="fr-FR"/>
        </w:rPr>
        <w:t>ONU 3097), et ont estimé que toutes les combinaisons possibles devaient être soigneusement examinées de manière individuelle afin de veiller à ce qu</w:t>
      </w:r>
      <w:r w:rsidR="000A1E00">
        <w:rPr>
          <w:lang w:val="fr-FR"/>
        </w:rPr>
        <w:t>’</w:t>
      </w:r>
      <w:r w:rsidRPr="000A1E00">
        <w:rPr>
          <w:lang w:val="fr-FR"/>
        </w:rPr>
        <w:t>il n</w:t>
      </w:r>
      <w:r w:rsidR="000A1E00">
        <w:rPr>
          <w:lang w:val="fr-FR"/>
        </w:rPr>
        <w:t>’</w:t>
      </w:r>
      <w:r w:rsidRPr="000A1E00">
        <w:rPr>
          <w:lang w:val="fr-FR"/>
        </w:rPr>
        <w:t>y ait pas de contradiction avec les règlements sur le transport des marchandises dangereuses. Il a été souligné que les combinaisons de dangers étaient traitées de manière différente dans les règlements de transport et dans le SGH. En effet, si le SGH n</w:t>
      </w:r>
      <w:r w:rsidR="000A1E00">
        <w:rPr>
          <w:lang w:val="fr-FR"/>
        </w:rPr>
        <w:t>’</w:t>
      </w:r>
      <w:r w:rsidRPr="000A1E00">
        <w:rPr>
          <w:lang w:val="fr-FR"/>
        </w:rPr>
        <w:t>établit pas d</w:t>
      </w:r>
      <w:r w:rsidR="000A1E00">
        <w:rPr>
          <w:lang w:val="fr-FR"/>
        </w:rPr>
        <w:t>’</w:t>
      </w:r>
      <w:r w:rsidRPr="000A1E00">
        <w:rPr>
          <w:lang w:val="fr-FR"/>
        </w:rPr>
        <w:t>ordre de prépondérance des caractéristiques de danger, le Règlement type prévoit une distinction entre les principales caractéristiques de danger et les risques subsidiaires (chap</w:t>
      </w:r>
      <w:r w:rsidR="005031BD">
        <w:rPr>
          <w:lang w:val="fr-FR"/>
        </w:rPr>
        <w:t>. </w:t>
      </w:r>
      <w:r w:rsidRPr="000A1E00">
        <w:rPr>
          <w:lang w:val="fr-FR"/>
        </w:rPr>
        <w:t>2.0, par</w:t>
      </w:r>
      <w:r w:rsidR="005031BD">
        <w:rPr>
          <w:lang w:val="fr-FR"/>
        </w:rPr>
        <w:t>. </w:t>
      </w:r>
      <w:r w:rsidRPr="000A1E00">
        <w:rPr>
          <w:lang w:val="fr-FR"/>
        </w:rPr>
        <w:t>2.0.3). L</w:t>
      </w:r>
      <w:r w:rsidR="000A1E00">
        <w:rPr>
          <w:lang w:val="fr-FR"/>
        </w:rPr>
        <w:t>’</w:t>
      </w:r>
      <w:r w:rsidRPr="000A1E00">
        <w:rPr>
          <w:lang w:val="fr-FR"/>
        </w:rPr>
        <w:t>expert de l</w:t>
      </w:r>
      <w:r w:rsidR="000A1E00">
        <w:rPr>
          <w:lang w:val="fr-FR"/>
        </w:rPr>
        <w:t>’</w:t>
      </w:r>
      <w:r w:rsidRPr="000A1E00">
        <w:rPr>
          <w:lang w:val="fr-FR"/>
        </w:rPr>
        <w:t>Allemagne a expliqué que les combinaisons indiquées dans le document informel INF.20 avaient un objectif différent et pouvaient être utilisées pour repérer les dangers redondants du point de vue de la classification, de la communication des dangers ou des épreuves (par exemple, certaines épreuves visant à évaluer un danger pourraient ne pas être appropriées en raison d</w:t>
      </w:r>
      <w:r w:rsidR="000A1E00">
        <w:rPr>
          <w:lang w:val="fr-FR"/>
        </w:rPr>
        <w:t>’</w:t>
      </w:r>
      <w:r w:rsidRPr="000A1E00">
        <w:rPr>
          <w:lang w:val="fr-FR"/>
        </w:rPr>
        <w:t>autres propriétés dangereuses des produits chimiques).</w:t>
      </w:r>
    </w:p>
    <w:p w:rsidR="00286BDC" w:rsidRPr="000A1E00" w:rsidRDefault="00286BDC" w:rsidP="005031BD">
      <w:pPr>
        <w:pStyle w:val="SingleTxtG"/>
        <w:rPr>
          <w:lang w:val="fr-FR"/>
        </w:rPr>
      </w:pPr>
      <w:r w:rsidRPr="000A1E00">
        <w:rPr>
          <w:lang w:val="fr-FR"/>
        </w:rPr>
        <w:t>175.</w:t>
      </w:r>
      <w:r w:rsidRPr="000A1E00">
        <w:rPr>
          <w:lang w:val="fr-FR"/>
        </w:rPr>
        <w:tab/>
        <w:t>Les sous-comités ont pris note de la proposition de l</w:t>
      </w:r>
      <w:r w:rsidR="000A1E00">
        <w:rPr>
          <w:lang w:val="fr-FR"/>
        </w:rPr>
        <w:t>’</w:t>
      </w:r>
      <w:r w:rsidRPr="000A1E00">
        <w:rPr>
          <w:lang w:val="fr-FR"/>
        </w:rPr>
        <w:t>Allemagne de diriger un groupe de travail informel intersessions chargé de poursuivre l</w:t>
      </w:r>
      <w:r w:rsidR="000A1E00">
        <w:rPr>
          <w:lang w:val="fr-FR"/>
        </w:rPr>
        <w:t>’</w:t>
      </w:r>
      <w:r w:rsidRPr="000A1E00">
        <w:rPr>
          <w:lang w:val="fr-FR"/>
        </w:rPr>
        <w:t>examen de cette question au cours du prochain exercice biennal, conformément aux tâches énumérées au paragraphe 4 du document. Aucune décision au sujet de la création du groupe de travail n</w:t>
      </w:r>
      <w:r w:rsidR="000A1E00">
        <w:rPr>
          <w:lang w:val="fr-FR"/>
        </w:rPr>
        <w:t>’</w:t>
      </w:r>
      <w:r w:rsidRPr="000A1E00">
        <w:rPr>
          <w:lang w:val="fr-FR"/>
        </w:rPr>
        <w:t xml:space="preserve">a été prise à ce stade. Il a été souligné que le Sous-Comité TMD devrait être associé à ces travaux, si ceux-ci étaient entrepris, en tant que coordonnateur SGH en ce qui concerne les dangers physiques. </w:t>
      </w:r>
    </w:p>
    <w:p w:rsidR="00286BDC" w:rsidRPr="000A1E00" w:rsidRDefault="00286BDC" w:rsidP="005031BD">
      <w:pPr>
        <w:pStyle w:val="H23G"/>
        <w:rPr>
          <w:lang w:val="fr-FR"/>
        </w:rPr>
      </w:pPr>
      <w:r w:rsidRPr="000A1E00">
        <w:rPr>
          <w:lang w:val="fr-FR"/>
        </w:rPr>
        <w:tab/>
        <w:t>6.</w:t>
      </w:r>
      <w:r w:rsidRPr="000A1E00">
        <w:rPr>
          <w:lang w:val="fr-FR"/>
        </w:rPr>
        <w:tab/>
        <w:t>Utilisation du Manuel d</w:t>
      </w:r>
      <w:r w:rsidR="000A1E00">
        <w:rPr>
          <w:lang w:val="fr-FR"/>
        </w:rPr>
        <w:t>’</w:t>
      </w:r>
      <w:r w:rsidRPr="000A1E00">
        <w:rPr>
          <w:lang w:val="fr-FR"/>
        </w:rPr>
        <w:t>épreuves et de critères dans le contexte du SGH</w:t>
      </w:r>
    </w:p>
    <w:p w:rsidR="00286BDC" w:rsidRPr="000A1E00" w:rsidRDefault="00EB0B1C" w:rsidP="005031BD">
      <w:pPr>
        <w:pStyle w:val="SingleTxtG"/>
        <w:ind w:left="3119" w:hanging="1985"/>
        <w:rPr>
          <w:lang w:val="fr-FR"/>
        </w:rPr>
      </w:pPr>
      <w:r>
        <w:rPr>
          <w:i/>
          <w:iCs/>
          <w:lang w:val="fr-FR"/>
        </w:rPr>
        <w:t>Document </w:t>
      </w:r>
      <w:r w:rsidR="00286BDC" w:rsidRPr="00EB0B1C">
        <w:rPr>
          <w:iCs/>
          <w:lang w:val="fr-FR"/>
        </w:rPr>
        <w:t>:</w:t>
      </w:r>
      <w:r w:rsidR="00286BDC" w:rsidRPr="000A1E00">
        <w:rPr>
          <w:lang w:val="fr-FR"/>
        </w:rPr>
        <w:tab/>
        <w:t>ST/SG/AC.10/C.3/2018/1</w:t>
      </w:r>
      <w:r w:rsidR="005C5878">
        <w:rPr>
          <w:lang w:val="fr-FR"/>
        </w:rPr>
        <w:t>-</w:t>
      </w:r>
      <w:r w:rsidR="00286BDC" w:rsidRPr="000A1E00">
        <w:rPr>
          <w:lang w:val="fr-FR"/>
        </w:rPr>
        <w:t xml:space="preserve">ST/SG/AC.10/C.4/2018/1 </w:t>
      </w:r>
      <w:r>
        <w:rPr>
          <w:lang w:val="fr-FR"/>
        </w:rPr>
        <w:br/>
      </w:r>
      <w:r w:rsidR="00286BDC" w:rsidRPr="000A1E00">
        <w:rPr>
          <w:lang w:val="fr-FR"/>
        </w:rPr>
        <w:t>(Président du Groupe de travail)</w:t>
      </w:r>
    </w:p>
    <w:p w:rsidR="00286BDC" w:rsidRPr="000A1E00" w:rsidRDefault="00286BDC" w:rsidP="00EB0B1C">
      <w:pPr>
        <w:pStyle w:val="SingleTxtG"/>
        <w:tabs>
          <w:tab w:val="left" w:pos="3119"/>
        </w:tabs>
        <w:rPr>
          <w:lang w:val="fr-FR"/>
        </w:rPr>
      </w:pPr>
      <w:r w:rsidRPr="000A1E00">
        <w:rPr>
          <w:i/>
          <w:iCs/>
          <w:lang w:val="fr-FR"/>
        </w:rPr>
        <w:t>Documents informels</w:t>
      </w:r>
      <w:r w:rsidR="00EB0B1C">
        <w:rPr>
          <w:i/>
          <w:iCs/>
          <w:lang w:val="fr-FR"/>
        </w:rPr>
        <w:t> </w:t>
      </w:r>
      <w:r w:rsidRPr="00EB0B1C">
        <w:rPr>
          <w:iCs/>
          <w:lang w:val="fr-FR"/>
        </w:rPr>
        <w:t>:</w:t>
      </w:r>
      <w:r w:rsidRPr="000A1E00">
        <w:rPr>
          <w:lang w:val="fr-FR"/>
        </w:rPr>
        <w:tab/>
        <w:t>INF.3, 4 et 5 (Président du Groupe de travail)</w:t>
      </w:r>
      <w:r w:rsidR="00EB0B1C">
        <w:rPr>
          <w:lang w:val="fr-FR"/>
        </w:rPr>
        <w:t>.</w:t>
      </w:r>
    </w:p>
    <w:p w:rsidR="00286BDC" w:rsidRPr="000A1E00" w:rsidRDefault="00286BDC" w:rsidP="00EB0B1C">
      <w:pPr>
        <w:pStyle w:val="SingleTxtG"/>
        <w:rPr>
          <w:lang w:val="fr-FR"/>
        </w:rPr>
      </w:pPr>
      <w:r w:rsidRPr="000A1E00">
        <w:rPr>
          <w:lang w:val="fr-FR"/>
        </w:rPr>
        <w:t>176.</w:t>
      </w:r>
      <w:r w:rsidRPr="000A1E00">
        <w:rPr>
          <w:lang w:val="fr-FR"/>
        </w:rPr>
        <w:tab/>
        <w:t>Les sous-comités ont noté que l</w:t>
      </w:r>
      <w:r w:rsidR="000A1E00">
        <w:rPr>
          <w:lang w:val="fr-FR"/>
        </w:rPr>
        <w:t>’</w:t>
      </w:r>
      <w:r w:rsidRPr="000A1E00">
        <w:rPr>
          <w:lang w:val="fr-FR"/>
        </w:rPr>
        <w:t>examen des sections 1 et 10 du Manuel d</w:t>
      </w:r>
      <w:r w:rsidR="000A1E00">
        <w:rPr>
          <w:lang w:val="fr-FR"/>
        </w:rPr>
        <w:t>’</w:t>
      </w:r>
      <w:r w:rsidRPr="000A1E00">
        <w:rPr>
          <w:lang w:val="fr-FR"/>
        </w:rPr>
        <w:t>épreuves et de critères avaient été achevé et que l</w:t>
      </w:r>
      <w:r w:rsidR="000A1E00">
        <w:rPr>
          <w:lang w:val="fr-FR"/>
        </w:rPr>
        <w:t>’</w:t>
      </w:r>
      <w:r w:rsidRPr="000A1E00">
        <w:rPr>
          <w:lang w:val="fr-FR"/>
        </w:rPr>
        <w:t>examen des sections restantes devrait être terminé avant la fin de l</w:t>
      </w:r>
      <w:r w:rsidR="000A1E00">
        <w:rPr>
          <w:lang w:val="fr-FR"/>
        </w:rPr>
        <w:t>’</w:t>
      </w:r>
      <w:r w:rsidRPr="000A1E00">
        <w:rPr>
          <w:lang w:val="fr-FR"/>
        </w:rPr>
        <w:t>exercice biennal (voir également les paragraphes 36 et 37).</w:t>
      </w:r>
    </w:p>
    <w:p w:rsidR="00286BDC" w:rsidRPr="000A1E00" w:rsidRDefault="00286BDC" w:rsidP="00EB0B1C">
      <w:pPr>
        <w:pStyle w:val="H1G"/>
        <w:rPr>
          <w:lang w:val="fr-FR"/>
        </w:rPr>
      </w:pPr>
      <w:r w:rsidRPr="000A1E00">
        <w:rPr>
          <w:lang w:val="fr-FR"/>
        </w:rPr>
        <w:tab/>
        <w:t>F.</w:t>
      </w:r>
      <w:r w:rsidRPr="000A1E00">
        <w:rPr>
          <w:lang w:val="fr-FR"/>
        </w:rPr>
        <w:tab/>
        <w:t>Divers</w:t>
      </w:r>
    </w:p>
    <w:p w:rsidR="00286BDC" w:rsidRPr="000A1E00" w:rsidRDefault="00286BDC" w:rsidP="00EB0B1C">
      <w:pPr>
        <w:pStyle w:val="SingleTxtG"/>
        <w:rPr>
          <w:lang w:val="fr-FR"/>
        </w:rPr>
      </w:pPr>
      <w:r w:rsidRPr="000A1E00">
        <w:rPr>
          <w:lang w:val="fr-FR"/>
        </w:rPr>
        <w:t>177.</w:t>
      </w:r>
      <w:r w:rsidRPr="000A1E00">
        <w:rPr>
          <w:lang w:val="fr-FR"/>
        </w:rPr>
        <w:tab/>
        <w:t>Aucun document n</w:t>
      </w:r>
      <w:r w:rsidR="000A1E00">
        <w:rPr>
          <w:lang w:val="fr-FR"/>
        </w:rPr>
        <w:t>’</w:t>
      </w:r>
      <w:r w:rsidRPr="000A1E00">
        <w:rPr>
          <w:lang w:val="fr-FR"/>
        </w:rPr>
        <w:t>ayant été soumis au titre de ce point de l</w:t>
      </w:r>
      <w:r w:rsidR="000A1E00">
        <w:rPr>
          <w:lang w:val="fr-FR"/>
        </w:rPr>
        <w:t>’</w:t>
      </w:r>
      <w:r w:rsidRPr="000A1E00">
        <w:rPr>
          <w:lang w:val="fr-FR"/>
        </w:rPr>
        <w:t>ordre du jour, cette question n</w:t>
      </w:r>
      <w:r w:rsidR="000A1E00">
        <w:rPr>
          <w:lang w:val="fr-FR"/>
        </w:rPr>
        <w:t>’</w:t>
      </w:r>
      <w:r w:rsidRPr="000A1E00">
        <w:rPr>
          <w:lang w:val="fr-FR"/>
        </w:rPr>
        <w:t>a pas été abordée.</w:t>
      </w:r>
    </w:p>
    <w:p w:rsidR="00286BDC" w:rsidRPr="000A1E00" w:rsidRDefault="00286BDC" w:rsidP="00EB0B1C">
      <w:pPr>
        <w:pStyle w:val="HChG"/>
        <w:rPr>
          <w:lang w:val="fr-FR"/>
        </w:rPr>
      </w:pPr>
      <w:r w:rsidRPr="000A1E00">
        <w:rPr>
          <w:lang w:val="fr-FR"/>
        </w:rPr>
        <w:tab/>
        <w:t>XIII.</w:t>
      </w:r>
      <w:r w:rsidRPr="000A1E00">
        <w:rPr>
          <w:lang w:val="fr-FR"/>
        </w:rPr>
        <w:tab/>
        <w:t>Questions diverses (point 11 de l</w:t>
      </w:r>
      <w:r w:rsidR="000A1E00">
        <w:rPr>
          <w:lang w:val="fr-FR"/>
        </w:rPr>
        <w:t>’</w:t>
      </w:r>
      <w:r w:rsidRPr="000A1E00">
        <w:rPr>
          <w:lang w:val="fr-FR"/>
        </w:rPr>
        <w:t>ordre du jour)</w:t>
      </w:r>
    </w:p>
    <w:p w:rsidR="00286BDC" w:rsidRPr="000A1E00" w:rsidRDefault="00286BDC" w:rsidP="00EB0B1C">
      <w:pPr>
        <w:pStyle w:val="H1G"/>
        <w:rPr>
          <w:lang w:val="fr-FR"/>
        </w:rPr>
      </w:pPr>
      <w:r w:rsidRPr="000A1E00">
        <w:rPr>
          <w:lang w:val="fr-FR"/>
        </w:rPr>
        <w:tab/>
        <w:t>A.</w:t>
      </w:r>
      <w:r w:rsidRPr="000A1E00">
        <w:rPr>
          <w:lang w:val="fr-FR"/>
        </w:rPr>
        <w:tab/>
        <w:t xml:space="preserve">Résultats de la quatre-vingt-dix-neuvième session du Comité </w:t>
      </w:r>
      <w:r w:rsidR="005C5878">
        <w:rPr>
          <w:lang w:val="fr-FR"/>
        </w:rPr>
        <w:br/>
      </w:r>
      <w:r w:rsidRPr="000A1E00">
        <w:rPr>
          <w:lang w:val="fr-FR"/>
        </w:rPr>
        <w:t>de la sécurité maritime de l</w:t>
      </w:r>
      <w:r w:rsidR="000A1E00">
        <w:rPr>
          <w:lang w:val="fr-FR"/>
        </w:rPr>
        <w:t>’</w:t>
      </w:r>
      <w:r w:rsidRPr="000A1E00">
        <w:rPr>
          <w:lang w:val="fr-FR"/>
        </w:rPr>
        <w:t>OMI</w:t>
      </w:r>
    </w:p>
    <w:p w:rsidR="00286BDC" w:rsidRPr="000A1E00" w:rsidRDefault="00286BDC" w:rsidP="00EB0B1C">
      <w:pPr>
        <w:pStyle w:val="SingleTxtG"/>
        <w:tabs>
          <w:tab w:val="left" w:pos="3119"/>
        </w:tabs>
        <w:rPr>
          <w:lang w:val="fr-FR"/>
        </w:rPr>
      </w:pPr>
      <w:r w:rsidRPr="00EB0B1C">
        <w:rPr>
          <w:i/>
          <w:lang w:val="fr-FR"/>
        </w:rPr>
        <w:t>Document informel</w:t>
      </w:r>
      <w:r w:rsidR="00EB0B1C">
        <w:rPr>
          <w:lang w:val="fr-FR"/>
        </w:rPr>
        <w:t> </w:t>
      </w:r>
      <w:r w:rsidRPr="000A1E00">
        <w:rPr>
          <w:lang w:val="fr-FR"/>
        </w:rPr>
        <w:t>:</w:t>
      </w:r>
      <w:r w:rsidRPr="000A1E00">
        <w:rPr>
          <w:lang w:val="fr-FR"/>
        </w:rPr>
        <w:tab/>
        <w:t>INF.58 (OMI)</w:t>
      </w:r>
      <w:r w:rsidR="00EB0B1C">
        <w:rPr>
          <w:lang w:val="fr-FR"/>
        </w:rPr>
        <w:t>.</w:t>
      </w:r>
    </w:p>
    <w:p w:rsidR="00286BDC" w:rsidRPr="000A1E00" w:rsidRDefault="00286BDC" w:rsidP="00EB0B1C">
      <w:pPr>
        <w:pStyle w:val="SingleTxtG"/>
        <w:rPr>
          <w:lang w:val="fr-FR"/>
        </w:rPr>
      </w:pPr>
      <w:bookmarkStart w:id="2" w:name="_Hlk517986746"/>
      <w:r w:rsidRPr="000A1E00">
        <w:rPr>
          <w:lang w:val="fr-FR"/>
        </w:rPr>
        <w:t>178.</w:t>
      </w:r>
      <w:r w:rsidRPr="000A1E00">
        <w:rPr>
          <w:lang w:val="fr-FR"/>
        </w:rPr>
        <w:tab/>
        <w:t>Le représentant de l</w:t>
      </w:r>
      <w:r w:rsidR="000A1E00">
        <w:rPr>
          <w:lang w:val="fr-FR"/>
        </w:rPr>
        <w:t>’</w:t>
      </w:r>
      <w:r w:rsidRPr="000A1E00">
        <w:rPr>
          <w:lang w:val="fr-FR"/>
        </w:rPr>
        <w:t>OMI s</w:t>
      </w:r>
      <w:r w:rsidR="000A1E00">
        <w:rPr>
          <w:lang w:val="fr-FR"/>
        </w:rPr>
        <w:t>’</w:t>
      </w:r>
      <w:r w:rsidRPr="000A1E00">
        <w:rPr>
          <w:lang w:val="fr-FR"/>
        </w:rPr>
        <w:t>est félicité des travaux menés sur les citernes en matière plastique renforcée de fibres. Il a expliqué que les travaux connexes inscrits à l</w:t>
      </w:r>
      <w:r w:rsidR="000A1E00">
        <w:rPr>
          <w:lang w:val="fr-FR"/>
        </w:rPr>
        <w:t>’</w:t>
      </w:r>
      <w:r w:rsidRPr="000A1E00">
        <w:rPr>
          <w:lang w:val="fr-FR"/>
        </w:rPr>
        <w:t>ordre du jour du Comité de la sécurité maritime étaient suspendus dans l</w:t>
      </w:r>
      <w:r w:rsidR="000A1E00">
        <w:rPr>
          <w:lang w:val="fr-FR"/>
        </w:rPr>
        <w:t>’</w:t>
      </w:r>
      <w:r w:rsidRPr="000A1E00">
        <w:rPr>
          <w:lang w:val="fr-FR"/>
        </w:rPr>
        <w:t>attente d</w:t>
      </w:r>
      <w:r w:rsidR="000A1E00">
        <w:rPr>
          <w:lang w:val="fr-FR"/>
        </w:rPr>
        <w:t>’</w:t>
      </w:r>
      <w:r w:rsidRPr="000A1E00">
        <w:rPr>
          <w:lang w:val="fr-FR"/>
        </w:rPr>
        <w:t>une décision du Sous-Comité du transport des marchandises dangereuses, en espérant que les travaux du Sous-Comité pourraient être achevés à temps de sorte que l</w:t>
      </w:r>
      <w:r w:rsidR="000A1E00">
        <w:rPr>
          <w:lang w:val="fr-FR"/>
        </w:rPr>
        <w:t>’</w:t>
      </w:r>
      <w:r w:rsidRPr="000A1E00">
        <w:rPr>
          <w:lang w:val="fr-FR"/>
        </w:rPr>
        <w:t>on puisse tenir compte des résultats dans le Code IMDG pour une entrée en vigueur à partir du 1</w:t>
      </w:r>
      <w:r w:rsidRPr="005C5878">
        <w:rPr>
          <w:vertAlign w:val="superscript"/>
          <w:lang w:val="fr-FR"/>
        </w:rPr>
        <w:t>er</w:t>
      </w:r>
      <w:r w:rsidR="005C5878">
        <w:rPr>
          <w:lang w:val="fr-FR"/>
        </w:rPr>
        <w:t> </w:t>
      </w:r>
      <w:r w:rsidRPr="000A1E00">
        <w:rPr>
          <w:lang w:val="fr-FR"/>
        </w:rPr>
        <w:t>janvier 2024 si possible. L</w:t>
      </w:r>
      <w:r w:rsidR="000A1E00">
        <w:rPr>
          <w:lang w:val="fr-FR"/>
        </w:rPr>
        <w:t>’</w:t>
      </w:r>
      <w:r w:rsidRPr="000A1E00">
        <w:rPr>
          <w:lang w:val="fr-FR"/>
        </w:rPr>
        <w:t>experte de l</w:t>
      </w:r>
      <w:r w:rsidR="000A1E00">
        <w:rPr>
          <w:lang w:val="fr-FR"/>
        </w:rPr>
        <w:t>’</w:t>
      </w:r>
      <w:r w:rsidRPr="000A1E00">
        <w:rPr>
          <w:lang w:val="fr-FR"/>
        </w:rPr>
        <w:t>Allemagne partageait l</w:t>
      </w:r>
      <w:r w:rsidR="000A1E00">
        <w:rPr>
          <w:lang w:val="fr-FR"/>
        </w:rPr>
        <w:t>’</w:t>
      </w:r>
      <w:r w:rsidRPr="000A1E00">
        <w:rPr>
          <w:lang w:val="fr-FR"/>
        </w:rPr>
        <w:t>avis du représentant de l</w:t>
      </w:r>
      <w:r w:rsidR="000A1E00">
        <w:rPr>
          <w:lang w:val="fr-FR"/>
        </w:rPr>
        <w:t>’</w:t>
      </w:r>
      <w:r w:rsidRPr="000A1E00">
        <w:rPr>
          <w:lang w:val="fr-FR"/>
        </w:rPr>
        <w:t>OMI quant à l</w:t>
      </w:r>
      <w:r w:rsidR="000A1E00">
        <w:rPr>
          <w:lang w:val="fr-FR"/>
        </w:rPr>
        <w:t>’</w:t>
      </w:r>
      <w:r w:rsidRPr="000A1E00">
        <w:rPr>
          <w:lang w:val="fr-FR"/>
        </w:rPr>
        <w:t>importance des travaux sur les citernes en matière plastique renforcée de fibres accomplis au niveau du Sous-Comité pour les besoins de l</w:t>
      </w:r>
      <w:r w:rsidR="000A1E00">
        <w:rPr>
          <w:lang w:val="fr-FR"/>
        </w:rPr>
        <w:t>’</w:t>
      </w:r>
      <w:r w:rsidRPr="000A1E00">
        <w:rPr>
          <w:lang w:val="fr-FR"/>
        </w:rPr>
        <w:t>harmonisation entre les différents modes de transport. À titre d</w:t>
      </w:r>
      <w:r w:rsidR="000A1E00">
        <w:rPr>
          <w:lang w:val="fr-FR"/>
        </w:rPr>
        <w:t>’</w:t>
      </w:r>
      <w:r w:rsidRPr="000A1E00">
        <w:rPr>
          <w:lang w:val="fr-FR"/>
        </w:rPr>
        <w:t>exemple, elle a fait remarquer que, vu que les prescriptions en matière d</w:t>
      </w:r>
      <w:r w:rsidR="000A1E00">
        <w:rPr>
          <w:lang w:val="fr-FR"/>
        </w:rPr>
        <w:t>’</w:t>
      </w:r>
      <w:r w:rsidRPr="000A1E00">
        <w:rPr>
          <w:lang w:val="fr-FR"/>
        </w:rPr>
        <w:t>épaisseur des parois en vigueur n</w:t>
      </w:r>
      <w:r w:rsidR="000A1E00">
        <w:rPr>
          <w:lang w:val="fr-FR"/>
        </w:rPr>
        <w:t>’</w:t>
      </w:r>
      <w:r w:rsidRPr="000A1E00">
        <w:rPr>
          <w:lang w:val="fr-FR"/>
        </w:rPr>
        <w:t>étaient applicables qu</w:t>
      </w:r>
      <w:r w:rsidR="000A1E00">
        <w:rPr>
          <w:lang w:val="fr-FR"/>
        </w:rPr>
        <w:t>’</w:t>
      </w:r>
      <w:r w:rsidRPr="000A1E00">
        <w:rPr>
          <w:lang w:val="fr-FR"/>
        </w:rPr>
        <w:t>aux citernes en métal pour le transport maritime, les citernes en matière plastique renforcée de fibres n</w:t>
      </w:r>
      <w:r w:rsidR="000A1E00">
        <w:rPr>
          <w:lang w:val="fr-FR"/>
        </w:rPr>
        <w:t>’</w:t>
      </w:r>
      <w:r w:rsidRPr="000A1E00">
        <w:rPr>
          <w:lang w:val="fr-FR"/>
        </w:rPr>
        <w:t>étaient pas approuvées en Allemagne alors qu</w:t>
      </w:r>
      <w:r w:rsidR="000A1E00">
        <w:rPr>
          <w:lang w:val="fr-FR"/>
        </w:rPr>
        <w:t>’</w:t>
      </w:r>
      <w:r w:rsidRPr="000A1E00">
        <w:rPr>
          <w:lang w:val="fr-FR"/>
        </w:rPr>
        <w:t>elles l</w:t>
      </w:r>
      <w:r w:rsidR="000A1E00">
        <w:rPr>
          <w:lang w:val="fr-FR"/>
        </w:rPr>
        <w:t>’</w:t>
      </w:r>
      <w:r w:rsidRPr="000A1E00">
        <w:rPr>
          <w:lang w:val="fr-FR"/>
        </w:rPr>
        <w:t>étaient dans d</w:t>
      </w:r>
      <w:r w:rsidR="000A1E00">
        <w:rPr>
          <w:lang w:val="fr-FR"/>
        </w:rPr>
        <w:t>’</w:t>
      </w:r>
      <w:r w:rsidR="00EB0B1C">
        <w:rPr>
          <w:lang w:val="fr-FR"/>
        </w:rPr>
        <w:t>autres pays.</w:t>
      </w:r>
    </w:p>
    <w:p w:rsidR="00286BDC" w:rsidRPr="000A1E00" w:rsidRDefault="00286BDC" w:rsidP="00EB0B1C">
      <w:pPr>
        <w:pStyle w:val="SingleTxtG"/>
        <w:rPr>
          <w:lang w:val="fr-FR"/>
        </w:rPr>
      </w:pPr>
      <w:r w:rsidRPr="000A1E00">
        <w:rPr>
          <w:lang w:val="fr-FR"/>
        </w:rPr>
        <w:t>179.</w:t>
      </w:r>
      <w:r w:rsidRPr="000A1E00">
        <w:rPr>
          <w:lang w:val="fr-FR"/>
        </w:rPr>
        <w:tab/>
        <w:t>Le représentant de l</w:t>
      </w:r>
      <w:r w:rsidR="000A1E00">
        <w:rPr>
          <w:lang w:val="fr-FR"/>
        </w:rPr>
        <w:t>’</w:t>
      </w:r>
      <w:r w:rsidRPr="000A1E00">
        <w:rPr>
          <w:lang w:val="fr-FR"/>
        </w:rPr>
        <w:t>OMI a par ailleurs informé le Sous-Comité d</w:t>
      </w:r>
      <w:r w:rsidR="000A1E00">
        <w:rPr>
          <w:lang w:val="fr-FR"/>
        </w:rPr>
        <w:t>’</w:t>
      </w:r>
      <w:r w:rsidRPr="000A1E00">
        <w:rPr>
          <w:lang w:val="fr-FR"/>
        </w:rPr>
        <w:t>une décision relative à des notes de bas de page prise par le Comité de la sécurité maritime de l</w:t>
      </w:r>
      <w:r w:rsidR="000A1E00">
        <w:rPr>
          <w:lang w:val="fr-FR"/>
        </w:rPr>
        <w:t>’</w:t>
      </w:r>
      <w:r w:rsidRPr="000A1E00">
        <w:rPr>
          <w:lang w:val="fr-FR"/>
        </w:rPr>
        <w:t>Organisation à sa quatre-vingt-dix-neuvième session. Les notes en question, introduites à des fins de référence uniquement, et qui ne faisaient pas partie des amendements adoptés, n</w:t>
      </w:r>
      <w:r w:rsidR="000A1E00">
        <w:rPr>
          <w:lang w:val="fr-FR"/>
        </w:rPr>
        <w:t>’</w:t>
      </w:r>
      <w:r w:rsidRPr="000A1E00">
        <w:rPr>
          <w:lang w:val="fr-FR"/>
        </w:rPr>
        <w:t>apparaîtraient pas dans le texte authentique des instruments obligatoires (tels que le Code IMDG). Le représentant a ajouté que, comme suite à cette décision, un examen complet de toutes les notes de bas de page du Code IMDG aurait lieu l</w:t>
      </w:r>
      <w:r w:rsidR="000A1E00">
        <w:rPr>
          <w:lang w:val="fr-FR"/>
        </w:rPr>
        <w:t>’</w:t>
      </w:r>
      <w:r w:rsidRPr="000A1E00">
        <w:rPr>
          <w:lang w:val="fr-FR"/>
        </w:rPr>
        <w:t>année prochaine et qu</w:t>
      </w:r>
      <w:r w:rsidR="000A1E00">
        <w:rPr>
          <w:lang w:val="fr-FR"/>
        </w:rPr>
        <w:t>’</w:t>
      </w:r>
      <w:r w:rsidRPr="000A1E00">
        <w:rPr>
          <w:lang w:val="fr-FR"/>
        </w:rPr>
        <w:t>il tiendrait le Sous-Comité informé des résultats de cet examen. Il a invité le Sous-Comité à tenir compte de cette décision dans le cadre de l</w:t>
      </w:r>
      <w:r w:rsidR="000A1E00">
        <w:rPr>
          <w:lang w:val="fr-FR"/>
        </w:rPr>
        <w:t>’</w:t>
      </w:r>
      <w:r w:rsidRPr="000A1E00">
        <w:rPr>
          <w:lang w:val="fr-FR"/>
        </w:rPr>
        <w:t>élaboration de dispositions à inclure dans le Règlement type et à ne pas introduire des textes réglementaires dans des notes de bas de page de façon à éviter les problèmes liés à leur transposition dans les textes juridiques.</w:t>
      </w:r>
    </w:p>
    <w:bookmarkEnd w:id="2"/>
    <w:p w:rsidR="00286BDC" w:rsidRPr="000A1E00" w:rsidRDefault="00286BDC" w:rsidP="00EB0B1C">
      <w:pPr>
        <w:pStyle w:val="H1G"/>
        <w:rPr>
          <w:lang w:val="fr-FR"/>
        </w:rPr>
      </w:pPr>
      <w:r w:rsidRPr="000A1E00">
        <w:rPr>
          <w:lang w:val="fr-FR"/>
        </w:rPr>
        <w:tab/>
        <w:t>B.</w:t>
      </w:r>
      <w:r w:rsidRPr="000A1E00">
        <w:rPr>
          <w:lang w:val="fr-FR"/>
        </w:rPr>
        <w:tab/>
        <w:t>Mise à disposition électronique des modèles d</w:t>
      </w:r>
      <w:r w:rsidR="000A1E00">
        <w:rPr>
          <w:lang w:val="fr-FR"/>
        </w:rPr>
        <w:t>’</w:t>
      </w:r>
      <w:r w:rsidRPr="000A1E00">
        <w:rPr>
          <w:lang w:val="fr-FR"/>
        </w:rPr>
        <w:t>étiquettes et marques</w:t>
      </w:r>
    </w:p>
    <w:p w:rsidR="00286BDC" w:rsidRPr="000A1E00" w:rsidRDefault="00EB0B1C" w:rsidP="00EB0B1C">
      <w:pPr>
        <w:pStyle w:val="SingleTxtG"/>
        <w:tabs>
          <w:tab w:val="left" w:pos="3119"/>
        </w:tabs>
        <w:rPr>
          <w:lang w:val="fr-FR"/>
        </w:rPr>
      </w:pPr>
      <w:r>
        <w:rPr>
          <w:i/>
          <w:iCs/>
          <w:lang w:val="fr-FR"/>
        </w:rPr>
        <w:t>Document </w:t>
      </w:r>
      <w:r w:rsidR="00286BDC" w:rsidRPr="00EB0B1C">
        <w:rPr>
          <w:iCs/>
          <w:lang w:val="fr-FR"/>
        </w:rPr>
        <w:t>:</w:t>
      </w:r>
      <w:r w:rsidR="00286BDC" w:rsidRPr="000A1E00">
        <w:rPr>
          <w:lang w:val="fr-FR"/>
        </w:rPr>
        <w:tab/>
        <w:t>ST/SG/AC.10/C.3/2018/12 (Suisse)</w:t>
      </w:r>
      <w:r>
        <w:rPr>
          <w:lang w:val="fr-FR"/>
        </w:rPr>
        <w:t>.</w:t>
      </w:r>
    </w:p>
    <w:p w:rsidR="00286BDC" w:rsidRPr="000A1E00" w:rsidRDefault="00286BDC" w:rsidP="00EB0B1C">
      <w:pPr>
        <w:pStyle w:val="SingleTxtG"/>
        <w:rPr>
          <w:lang w:val="fr-FR"/>
        </w:rPr>
      </w:pPr>
      <w:r w:rsidRPr="000A1E00">
        <w:rPr>
          <w:lang w:val="fr-FR"/>
        </w:rPr>
        <w:t>180.</w:t>
      </w:r>
      <w:r w:rsidRPr="000A1E00">
        <w:rPr>
          <w:lang w:val="fr-FR"/>
        </w:rPr>
        <w:tab/>
        <w:t>Une membre du secrétariat a fait remarquer que la fourniture d</w:t>
      </w:r>
      <w:r w:rsidR="000A1E00">
        <w:rPr>
          <w:lang w:val="fr-FR"/>
        </w:rPr>
        <w:t>’</w:t>
      </w:r>
      <w:r w:rsidRPr="000A1E00">
        <w:rPr>
          <w:lang w:val="fr-FR"/>
        </w:rPr>
        <w:t>étiquettes et de marques « prêtes à imprimer » n</w:t>
      </w:r>
      <w:r w:rsidR="000A1E00">
        <w:rPr>
          <w:lang w:val="fr-FR"/>
        </w:rPr>
        <w:t>’</w:t>
      </w:r>
      <w:r w:rsidRPr="000A1E00">
        <w:rPr>
          <w:lang w:val="fr-FR"/>
        </w:rPr>
        <w:t>entrait pas dans le rôle ou les attributions du secrétariat. Elle a expliqué qu</w:t>
      </w:r>
      <w:r w:rsidR="000A1E00">
        <w:rPr>
          <w:lang w:val="fr-FR"/>
        </w:rPr>
        <w:t>’</w:t>
      </w:r>
      <w:r w:rsidRPr="000A1E00">
        <w:rPr>
          <w:lang w:val="fr-FR"/>
        </w:rPr>
        <w:t>il n</w:t>
      </w:r>
      <w:r w:rsidR="000A1E00">
        <w:rPr>
          <w:lang w:val="fr-FR"/>
        </w:rPr>
        <w:t>’</w:t>
      </w:r>
      <w:r w:rsidRPr="000A1E00">
        <w:rPr>
          <w:lang w:val="fr-FR"/>
        </w:rPr>
        <w:t>entrait pas dans lesdites attributions de fournir des fichiers à haute résolution pouvant être utilisés par des tiers à des fins commerciales. Il a été dit que ce type d</w:t>
      </w:r>
      <w:r w:rsidR="000A1E00">
        <w:rPr>
          <w:lang w:val="fr-FR"/>
        </w:rPr>
        <w:t>’</w:t>
      </w:r>
      <w:r w:rsidRPr="000A1E00">
        <w:rPr>
          <w:lang w:val="fr-FR"/>
        </w:rPr>
        <w:t>éléments graphiques était établi en interne uniquement aux fins de leur publication dans le Règlement type et que le secrétariat n</w:t>
      </w:r>
      <w:r w:rsidR="000A1E00">
        <w:rPr>
          <w:lang w:val="fr-FR"/>
        </w:rPr>
        <w:t>’</w:t>
      </w:r>
      <w:r w:rsidRPr="000A1E00">
        <w:rPr>
          <w:lang w:val="fr-FR"/>
        </w:rPr>
        <w:t>était pas en mesure de fournir des étiquettes et des marques «</w:t>
      </w:r>
      <w:r w:rsidR="00EB0B1C">
        <w:rPr>
          <w:lang w:val="fr-FR"/>
        </w:rPr>
        <w:t> </w:t>
      </w:r>
      <w:r w:rsidRPr="000A1E00">
        <w:rPr>
          <w:lang w:val="fr-FR"/>
        </w:rPr>
        <w:t>prêtes à imprimer</w:t>
      </w:r>
      <w:r w:rsidR="00EB0B1C">
        <w:rPr>
          <w:lang w:val="fr-FR"/>
        </w:rPr>
        <w:t> </w:t>
      </w:r>
      <w:r w:rsidRPr="000A1E00">
        <w:rPr>
          <w:lang w:val="fr-FR"/>
        </w:rPr>
        <w:t>» dans un format pleinement conforme aux dispositions applicables de la partie 5 du Règlement type (épaisseur des lignes, hauteur minimale des lettres et des chiffres, distances entre les lignes et les bords des étiquettes, etc.) pour d</w:t>
      </w:r>
      <w:r w:rsidR="000A1E00">
        <w:rPr>
          <w:lang w:val="fr-FR"/>
        </w:rPr>
        <w:t>’</w:t>
      </w:r>
      <w:r w:rsidRPr="000A1E00">
        <w:rPr>
          <w:lang w:val="fr-FR"/>
        </w:rPr>
        <w:t>autres usages. Si ces étiquettes et ces marques étaient mises à la disposition du public, le risque qu</w:t>
      </w:r>
      <w:r w:rsidR="000A1E00">
        <w:rPr>
          <w:lang w:val="fr-FR"/>
        </w:rPr>
        <w:t>’</w:t>
      </w:r>
      <w:r w:rsidRPr="000A1E00">
        <w:rPr>
          <w:lang w:val="fr-FR"/>
        </w:rPr>
        <w:t>elles soient utilisées dans des situations réelles pour l</w:t>
      </w:r>
      <w:r w:rsidR="000A1E00">
        <w:rPr>
          <w:lang w:val="fr-FR"/>
        </w:rPr>
        <w:t>’</w:t>
      </w:r>
      <w:r w:rsidRPr="000A1E00">
        <w:rPr>
          <w:lang w:val="fr-FR"/>
        </w:rPr>
        <w:t xml:space="preserve">étiquetage et le marquage de toutes sortes de récipients ne pourrait pas être totalement écarté. </w:t>
      </w:r>
    </w:p>
    <w:p w:rsidR="00286BDC" w:rsidRPr="000A1E00" w:rsidRDefault="00286BDC" w:rsidP="00EB0B1C">
      <w:pPr>
        <w:pStyle w:val="SingleTxtG"/>
        <w:rPr>
          <w:lang w:val="fr-FR"/>
        </w:rPr>
      </w:pPr>
      <w:r w:rsidRPr="000A1E00">
        <w:rPr>
          <w:lang w:val="fr-FR"/>
        </w:rPr>
        <w:t>181.</w:t>
      </w:r>
      <w:r w:rsidRPr="000A1E00">
        <w:rPr>
          <w:lang w:val="fr-FR"/>
        </w:rPr>
        <w:tab/>
        <w:t>On a également fait observer que les étiquettes et les marques sous forme électronique, telles que présentées dans le Règlement type, pourraient être mises à la disposition des experts gouvernementaux intéressés à la demande. Le Sous-Comité a accueilli favorablement la proposition faite par le secrétariat, pris note des préoccupations exprimées et décidé de ne pas examiner cette question plus avant.</w:t>
      </w:r>
    </w:p>
    <w:p w:rsidR="00286BDC" w:rsidRPr="000A1E00" w:rsidRDefault="00286BDC" w:rsidP="00EB0B1C">
      <w:pPr>
        <w:pStyle w:val="H1G"/>
        <w:rPr>
          <w:lang w:val="fr-FR"/>
        </w:rPr>
      </w:pPr>
      <w:r w:rsidRPr="000A1E00">
        <w:rPr>
          <w:lang w:val="fr-FR"/>
        </w:rPr>
        <w:tab/>
        <w:t>C.</w:t>
      </w:r>
      <w:r w:rsidRPr="000A1E00">
        <w:rPr>
          <w:lang w:val="fr-FR"/>
        </w:rPr>
        <w:tab/>
        <w:t>Corrections à apporter à la version française du Règlement type</w:t>
      </w:r>
    </w:p>
    <w:p w:rsidR="00286BDC" w:rsidRPr="000A1E00" w:rsidRDefault="00EB0B1C" w:rsidP="00EB0B1C">
      <w:pPr>
        <w:pStyle w:val="SingleTxtG"/>
        <w:tabs>
          <w:tab w:val="left" w:pos="3119"/>
        </w:tabs>
        <w:rPr>
          <w:lang w:val="fr-FR"/>
        </w:rPr>
      </w:pPr>
      <w:r>
        <w:rPr>
          <w:i/>
          <w:iCs/>
          <w:lang w:val="fr-FR"/>
        </w:rPr>
        <w:t>Document </w:t>
      </w:r>
      <w:r w:rsidR="00286BDC" w:rsidRPr="00EB0B1C">
        <w:rPr>
          <w:iCs/>
          <w:lang w:val="fr-FR"/>
        </w:rPr>
        <w:t>:</w:t>
      </w:r>
      <w:r w:rsidR="00286BDC" w:rsidRPr="000A1E00">
        <w:rPr>
          <w:lang w:val="fr-FR"/>
        </w:rPr>
        <w:t xml:space="preserve"> </w:t>
      </w:r>
      <w:r w:rsidR="00286BDC" w:rsidRPr="000A1E00">
        <w:rPr>
          <w:lang w:val="fr-FR"/>
        </w:rPr>
        <w:tab/>
        <w:t>ST/SG/AC.10/C.3/2018/55 (France)</w:t>
      </w:r>
      <w:r>
        <w:rPr>
          <w:lang w:val="fr-FR"/>
        </w:rPr>
        <w:t>.</w:t>
      </w:r>
    </w:p>
    <w:p w:rsidR="00286BDC" w:rsidRPr="000A1E00" w:rsidRDefault="00286BDC" w:rsidP="00EB0B1C">
      <w:pPr>
        <w:pStyle w:val="SingleTxtG"/>
        <w:rPr>
          <w:lang w:val="fr-FR"/>
        </w:rPr>
      </w:pPr>
      <w:r w:rsidRPr="000A1E00">
        <w:rPr>
          <w:lang w:val="fr-FR"/>
        </w:rPr>
        <w:t>182.</w:t>
      </w:r>
      <w:r w:rsidRPr="000A1E00">
        <w:rPr>
          <w:lang w:val="fr-FR"/>
        </w:rPr>
        <w:tab/>
        <w:t>Les corrections à apporter à la version française du Règlement type ont été adoptées (voir annexe III).</w:t>
      </w:r>
    </w:p>
    <w:p w:rsidR="00286BDC" w:rsidRPr="000A1E00" w:rsidRDefault="00286BDC" w:rsidP="00EB0B1C">
      <w:pPr>
        <w:pStyle w:val="H1G"/>
        <w:rPr>
          <w:lang w:val="fr-FR"/>
        </w:rPr>
      </w:pPr>
      <w:r w:rsidRPr="000A1E00">
        <w:rPr>
          <w:lang w:val="fr-FR"/>
        </w:rPr>
        <w:tab/>
        <w:t>D.</w:t>
      </w:r>
      <w:r w:rsidRPr="000A1E00">
        <w:rPr>
          <w:lang w:val="fr-FR"/>
        </w:rPr>
        <w:tab/>
        <w:t>Incohérences entre les différentes versions linguistiques du 5.4.1.5.1</w:t>
      </w:r>
    </w:p>
    <w:p w:rsidR="00286BDC" w:rsidRPr="000A1E00" w:rsidRDefault="00286BDC" w:rsidP="00EB0B1C">
      <w:pPr>
        <w:pStyle w:val="SingleTxtG"/>
        <w:tabs>
          <w:tab w:val="left" w:pos="3119"/>
        </w:tabs>
        <w:rPr>
          <w:lang w:val="fr-FR"/>
        </w:rPr>
      </w:pPr>
      <w:r w:rsidRPr="000A1E00">
        <w:rPr>
          <w:i/>
          <w:iCs/>
          <w:lang w:val="fr-FR"/>
        </w:rPr>
        <w:t>Document informel</w:t>
      </w:r>
      <w:r w:rsidR="00EB0B1C">
        <w:rPr>
          <w:i/>
          <w:iCs/>
          <w:lang w:val="fr-FR"/>
        </w:rPr>
        <w:t> </w:t>
      </w:r>
      <w:r w:rsidRPr="00EB0B1C">
        <w:rPr>
          <w:iCs/>
          <w:lang w:val="fr-FR"/>
        </w:rPr>
        <w:t>:</w:t>
      </w:r>
      <w:r w:rsidRPr="000A1E00">
        <w:rPr>
          <w:lang w:val="fr-FR"/>
        </w:rPr>
        <w:t xml:space="preserve"> </w:t>
      </w:r>
      <w:r w:rsidRPr="000A1E00">
        <w:rPr>
          <w:lang w:val="fr-FR"/>
        </w:rPr>
        <w:tab/>
        <w:t>INF.25 (Belgique)</w:t>
      </w:r>
      <w:r w:rsidR="00EB0B1C">
        <w:rPr>
          <w:lang w:val="fr-FR"/>
        </w:rPr>
        <w:t>.</w:t>
      </w:r>
    </w:p>
    <w:p w:rsidR="00286BDC" w:rsidRPr="000A1E00" w:rsidRDefault="00286BDC" w:rsidP="00EB0B1C">
      <w:pPr>
        <w:pStyle w:val="SingleTxtG"/>
        <w:rPr>
          <w:lang w:val="fr-FR"/>
        </w:rPr>
      </w:pPr>
      <w:r w:rsidRPr="000A1E00">
        <w:rPr>
          <w:lang w:val="fr-FR"/>
        </w:rPr>
        <w:t>183.</w:t>
      </w:r>
      <w:r w:rsidRPr="000A1E00">
        <w:rPr>
          <w:lang w:val="fr-FR"/>
        </w:rPr>
        <w:tab/>
        <w:t>Le consensus suivant s</w:t>
      </w:r>
      <w:r w:rsidR="000A1E00">
        <w:rPr>
          <w:lang w:val="fr-FR"/>
        </w:rPr>
        <w:t>’</w:t>
      </w:r>
      <w:r w:rsidRPr="000A1E00">
        <w:rPr>
          <w:lang w:val="fr-FR"/>
        </w:rPr>
        <w:t>est fait à propos de l</w:t>
      </w:r>
      <w:r w:rsidR="000A1E00">
        <w:rPr>
          <w:lang w:val="fr-FR"/>
        </w:rPr>
        <w:t>’</w:t>
      </w:r>
      <w:r w:rsidRPr="000A1E00">
        <w:rPr>
          <w:lang w:val="fr-FR"/>
        </w:rPr>
        <w:t>interprétation de la disposition 5.4.1.5.1 : la quantité totale de marchandises dangereuses doit être indiquée dans le document de transport pour chaque marchandise dangereuse, caractérisée par son numéro ONU, sa désignation officielle de transport ou son groupe d</w:t>
      </w:r>
      <w:r w:rsidR="000A1E00">
        <w:rPr>
          <w:lang w:val="fr-FR"/>
        </w:rPr>
        <w:t>’</w:t>
      </w:r>
      <w:r w:rsidRPr="000A1E00">
        <w:rPr>
          <w:lang w:val="fr-FR"/>
        </w:rPr>
        <w:t xml:space="preserve">emballage. Étant donné que la plupart des experts ont estimé que la version </w:t>
      </w:r>
      <w:r w:rsidR="005C5878">
        <w:rPr>
          <w:lang w:val="fr-FR"/>
        </w:rPr>
        <w:t>anglaise était claire, le Sous-C</w:t>
      </w:r>
      <w:r w:rsidRPr="000A1E00">
        <w:rPr>
          <w:lang w:val="fr-FR"/>
        </w:rPr>
        <w:t>omité a invité l</w:t>
      </w:r>
      <w:r w:rsidR="000A1E00">
        <w:rPr>
          <w:lang w:val="fr-FR"/>
        </w:rPr>
        <w:t>’</w:t>
      </w:r>
      <w:r w:rsidRPr="000A1E00">
        <w:rPr>
          <w:lang w:val="fr-FR"/>
        </w:rPr>
        <w:t>expert de la Belgique à tenir compte des observations formulées et à soumettre à la prochaine session une proposition révisée mettant la version française en concor</w:t>
      </w:r>
      <w:r w:rsidR="00EB0B1C">
        <w:rPr>
          <w:lang w:val="fr-FR"/>
        </w:rPr>
        <w:t>dance avec la version anglaise.</w:t>
      </w:r>
    </w:p>
    <w:p w:rsidR="00286BDC" w:rsidRPr="000A1E00" w:rsidRDefault="00286BDC" w:rsidP="00EB0B1C">
      <w:pPr>
        <w:pStyle w:val="H1G"/>
        <w:rPr>
          <w:lang w:val="fr-FR"/>
        </w:rPr>
      </w:pPr>
      <w:r w:rsidRPr="000A1E00">
        <w:rPr>
          <w:lang w:val="fr-FR"/>
        </w:rPr>
        <w:tab/>
        <w:t>E.</w:t>
      </w:r>
      <w:r w:rsidRPr="000A1E00">
        <w:rPr>
          <w:lang w:val="fr-FR"/>
        </w:rPr>
        <w:tab/>
        <w:t>Champ d</w:t>
      </w:r>
      <w:r w:rsidR="000A1E00">
        <w:rPr>
          <w:lang w:val="fr-FR"/>
        </w:rPr>
        <w:t>’</w:t>
      </w:r>
      <w:r w:rsidRPr="000A1E00">
        <w:rPr>
          <w:lang w:val="fr-FR"/>
        </w:rPr>
        <w:t>application du 1.1.1.2</w:t>
      </w:r>
    </w:p>
    <w:p w:rsidR="00286BDC" w:rsidRPr="000A1E00" w:rsidRDefault="00286BDC" w:rsidP="00EB0B1C">
      <w:pPr>
        <w:pStyle w:val="SingleTxtG"/>
        <w:tabs>
          <w:tab w:val="left" w:pos="3119"/>
        </w:tabs>
        <w:rPr>
          <w:lang w:val="fr-FR"/>
        </w:rPr>
      </w:pPr>
      <w:r w:rsidRPr="000A1E00">
        <w:rPr>
          <w:i/>
          <w:iCs/>
          <w:lang w:val="fr-FR"/>
        </w:rPr>
        <w:t>Document</w:t>
      </w:r>
      <w:r w:rsidR="00EB0B1C">
        <w:rPr>
          <w:i/>
          <w:iCs/>
          <w:lang w:val="fr-FR"/>
        </w:rPr>
        <w:t> </w:t>
      </w:r>
      <w:r w:rsidRPr="00EB0B1C">
        <w:rPr>
          <w:iCs/>
          <w:lang w:val="fr-FR"/>
        </w:rPr>
        <w:t>:</w:t>
      </w:r>
      <w:r w:rsidRPr="000A1E00">
        <w:rPr>
          <w:lang w:val="fr-FR"/>
        </w:rPr>
        <w:t xml:space="preserve"> </w:t>
      </w:r>
      <w:r w:rsidRPr="000A1E00">
        <w:rPr>
          <w:lang w:val="fr-FR"/>
        </w:rPr>
        <w:tab/>
        <w:t>ST/SG/AC.10/C.3/2018/57 (Pays-Bas)</w:t>
      </w:r>
    </w:p>
    <w:p w:rsidR="00286BDC" w:rsidRPr="000A1E00" w:rsidRDefault="00EB0B1C" w:rsidP="00EB0B1C">
      <w:pPr>
        <w:pStyle w:val="SingleTxtG"/>
        <w:tabs>
          <w:tab w:val="left" w:pos="3119"/>
        </w:tabs>
        <w:rPr>
          <w:lang w:val="fr-FR"/>
        </w:rPr>
      </w:pPr>
      <w:r>
        <w:rPr>
          <w:i/>
          <w:iCs/>
          <w:lang w:val="fr-FR"/>
        </w:rPr>
        <w:t>Document informel </w:t>
      </w:r>
      <w:r w:rsidR="00286BDC" w:rsidRPr="00EB0B1C">
        <w:rPr>
          <w:iCs/>
          <w:lang w:val="fr-FR"/>
        </w:rPr>
        <w:t>:</w:t>
      </w:r>
      <w:r w:rsidR="00286BDC" w:rsidRPr="000A1E00">
        <w:rPr>
          <w:lang w:val="fr-FR"/>
        </w:rPr>
        <w:t xml:space="preserve"> </w:t>
      </w:r>
      <w:r w:rsidR="00286BDC" w:rsidRPr="000A1E00">
        <w:rPr>
          <w:lang w:val="fr-FR"/>
        </w:rPr>
        <w:tab/>
        <w:t>INF.30 (Pays-Bas).</w:t>
      </w:r>
    </w:p>
    <w:p w:rsidR="00286BDC" w:rsidRPr="000A1E00" w:rsidRDefault="00286BDC" w:rsidP="00EB0B1C">
      <w:pPr>
        <w:pStyle w:val="SingleTxtG"/>
        <w:rPr>
          <w:lang w:val="fr-FR"/>
        </w:rPr>
      </w:pPr>
      <w:r w:rsidRPr="000A1E00">
        <w:rPr>
          <w:lang w:val="fr-FR"/>
        </w:rPr>
        <w:t xml:space="preserve">184. </w:t>
      </w:r>
      <w:r w:rsidRPr="000A1E00">
        <w:rPr>
          <w:lang w:val="fr-FR"/>
        </w:rPr>
        <w:tab/>
        <w:t>Notant qu</w:t>
      </w:r>
      <w:r w:rsidR="000A1E00">
        <w:rPr>
          <w:lang w:val="fr-FR"/>
        </w:rPr>
        <w:t>’</w:t>
      </w:r>
      <w:r w:rsidRPr="000A1E00">
        <w:rPr>
          <w:lang w:val="fr-FR"/>
        </w:rPr>
        <w:t>il pourrait être nécessaire d</w:t>
      </w:r>
      <w:r w:rsidR="000A1E00">
        <w:rPr>
          <w:lang w:val="fr-FR"/>
        </w:rPr>
        <w:t>’</w:t>
      </w:r>
      <w:r w:rsidRPr="000A1E00">
        <w:rPr>
          <w:lang w:val="fr-FR"/>
        </w:rPr>
        <w:t>élaborer ultérieurement des dispositions supplémentaires visant à faire exempter d</w:t>
      </w:r>
      <w:r w:rsidR="000A1E00">
        <w:rPr>
          <w:lang w:val="fr-FR"/>
        </w:rPr>
        <w:t>’</w:t>
      </w:r>
      <w:r w:rsidRPr="000A1E00">
        <w:rPr>
          <w:lang w:val="fr-FR"/>
        </w:rPr>
        <w:t>autres marchandises dangereuses qui ne font pas partie d</w:t>
      </w:r>
      <w:r w:rsidR="000A1E00">
        <w:rPr>
          <w:lang w:val="fr-FR"/>
        </w:rPr>
        <w:t>’</w:t>
      </w:r>
      <w:r w:rsidRPr="000A1E00">
        <w:rPr>
          <w:lang w:val="fr-FR"/>
        </w:rPr>
        <w:t>un envoi à proprement parler, certains experts ont suggéré d</w:t>
      </w:r>
      <w:r w:rsidR="000A1E00">
        <w:rPr>
          <w:lang w:val="fr-FR"/>
        </w:rPr>
        <w:t>’</w:t>
      </w:r>
      <w:r w:rsidRPr="000A1E00">
        <w:rPr>
          <w:lang w:val="fr-FR"/>
        </w:rPr>
        <w:t>élargir le champ d</w:t>
      </w:r>
      <w:r w:rsidR="000A1E00">
        <w:rPr>
          <w:lang w:val="fr-FR"/>
        </w:rPr>
        <w:t>’</w:t>
      </w:r>
      <w:r w:rsidRPr="000A1E00">
        <w:rPr>
          <w:lang w:val="fr-FR"/>
        </w:rPr>
        <w:t>application de l</w:t>
      </w:r>
      <w:r w:rsidR="000A1E00">
        <w:rPr>
          <w:lang w:val="fr-FR"/>
        </w:rPr>
        <w:t>’</w:t>
      </w:r>
      <w:r w:rsidRPr="000A1E00">
        <w:rPr>
          <w:lang w:val="fr-FR"/>
        </w:rPr>
        <w:t>actuel paragraphe 1.1.1.2 de façon à prévoir les exemptions d</w:t>
      </w:r>
      <w:r w:rsidR="000A1E00">
        <w:rPr>
          <w:lang w:val="fr-FR"/>
        </w:rPr>
        <w:t>’</w:t>
      </w:r>
      <w:r w:rsidRPr="000A1E00">
        <w:rPr>
          <w:lang w:val="fr-FR"/>
        </w:rPr>
        <w:t>une manière générale plutôt qu</w:t>
      </w:r>
      <w:r w:rsidR="000A1E00">
        <w:rPr>
          <w:lang w:val="fr-FR"/>
        </w:rPr>
        <w:t>’</w:t>
      </w:r>
      <w:r w:rsidRPr="000A1E00">
        <w:rPr>
          <w:lang w:val="fr-FR"/>
        </w:rPr>
        <w:t>individuelle. Toutefois, reconnaissant que l</w:t>
      </w:r>
      <w:r w:rsidR="000A1E00">
        <w:rPr>
          <w:lang w:val="fr-FR"/>
        </w:rPr>
        <w:t>’</w:t>
      </w:r>
      <w:r w:rsidRPr="000A1E00">
        <w:rPr>
          <w:lang w:val="fr-FR"/>
        </w:rPr>
        <w:t>élaboration de dispositions générales élargies devrait être examinée plus avant et notant la nécessité d</w:t>
      </w:r>
      <w:r w:rsidR="000A1E00">
        <w:rPr>
          <w:lang w:val="fr-FR"/>
        </w:rPr>
        <w:t>’</w:t>
      </w:r>
      <w:r w:rsidRPr="000A1E00">
        <w:rPr>
          <w:lang w:val="fr-FR"/>
        </w:rPr>
        <w:t>établir des dispositions appropriées concernant les dispositifs de localisation des marchandises et les enregistreurs de données alimentés par batterie au lithium utilisés pendant le transport, le Sous-Comité a indiqué qu</w:t>
      </w:r>
      <w:r w:rsidR="000A1E00">
        <w:rPr>
          <w:lang w:val="fr-FR"/>
        </w:rPr>
        <w:t>’</w:t>
      </w:r>
      <w:r w:rsidRPr="000A1E00">
        <w:rPr>
          <w:lang w:val="fr-FR"/>
        </w:rPr>
        <w:t>en l</w:t>
      </w:r>
      <w:r w:rsidR="000A1E00">
        <w:rPr>
          <w:lang w:val="fr-FR"/>
        </w:rPr>
        <w:t>’</w:t>
      </w:r>
      <w:r w:rsidRPr="000A1E00">
        <w:rPr>
          <w:lang w:val="fr-FR"/>
        </w:rPr>
        <w:t>absence de nouvelle proposition, il entendait entériner à la prochaine session la décision prise à sa cinquante et unième session quant à l</w:t>
      </w:r>
      <w:r w:rsidR="000A1E00">
        <w:rPr>
          <w:lang w:val="fr-FR"/>
        </w:rPr>
        <w:t>’</w:t>
      </w:r>
      <w:r w:rsidRPr="000A1E00">
        <w:rPr>
          <w:lang w:val="fr-FR"/>
        </w:rPr>
        <w:t>ajout d</w:t>
      </w:r>
      <w:r w:rsidR="000A1E00">
        <w:rPr>
          <w:lang w:val="fr-FR"/>
        </w:rPr>
        <w:t>’</w:t>
      </w:r>
      <w:r w:rsidRPr="000A1E00">
        <w:rPr>
          <w:lang w:val="fr-FR"/>
        </w:rPr>
        <w:t>un nouvel alinéa c) au paragraphe 1.1.1.2 (voir ST/SG/AC.10/C.3/102, par.</w:t>
      </w:r>
      <w:r w:rsidR="00EB0B1C">
        <w:rPr>
          <w:lang w:val="fr-FR"/>
        </w:rPr>
        <w:t> </w:t>
      </w:r>
      <w:r w:rsidRPr="000A1E00">
        <w:rPr>
          <w:lang w:val="fr-FR"/>
        </w:rPr>
        <w:t xml:space="preserve">57 à 59 et annexe II). </w:t>
      </w:r>
    </w:p>
    <w:p w:rsidR="00286BDC" w:rsidRPr="000A1E00" w:rsidRDefault="00286BDC" w:rsidP="00286BDC">
      <w:pPr>
        <w:pStyle w:val="SingleTxtG"/>
        <w:rPr>
          <w:lang w:val="fr-FR"/>
        </w:rPr>
      </w:pPr>
      <w:r w:rsidRPr="000A1E00">
        <w:rPr>
          <w:lang w:val="fr-FR"/>
        </w:rPr>
        <w:t>185.</w:t>
      </w:r>
      <w:r w:rsidRPr="000A1E00">
        <w:rPr>
          <w:lang w:val="fr-FR"/>
        </w:rPr>
        <w:tab/>
        <w:t>Le Sous-Comité a encouragé l</w:t>
      </w:r>
      <w:r w:rsidR="000A1E00">
        <w:rPr>
          <w:lang w:val="fr-FR"/>
        </w:rPr>
        <w:t>’</w:t>
      </w:r>
      <w:r w:rsidRPr="000A1E00">
        <w:rPr>
          <w:lang w:val="fr-FR"/>
        </w:rPr>
        <w:t>expert des Pays-Bas à poursuivre ses travaux sur cette question.</w:t>
      </w:r>
    </w:p>
    <w:p w:rsidR="00286BDC" w:rsidRPr="000A1E00" w:rsidRDefault="00286BDC" w:rsidP="00EB0B1C">
      <w:pPr>
        <w:pStyle w:val="HChG"/>
        <w:rPr>
          <w:lang w:val="fr-FR"/>
        </w:rPr>
      </w:pPr>
      <w:r w:rsidRPr="000A1E00">
        <w:rPr>
          <w:lang w:val="fr-FR"/>
        </w:rPr>
        <w:tab/>
        <w:t>XIV.</w:t>
      </w:r>
      <w:r w:rsidRPr="000A1E00">
        <w:rPr>
          <w:lang w:val="fr-FR"/>
        </w:rPr>
        <w:tab/>
        <w:t>Adoption du rapport (point 12 de l</w:t>
      </w:r>
      <w:r w:rsidR="000A1E00">
        <w:rPr>
          <w:lang w:val="fr-FR"/>
        </w:rPr>
        <w:t>’</w:t>
      </w:r>
      <w:r w:rsidRPr="000A1E00">
        <w:rPr>
          <w:lang w:val="fr-FR"/>
        </w:rPr>
        <w:t>ordre du jour)</w:t>
      </w:r>
    </w:p>
    <w:p w:rsidR="00286BDC" w:rsidRPr="000A1E00" w:rsidRDefault="00286BDC" w:rsidP="00EB0B1C">
      <w:pPr>
        <w:pStyle w:val="SingleTxtG"/>
        <w:rPr>
          <w:lang w:val="fr-FR"/>
        </w:rPr>
      </w:pPr>
      <w:r w:rsidRPr="000A1E00">
        <w:rPr>
          <w:lang w:val="fr-FR"/>
        </w:rPr>
        <w:t>186.</w:t>
      </w:r>
      <w:r w:rsidRPr="000A1E00">
        <w:rPr>
          <w:lang w:val="fr-FR"/>
        </w:rPr>
        <w:tab/>
        <w:t>Le Sous-Comité a adopté le rapport de sa cinquante-troisième session sur la base d</w:t>
      </w:r>
      <w:r w:rsidR="000A1E00">
        <w:rPr>
          <w:lang w:val="fr-FR"/>
        </w:rPr>
        <w:t>’</w:t>
      </w:r>
      <w:r w:rsidRPr="000A1E00">
        <w:rPr>
          <w:lang w:val="fr-FR"/>
        </w:rPr>
        <w:t>un projet établi par le secrétariat.</w:t>
      </w:r>
    </w:p>
    <w:p w:rsidR="00286BDC" w:rsidRPr="000A1E00" w:rsidRDefault="00286BDC" w:rsidP="00286BDC">
      <w:pPr>
        <w:suppressAutoHyphens w:val="0"/>
        <w:spacing w:line="240" w:lineRule="auto"/>
        <w:rPr>
          <w:lang w:val="fr-FR"/>
        </w:rPr>
      </w:pPr>
      <w:r w:rsidRPr="000A1E00">
        <w:rPr>
          <w:lang w:val="fr-FR"/>
        </w:rPr>
        <w:br w:type="page"/>
      </w:r>
    </w:p>
    <w:p w:rsidR="00286BDC" w:rsidRPr="000A1E00" w:rsidRDefault="00286BDC" w:rsidP="00EB0B1C">
      <w:pPr>
        <w:pStyle w:val="H1G"/>
        <w:rPr>
          <w:lang w:val="fr-FR"/>
        </w:rPr>
      </w:pPr>
      <w:r w:rsidRPr="000A1E00">
        <w:rPr>
          <w:lang w:val="fr-FR"/>
        </w:rPr>
        <w:t>Annexe I</w:t>
      </w:r>
    </w:p>
    <w:p w:rsidR="00286BDC" w:rsidRPr="000A1E00" w:rsidRDefault="00286BDC" w:rsidP="00EB0B1C">
      <w:pPr>
        <w:pStyle w:val="H1G"/>
        <w:rPr>
          <w:lang w:val="fr-FR"/>
        </w:rPr>
      </w:pPr>
      <w:r w:rsidRPr="000A1E00">
        <w:rPr>
          <w:lang w:val="fr-FR"/>
        </w:rPr>
        <w:tab/>
      </w:r>
      <w:r w:rsidRPr="000A1E00">
        <w:rPr>
          <w:lang w:val="fr-FR"/>
        </w:rPr>
        <w:tab/>
        <w:t>Projet d</w:t>
      </w:r>
      <w:r w:rsidR="000A1E00">
        <w:rPr>
          <w:lang w:val="fr-FR"/>
        </w:rPr>
        <w:t>’</w:t>
      </w:r>
      <w:r w:rsidRPr="000A1E00">
        <w:rPr>
          <w:lang w:val="fr-FR"/>
        </w:rPr>
        <w:t>amendements à la vingtième édition révisée des Recommandations relatives au transport des marchandises dangereuses, Règlement type (ST/SG/AC.10/1/Rev.20)</w:t>
      </w:r>
    </w:p>
    <w:p w:rsidR="00286BDC" w:rsidRPr="000A1E00" w:rsidRDefault="00286BDC" w:rsidP="00EB0B1C">
      <w:pPr>
        <w:pStyle w:val="SingleTxtG"/>
        <w:rPr>
          <w:lang w:val="fr-FR"/>
        </w:rPr>
      </w:pPr>
      <w:r w:rsidRPr="000A1E00">
        <w:rPr>
          <w:lang w:val="fr-FR"/>
        </w:rPr>
        <w:t>(Voir le document ST/SG/AC.10/C.3/106/Add.1)</w:t>
      </w:r>
    </w:p>
    <w:p w:rsidR="00286BDC" w:rsidRPr="000A1E00" w:rsidRDefault="00286BDC" w:rsidP="00EB0B1C">
      <w:pPr>
        <w:pStyle w:val="H1G"/>
        <w:rPr>
          <w:lang w:val="fr-FR"/>
        </w:rPr>
      </w:pPr>
      <w:r w:rsidRPr="000A1E00">
        <w:rPr>
          <w:lang w:val="fr-FR"/>
        </w:rPr>
        <w:t>Annexe II</w:t>
      </w:r>
    </w:p>
    <w:p w:rsidR="00286BDC" w:rsidRPr="000A1E00" w:rsidRDefault="00286BDC" w:rsidP="00EB0B1C">
      <w:pPr>
        <w:pStyle w:val="H1G"/>
        <w:rPr>
          <w:lang w:val="fr-FR"/>
        </w:rPr>
      </w:pPr>
      <w:r w:rsidRPr="000A1E00">
        <w:rPr>
          <w:lang w:val="fr-FR"/>
        </w:rPr>
        <w:tab/>
      </w:r>
      <w:r w:rsidRPr="000A1E00">
        <w:rPr>
          <w:lang w:val="fr-FR"/>
        </w:rPr>
        <w:tab/>
        <w:t>Projet d</w:t>
      </w:r>
      <w:r w:rsidR="000A1E00">
        <w:rPr>
          <w:lang w:val="fr-FR"/>
        </w:rPr>
        <w:t>’</w:t>
      </w:r>
      <w:r w:rsidRPr="000A1E00">
        <w:rPr>
          <w:lang w:val="fr-FR"/>
        </w:rPr>
        <w:t>amendements à la sixième édition révisée des Recommandations relatives au transport des marchandises dangereuses, Manuel d</w:t>
      </w:r>
      <w:r w:rsidR="000A1E00">
        <w:rPr>
          <w:lang w:val="fr-FR"/>
        </w:rPr>
        <w:t>’</w:t>
      </w:r>
      <w:r w:rsidRPr="000A1E00">
        <w:rPr>
          <w:lang w:val="fr-FR"/>
        </w:rPr>
        <w:t>épreuves et de critères (ST/SG/AC.10/11/Rev.6) (tel que modifié par ST/SG/AC.10/11/Rev.6/Amend.1)</w:t>
      </w:r>
    </w:p>
    <w:p w:rsidR="00286BDC" w:rsidRPr="000A1E00" w:rsidRDefault="00286BDC" w:rsidP="00EB0B1C">
      <w:pPr>
        <w:pStyle w:val="SingleTxtG"/>
        <w:rPr>
          <w:lang w:val="fr-FR"/>
        </w:rPr>
      </w:pPr>
      <w:r w:rsidRPr="000A1E00">
        <w:rPr>
          <w:lang w:val="fr-FR"/>
        </w:rPr>
        <w:t>(Voir le document ST/SG/AC.10/C.3/106/Add.1)</w:t>
      </w:r>
    </w:p>
    <w:p w:rsidR="00286BDC" w:rsidRPr="000A1E00" w:rsidRDefault="00286BDC" w:rsidP="00EB0B1C">
      <w:pPr>
        <w:pStyle w:val="H1G"/>
        <w:rPr>
          <w:lang w:val="fr-FR"/>
        </w:rPr>
      </w:pPr>
      <w:r w:rsidRPr="000A1E00">
        <w:rPr>
          <w:lang w:val="fr-FR"/>
        </w:rPr>
        <w:t>Annexe III</w:t>
      </w:r>
    </w:p>
    <w:p w:rsidR="00286BDC" w:rsidRPr="000A1E00" w:rsidRDefault="00286BDC" w:rsidP="00EB0B1C">
      <w:pPr>
        <w:pStyle w:val="H1G"/>
        <w:rPr>
          <w:lang w:val="fr-FR"/>
        </w:rPr>
      </w:pPr>
      <w:r w:rsidRPr="000A1E00">
        <w:rPr>
          <w:lang w:val="fr-FR"/>
        </w:rPr>
        <w:tab/>
      </w:r>
      <w:r w:rsidRPr="000A1E00">
        <w:rPr>
          <w:lang w:val="fr-FR"/>
        </w:rPr>
        <w:tab/>
        <w:t>Corrections à la vingtième édition révisée des Recommandations relatives au transport des marchandises dangereuses, Règlement type (ST/SG/AC.10/1/Rev.20)</w:t>
      </w:r>
    </w:p>
    <w:p w:rsidR="00286BDC" w:rsidRDefault="00286BDC" w:rsidP="00EB0B1C">
      <w:pPr>
        <w:pStyle w:val="SingleTxtG"/>
        <w:rPr>
          <w:lang w:val="fr-FR"/>
        </w:rPr>
      </w:pPr>
      <w:r w:rsidRPr="000A1E00">
        <w:rPr>
          <w:lang w:val="fr-FR"/>
        </w:rPr>
        <w:t>(Voir le document ST/SG/AC.10/C.3/106/Add.1)</w:t>
      </w:r>
    </w:p>
    <w:p w:rsidR="00EB0B1C" w:rsidRPr="00EB0B1C" w:rsidRDefault="00EB0B1C" w:rsidP="00EB0B1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B0B1C" w:rsidRPr="00EB0B1C" w:rsidSect="0025406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349" w:rsidRDefault="00D23349" w:rsidP="00F95C08">
      <w:pPr>
        <w:spacing w:line="240" w:lineRule="auto"/>
      </w:pPr>
    </w:p>
  </w:endnote>
  <w:endnote w:type="continuationSeparator" w:id="0">
    <w:p w:rsidR="00D23349" w:rsidRPr="00AC3823" w:rsidRDefault="00D23349" w:rsidP="00AC3823">
      <w:pPr>
        <w:pStyle w:val="Footer"/>
      </w:pPr>
    </w:p>
  </w:endnote>
  <w:endnote w:type="continuationNotice" w:id="1">
    <w:p w:rsidR="00D23349" w:rsidRDefault="00D233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349" w:rsidRPr="0025406F" w:rsidRDefault="00D23349" w:rsidP="0025406F">
    <w:pPr>
      <w:pStyle w:val="Footer"/>
      <w:tabs>
        <w:tab w:val="right" w:pos="9638"/>
      </w:tabs>
    </w:pPr>
    <w:r w:rsidRPr="0025406F">
      <w:rPr>
        <w:b/>
        <w:sz w:val="18"/>
      </w:rPr>
      <w:fldChar w:fldCharType="begin"/>
    </w:r>
    <w:r w:rsidRPr="0025406F">
      <w:rPr>
        <w:b/>
        <w:sz w:val="18"/>
      </w:rPr>
      <w:instrText xml:space="preserve"> PAGE  \* MERGEFORMAT </w:instrText>
    </w:r>
    <w:r w:rsidRPr="0025406F">
      <w:rPr>
        <w:b/>
        <w:sz w:val="18"/>
      </w:rPr>
      <w:fldChar w:fldCharType="separate"/>
    </w:r>
    <w:r w:rsidR="001A731B">
      <w:rPr>
        <w:b/>
        <w:noProof/>
        <w:sz w:val="18"/>
      </w:rPr>
      <w:t>30</w:t>
    </w:r>
    <w:r w:rsidRPr="0025406F">
      <w:rPr>
        <w:b/>
        <w:sz w:val="18"/>
      </w:rPr>
      <w:fldChar w:fldCharType="end"/>
    </w:r>
    <w:r>
      <w:rPr>
        <w:b/>
        <w:sz w:val="18"/>
      </w:rPr>
      <w:tab/>
    </w:r>
    <w:r>
      <w:t>GE.18-12074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349" w:rsidRPr="0025406F" w:rsidRDefault="00D23349" w:rsidP="0025406F">
    <w:pPr>
      <w:pStyle w:val="Footer"/>
      <w:tabs>
        <w:tab w:val="right" w:pos="9638"/>
      </w:tabs>
      <w:rPr>
        <w:b/>
        <w:sz w:val="18"/>
      </w:rPr>
    </w:pPr>
    <w:r>
      <w:t>GE.18-12074</w:t>
    </w:r>
    <w:r>
      <w:tab/>
    </w:r>
    <w:r w:rsidRPr="0025406F">
      <w:rPr>
        <w:b/>
        <w:sz w:val="18"/>
      </w:rPr>
      <w:fldChar w:fldCharType="begin"/>
    </w:r>
    <w:r w:rsidRPr="0025406F">
      <w:rPr>
        <w:b/>
        <w:sz w:val="18"/>
      </w:rPr>
      <w:instrText xml:space="preserve"> PAGE  \* MERGEFORMAT </w:instrText>
    </w:r>
    <w:r w:rsidRPr="0025406F">
      <w:rPr>
        <w:b/>
        <w:sz w:val="18"/>
      </w:rPr>
      <w:fldChar w:fldCharType="separate"/>
    </w:r>
    <w:r w:rsidR="001A731B">
      <w:rPr>
        <w:b/>
        <w:noProof/>
        <w:sz w:val="18"/>
      </w:rPr>
      <w:t>29</w:t>
    </w:r>
    <w:r w:rsidRPr="002540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349" w:rsidRPr="0025406F" w:rsidRDefault="00D23349" w:rsidP="0025406F">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18-12074  (F)    190918    031018</w:t>
    </w:r>
    <w:r>
      <w:rPr>
        <w:sz w:val="20"/>
      </w:rPr>
      <w:br/>
    </w:r>
    <w:r w:rsidRPr="0025406F">
      <w:rPr>
        <w:rFonts w:ascii="C39T30Lfz" w:hAnsi="C39T30Lfz"/>
        <w:sz w:val="56"/>
      </w:rPr>
      <w:t></w:t>
    </w:r>
    <w:r w:rsidRPr="0025406F">
      <w:rPr>
        <w:rFonts w:ascii="C39T30Lfz" w:hAnsi="C39T30Lfz"/>
        <w:sz w:val="56"/>
      </w:rPr>
      <w:t></w:t>
    </w:r>
    <w:r w:rsidRPr="0025406F">
      <w:rPr>
        <w:rFonts w:ascii="C39T30Lfz" w:hAnsi="C39T30Lfz"/>
        <w:sz w:val="56"/>
      </w:rPr>
      <w:t></w:t>
    </w:r>
    <w:r w:rsidRPr="0025406F">
      <w:rPr>
        <w:rFonts w:ascii="C39T30Lfz" w:hAnsi="C39T30Lfz"/>
        <w:sz w:val="56"/>
      </w:rPr>
      <w:t></w:t>
    </w:r>
    <w:r w:rsidRPr="0025406F">
      <w:rPr>
        <w:rFonts w:ascii="C39T30Lfz" w:hAnsi="C39T30Lfz"/>
        <w:sz w:val="56"/>
      </w:rPr>
      <w:t></w:t>
    </w:r>
    <w:r w:rsidRPr="0025406F">
      <w:rPr>
        <w:rFonts w:ascii="C39T30Lfz" w:hAnsi="C39T30Lfz"/>
        <w:sz w:val="56"/>
      </w:rPr>
      <w:t></w:t>
    </w:r>
    <w:r w:rsidRPr="0025406F">
      <w:rPr>
        <w:rFonts w:ascii="C39T30Lfz" w:hAnsi="C39T30Lfz"/>
        <w:sz w:val="56"/>
      </w:rPr>
      <w:t></w:t>
    </w:r>
    <w:r w:rsidRPr="0025406F">
      <w:rPr>
        <w:rFonts w:ascii="C39T30Lfz" w:hAnsi="C39T30Lfz"/>
        <w:sz w:val="56"/>
      </w:rPr>
      <w:t></w:t>
    </w:r>
    <w:r w:rsidRPr="0025406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1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1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349" w:rsidRPr="00AC3823" w:rsidRDefault="00D23349" w:rsidP="00AC3823">
      <w:pPr>
        <w:pStyle w:val="Footer"/>
        <w:tabs>
          <w:tab w:val="right" w:pos="2155"/>
        </w:tabs>
        <w:spacing w:after="80" w:line="240" w:lineRule="atLeast"/>
        <w:ind w:left="680"/>
        <w:rPr>
          <w:u w:val="single"/>
        </w:rPr>
      </w:pPr>
      <w:r>
        <w:rPr>
          <w:u w:val="single"/>
        </w:rPr>
        <w:tab/>
      </w:r>
    </w:p>
  </w:footnote>
  <w:footnote w:type="continuationSeparator" w:id="0">
    <w:p w:rsidR="00D23349" w:rsidRPr="00AC3823" w:rsidRDefault="00D23349" w:rsidP="00AC3823">
      <w:pPr>
        <w:pStyle w:val="Footer"/>
        <w:tabs>
          <w:tab w:val="right" w:pos="2155"/>
        </w:tabs>
        <w:spacing w:after="80" w:line="240" w:lineRule="atLeast"/>
        <w:ind w:left="680"/>
        <w:rPr>
          <w:u w:val="single"/>
        </w:rPr>
      </w:pPr>
      <w:r>
        <w:rPr>
          <w:u w:val="single"/>
        </w:rPr>
        <w:tab/>
      </w:r>
    </w:p>
  </w:footnote>
  <w:footnote w:type="continuationNotice" w:id="1">
    <w:p w:rsidR="00D23349" w:rsidRPr="00AC3823" w:rsidRDefault="00D23349">
      <w:pPr>
        <w:spacing w:line="240" w:lineRule="auto"/>
        <w:rPr>
          <w:sz w:val="2"/>
          <w:szCs w:val="2"/>
        </w:rPr>
      </w:pPr>
    </w:p>
  </w:footnote>
  <w:footnote w:id="2">
    <w:p w:rsidR="00D23349" w:rsidRPr="0081711B" w:rsidRDefault="00D23349" w:rsidP="00D23349">
      <w:pPr>
        <w:pStyle w:val="FootnoteText"/>
      </w:pPr>
      <w:r>
        <w:rPr>
          <w:rStyle w:val="FootnoteReference"/>
        </w:rPr>
        <w:tab/>
      </w:r>
      <w:r w:rsidRPr="0081711B">
        <w:rPr>
          <w:rStyle w:val="FootnoteReference"/>
          <w:sz w:val="20"/>
          <w:vertAlign w:val="baseline"/>
        </w:rPr>
        <w:t>*</w:t>
      </w:r>
      <w:r>
        <w:rPr>
          <w:rStyle w:val="FootnoteReference"/>
          <w:sz w:val="20"/>
          <w:vertAlign w:val="baseline"/>
        </w:rPr>
        <w:tab/>
      </w:r>
      <w:r w:rsidRPr="0081711B">
        <w:rPr>
          <w:sz w:val="20"/>
          <w:lang w:val="fr-FR"/>
        </w:rPr>
        <w:t>Pour des raisons pratiques, cette annexe a été publiée dans un additif au présent rapport (ST/SG/AC.10/C.3/106/Add.1).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349" w:rsidRPr="0025406F" w:rsidRDefault="00DB3E82">
    <w:pPr>
      <w:pStyle w:val="Header"/>
    </w:pPr>
    <w:r>
      <w:fldChar w:fldCharType="begin"/>
    </w:r>
    <w:r>
      <w:instrText xml:space="preserve"> TITLE  \* MERGEFORMAT </w:instrText>
    </w:r>
    <w:r>
      <w:fldChar w:fldCharType="separate"/>
    </w:r>
    <w:r>
      <w:t>ST/SG/AC.10/C.3/106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349" w:rsidRPr="0025406F" w:rsidRDefault="00DB3E82" w:rsidP="0025406F">
    <w:pPr>
      <w:pStyle w:val="Header"/>
      <w:jc w:val="right"/>
    </w:pPr>
    <w:r>
      <w:fldChar w:fldCharType="begin"/>
    </w:r>
    <w:r>
      <w:instrText xml:space="preserve"> TITLE  \* MERGEFORMAT </w:instrText>
    </w:r>
    <w:r>
      <w:fldChar w:fldCharType="separate"/>
    </w:r>
    <w:r>
      <w:t>ST/SG/AC.10/C.3/106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C2473"/>
    <w:multiLevelType w:val="hybridMultilevel"/>
    <w:tmpl w:val="16922ACC"/>
    <w:lvl w:ilvl="0" w:tplc="1E727752">
      <w:start w:val="1"/>
      <w:numFmt w:val="upperLetter"/>
      <w:lvlText w:val="%1."/>
      <w:lvlJc w:val="left"/>
      <w:pPr>
        <w:ind w:left="1376" w:hanging="525"/>
      </w:pPr>
      <w:rPr>
        <w:rFonts w:hint="default"/>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FC1A65"/>
    <w:multiLevelType w:val="hybridMultilevel"/>
    <w:tmpl w:val="16922ACC"/>
    <w:lvl w:ilvl="0" w:tplc="1E727752">
      <w:start w:val="1"/>
      <w:numFmt w:val="upperLetter"/>
      <w:lvlText w:val="%1."/>
      <w:lvlJc w:val="left"/>
      <w:pPr>
        <w:ind w:left="1376" w:hanging="525"/>
      </w:pPr>
      <w:rPr>
        <w:rFonts w:hint="default"/>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996E21"/>
    <w:multiLevelType w:val="hybridMultilevel"/>
    <w:tmpl w:val="067E567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7"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8456F"/>
    <w:multiLevelType w:val="hybridMultilevel"/>
    <w:tmpl w:val="0FC8ACEA"/>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60482"/>
    <w:multiLevelType w:val="hybridMultilevel"/>
    <w:tmpl w:val="16922ACC"/>
    <w:lvl w:ilvl="0" w:tplc="1E727752">
      <w:start w:val="1"/>
      <w:numFmt w:val="upperLetter"/>
      <w:lvlText w:val="%1."/>
      <w:lvlJc w:val="left"/>
      <w:pPr>
        <w:ind w:left="1860" w:hanging="525"/>
      </w:pPr>
      <w:rPr>
        <w:rFonts w:hint="default"/>
      </w:rPr>
    </w:lvl>
    <w:lvl w:ilvl="1" w:tplc="040C0019">
      <w:start w:val="1"/>
      <w:numFmt w:val="lowerLetter"/>
      <w:lvlText w:val="%2."/>
      <w:lvlJc w:val="left"/>
      <w:pPr>
        <w:ind w:left="2415" w:hanging="360"/>
      </w:pPr>
    </w:lvl>
    <w:lvl w:ilvl="2" w:tplc="040C001B" w:tentative="1">
      <w:start w:val="1"/>
      <w:numFmt w:val="lowerRoman"/>
      <w:lvlText w:val="%3."/>
      <w:lvlJc w:val="right"/>
      <w:pPr>
        <w:ind w:left="3135" w:hanging="180"/>
      </w:pPr>
    </w:lvl>
    <w:lvl w:ilvl="3" w:tplc="040C000F" w:tentative="1">
      <w:start w:val="1"/>
      <w:numFmt w:val="decimal"/>
      <w:lvlText w:val="%4."/>
      <w:lvlJc w:val="left"/>
      <w:pPr>
        <w:ind w:left="3855" w:hanging="360"/>
      </w:pPr>
    </w:lvl>
    <w:lvl w:ilvl="4" w:tplc="040C0019" w:tentative="1">
      <w:start w:val="1"/>
      <w:numFmt w:val="lowerLetter"/>
      <w:lvlText w:val="%5."/>
      <w:lvlJc w:val="left"/>
      <w:pPr>
        <w:ind w:left="4575" w:hanging="360"/>
      </w:pPr>
    </w:lvl>
    <w:lvl w:ilvl="5" w:tplc="040C001B" w:tentative="1">
      <w:start w:val="1"/>
      <w:numFmt w:val="lowerRoman"/>
      <w:lvlText w:val="%6."/>
      <w:lvlJc w:val="right"/>
      <w:pPr>
        <w:ind w:left="5295" w:hanging="180"/>
      </w:pPr>
    </w:lvl>
    <w:lvl w:ilvl="6" w:tplc="040C000F" w:tentative="1">
      <w:start w:val="1"/>
      <w:numFmt w:val="decimal"/>
      <w:lvlText w:val="%7."/>
      <w:lvlJc w:val="left"/>
      <w:pPr>
        <w:ind w:left="6015" w:hanging="360"/>
      </w:pPr>
    </w:lvl>
    <w:lvl w:ilvl="7" w:tplc="040C0019" w:tentative="1">
      <w:start w:val="1"/>
      <w:numFmt w:val="lowerLetter"/>
      <w:lvlText w:val="%8."/>
      <w:lvlJc w:val="left"/>
      <w:pPr>
        <w:ind w:left="6735" w:hanging="360"/>
      </w:pPr>
    </w:lvl>
    <w:lvl w:ilvl="8" w:tplc="040C001B" w:tentative="1">
      <w:start w:val="1"/>
      <w:numFmt w:val="lowerRoman"/>
      <w:lvlText w:val="%9."/>
      <w:lvlJc w:val="right"/>
      <w:pPr>
        <w:ind w:left="7455" w:hanging="180"/>
      </w:pPr>
    </w:lvl>
  </w:abstractNum>
  <w:num w:numId="1">
    <w:abstractNumId w:val="22"/>
  </w:num>
  <w:num w:numId="2">
    <w:abstractNumId w:val="17"/>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4"/>
  </w:num>
  <w:num w:numId="17">
    <w:abstractNumId w:val="19"/>
  </w:num>
  <w:num w:numId="18">
    <w:abstractNumId w:val="15"/>
  </w:num>
  <w:num w:numId="19">
    <w:abstractNumId w:val="11"/>
  </w:num>
  <w:num w:numId="20">
    <w:abstractNumId w:val="20"/>
  </w:num>
  <w:num w:numId="21">
    <w:abstractNumId w:val="23"/>
  </w:num>
  <w:num w:numId="22">
    <w:abstractNumId w:val="13"/>
  </w:num>
  <w:num w:numId="23">
    <w:abstractNumId w:val="12"/>
  </w:num>
  <w:num w:numId="24">
    <w:abstractNumId w:val="10"/>
  </w:num>
  <w:num w:numId="25">
    <w:abstractNumId w:val="24"/>
  </w:num>
  <w:num w:numId="26">
    <w:abstractNumId w:val="18"/>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00"/>
    <w:rsid w:val="00017F94"/>
    <w:rsid w:val="00023842"/>
    <w:rsid w:val="000305D3"/>
    <w:rsid w:val="000334F9"/>
    <w:rsid w:val="0007796D"/>
    <w:rsid w:val="00080411"/>
    <w:rsid w:val="000A1E00"/>
    <w:rsid w:val="000B3421"/>
    <w:rsid w:val="000B7790"/>
    <w:rsid w:val="000F6744"/>
    <w:rsid w:val="00111F2F"/>
    <w:rsid w:val="00132EA9"/>
    <w:rsid w:val="0014365E"/>
    <w:rsid w:val="00176178"/>
    <w:rsid w:val="001A731B"/>
    <w:rsid w:val="001D5BDA"/>
    <w:rsid w:val="001F525A"/>
    <w:rsid w:val="002016B9"/>
    <w:rsid w:val="00223272"/>
    <w:rsid w:val="0024779E"/>
    <w:rsid w:val="002503E7"/>
    <w:rsid w:val="0025406F"/>
    <w:rsid w:val="00283190"/>
    <w:rsid w:val="002832AC"/>
    <w:rsid w:val="00286BDC"/>
    <w:rsid w:val="002D7C93"/>
    <w:rsid w:val="0035529A"/>
    <w:rsid w:val="00362AC3"/>
    <w:rsid w:val="003C3D27"/>
    <w:rsid w:val="003D1016"/>
    <w:rsid w:val="00423168"/>
    <w:rsid w:val="00436E6D"/>
    <w:rsid w:val="00441C3B"/>
    <w:rsid w:val="00446FE5"/>
    <w:rsid w:val="00452396"/>
    <w:rsid w:val="004E468C"/>
    <w:rsid w:val="004F5500"/>
    <w:rsid w:val="005031BD"/>
    <w:rsid w:val="0053098E"/>
    <w:rsid w:val="005505B7"/>
    <w:rsid w:val="00573BE5"/>
    <w:rsid w:val="0058234C"/>
    <w:rsid w:val="00584DC4"/>
    <w:rsid w:val="00586ED3"/>
    <w:rsid w:val="00596AA9"/>
    <w:rsid w:val="005C5878"/>
    <w:rsid w:val="005D4C44"/>
    <w:rsid w:val="006117A4"/>
    <w:rsid w:val="00637BB4"/>
    <w:rsid w:val="0068005B"/>
    <w:rsid w:val="0068456F"/>
    <w:rsid w:val="006A1021"/>
    <w:rsid w:val="006D54DB"/>
    <w:rsid w:val="0071601D"/>
    <w:rsid w:val="00757C35"/>
    <w:rsid w:val="007A62E6"/>
    <w:rsid w:val="007C68F9"/>
    <w:rsid w:val="007D7DB2"/>
    <w:rsid w:val="007F07ED"/>
    <w:rsid w:val="0080684C"/>
    <w:rsid w:val="0081711B"/>
    <w:rsid w:val="00871C75"/>
    <w:rsid w:val="008776DC"/>
    <w:rsid w:val="00896A67"/>
    <w:rsid w:val="008B40CD"/>
    <w:rsid w:val="009339BF"/>
    <w:rsid w:val="009705C8"/>
    <w:rsid w:val="009C1CF4"/>
    <w:rsid w:val="009D6706"/>
    <w:rsid w:val="00A30353"/>
    <w:rsid w:val="00A5213A"/>
    <w:rsid w:val="00AA0C3F"/>
    <w:rsid w:val="00AA16F9"/>
    <w:rsid w:val="00AB3EFE"/>
    <w:rsid w:val="00AC3823"/>
    <w:rsid w:val="00AE323C"/>
    <w:rsid w:val="00AE4A05"/>
    <w:rsid w:val="00B00181"/>
    <w:rsid w:val="00B00B0D"/>
    <w:rsid w:val="00B765F7"/>
    <w:rsid w:val="00B824F7"/>
    <w:rsid w:val="00BA0CA9"/>
    <w:rsid w:val="00BF23F3"/>
    <w:rsid w:val="00C02897"/>
    <w:rsid w:val="00C57EB7"/>
    <w:rsid w:val="00C73F6E"/>
    <w:rsid w:val="00C94F0A"/>
    <w:rsid w:val="00CF2192"/>
    <w:rsid w:val="00CF30D6"/>
    <w:rsid w:val="00D23349"/>
    <w:rsid w:val="00D3439C"/>
    <w:rsid w:val="00D73168"/>
    <w:rsid w:val="00DB1831"/>
    <w:rsid w:val="00DB3E82"/>
    <w:rsid w:val="00DD3BFD"/>
    <w:rsid w:val="00DF6678"/>
    <w:rsid w:val="00E80D2E"/>
    <w:rsid w:val="00E84C8B"/>
    <w:rsid w:val="00EB0B1C"/>
    <w:rsid w:val="00EE2D44"/>
    <w:rsid w:val="00EE3BCC"/>
    <w:rsid w:val="00EF2E22"/>
    <w:rsid w:val="00F01738"/>
    <w:rsid w:val="00F660DF"/>
    <w:rsid w:val="00F730C8"/>
    <w:rsid w:val="00F92FCF"/>
    <w:rsid w:val="00F95C08"/>
    <w:rsid w:val="00FB2AA4"/>
    <w:rsid w:val="00FD10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F312EE-48F8-466C-9124-E523235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584DC4"/>
    <w:pPr>
      <w:spacing w:line="240" w:lineRule="auto"/>
    </w:pPr>
    <w:rPr>
      <w:sz w:val="16"/>
    </w:rPr>
  </w:style>
  <w:style w:type="character" w:customStyle="1" w:styleId="FooterChar">
    <w:name w:val="Footer Char"/>
    <w:aliases w:val="3_G Char"/>
    <w:basedOn w:val="DefaultParagraphFont"/>
    <w:link w:val="Footer"/>
    <w:uiPriority w:val="99"/>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2EA9"/>
    <w:rPr>
      <w:rFonts w:ascii="Tahoma" w:hAnsi="Tahoma" w:cs="Tahoma"/>
      <w:sz w:val="16"/>
      <w:szCs w:val="16"/>
      <w:lang w:eastAsia="en-US"/>
    </w:rPr>
  </w:style>
  <w:style w:type="character" w:customStyle="1" w:styleId="SingleTxtGChar">
    <w:name w:val="_ Single Txt_G Char"/>
    <w:link w:val="SingleTxtG"/>
    <w:qFormat/>
    <w:rsid w:val="00286BDC"/>
    <w:rPr>
      <w:rFonts w:ascii="Times New Roman" w:eastAsiaTheme="minorHAnsi" w:hAnsi="Times New Roman" w:cs="Times New Roman"/>
      <w:sz w:val="20"/>
      <w:szCs w:val="20"/>
      <w:lang w:eastAsia="en-US"/>
    </w:rPr>
  </w:style>
  <w:style w:type="character" w:customStyle="1" w:styleId="HChGChar">
    <w:name w:val="_ H _Ch_G Char"/>
    <w:link w:val="HChG"/>
    <w:rsid w:val="00286BDC"/>
    <w:rPr>
      <w:rFonts w:ascii="Times New Roman" w:eastAsiaTheme="minorHAnsi" w:hAnsi="Times New Roman" w:cs="Times New Roman"/>
      <w:b/>
      <w:sz w:val="28"/>
      <w:szCs w:val="20"/>
      <w:lang w:eastAsia="en-US"/>
    </w:rPr>
  </w:style>
  <w:style w:type="character" w:customStyle="1" w:styleId="H23GChar">
    <w:name w:val="_ H_2/3_G Char"/>
    <w:link w:val="H23G"/>
    <w:rsid w:val="00286BDC"/>
    <w:rPr>
      <w:rFonts w:ascii="Times New Roman" w:eastAsiaTheme="minorHAnsi" w:hAnsi="Times New Roman" w:cs="Times New Roman"/>
      <w:b/>
      <w:sz w:val="20"/>
      <w:szCs w:val="20"/>
      <w:lang w:eastAsia="en-US"/>
    </w:rPr>
  </w:style>
  <w:style w:type="paragraph" w:styleId="PlainText">
    <w:name w:val="Plain Text"/>
    <w:basedOn w:val="Normal"/>
    <w:link w:val="PlainTextChar"/>
    <w:semiHidden/>
    <w:rsid w:val="00286BDC"/>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286BDC"/>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286BDC"/>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286BDC"/>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286BDC"/>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286BDC"/>
    <w:rPr>
      <w:rFonts w:ascii="Times New Roman" w:hAnsi="Times New Roman" w:cs="Times New Roman"/>
      <w:sz w:val="20"/>
      <w:szCs w:val="20"/>
      <w:lang w:val="en-GB" w:eastAsia="en-US"/>
    </w:rPr>
  </w:style>
  <w:style w:type="paragraph" w:styleId="BlockText">
    <w:name w:val="Block Text"/>
    <w:basedOn w:val="Normal"/>
    <w:semiHidden/>
    <w:rsid w:val="00286BDC"/>
    <w:pPr>
      <w:kinsoku/>
      <w:overflowPunct/>
      <w:autoSpaceDE/>
      <w:autoSpaceDN/>
      <w:adjustRightInd/>
      <w:snapToGrid/>
      <w:ind w:left="1440" w:right="1440"/>
    </w:pPr>
    <w:rPr>
      <w:rFonts w:eastAsia="Times New Roman"/>
      <w:lang w:val="en-GB"/>
    </w:rPr>
  </w:style>
  <w:style w:type="character" w:styleId="CommentReference">
    <w:name w:val="annotation reference"/>
    <w:basedOn w:val="DefaultParagraphFont"/>
    <w:semiHidden/>
    <w:rsid w:val="00286BDC"/>
    <w:rPr>
      <w:sz w:val="6"/>
    </w:rPr>
  </w:style>
  <w:style w:type="paragraph" w:styleId="CommentText">
    <w:name w:val="annotation text"/>
    <w:basedOn w:val="Normal"/>
    <w:link w:val="CommentTextChar"/>
    <w:semiHidden/>
    <w:rsid w:val="00286BDC"/>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semiHidden/>
    <w:rsid w:val="00286BDC"/>
    <w:rPr>
      <w:rFonts w:ascii="Times New Roman" w:hAnsi="Times New Roman" w:cs="Times New Roman"/>
      <w:sz w:val="20"/>
      <w:szCs w:val="20"/>
      <w:lang w:val="en-GB" w:eastAsia="en-US"/>
    </w:rPr>
  </w:style>
  <w:style w:type="character" w:styleId="LineNumber">
    <w:name w:val="line number"/>
    <w:basedOn w:val="DefaultParagraphFont"/>
    <w:semiHidden/>
    <w:rsid w:val="00286BDC"/>
    <w:rPr>
      <w:sz w:val="14"/>
    </w:rPr>
  </w:style>
  <w:style w:type="numbering" w:styleId="111111">
    <w:name w:val="Outline List 2"/>
    <w:basedOn w:val="NoList"/>
    <w:semiHidden/>
    <w:rsid w:val="00286BDC"/>
    <w:pPr>
      <w:numPr>
        <w:numId w:val="17"/>
      </w:numPr>
    </w:pPr>
  </w:style>
  <w:style w:type="numbering" w:styleId="1ai">
    <w:name w:val="Outline List 1"/>
    <w:basedOn w:val="NoList"/>
    <w:semiHidden/>
    <w:rsid w:val="00286BDC"/>
    <w:pPr>
      <w:numPr>
        <w:numId w:val="18"/>
      </w:numPr>
    </w:pPr>
  </w:style>
  <w:style w:type="numbering" w:styleId="ArticleSection">
    <w:name w:val="Outline List 3"/>
    <w:basedOn w:val="NoList"/>
    <w:semiHidden/>
    <w:rsid w:val="00286BDC"/>
    <w:pPr>
      <w:numPr>
        <w:numId w:val="19"/>
      </w:numPr>
    </w:pPr>
  </w:style>
  <w:style w:type="paragraph" w:styleId="BodyText2">
    <w:name w:val="Body Text 2"/>
    <w:basedOn w:val="Normal"/>
    <w:link w:val="BodyText2Char"/>
    <w:semiHidden/>
    <w:rsid w:val="00286BDC"/>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286BDC"/>
    <w:rPr>
      <w:rFonts w:ascii="Times New Roman" w:hAnsi="Times New Roman" w:cs="Times New Roman"/>
      <w:sz w:val="20"/>
      <w:szCs w:val="20"/>
      <w:lang w:val="en-GB" w:eastAsia="en-US"/>
    </w:rPr>
  </w:style>
  <w:style w:type="paragraph" w:styleId="BodyText3">
    <w:name w:val="Body Text 3"/>
    <w:basedOn w:val="Normal"/>
    <w:link w:val="BodyText3Char"/>
    <w:semiHidden/>
    <w:rsid w:val="00286BDC"/>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286BDC"/>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286BDC"/>
    <w:pPr>
      <w:spacing w:after="120"/>
      <w:ind w:firstLine="210"/>
    </w:pPr>
  </w:style>
  <w:style w:type="character" w:customStyle="1" w:styleId="BodyTextFirstIndentChar">
    <w:name w:val="Body Text First Indent Char"/>
    <w:basedOn w:val="BodyTextChar"/>
    <w:link w:val="BodyTextFirstIndent"/>
    <w:semiHidden/>
    <w:rsid w:val="00286BDC"/>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286BDC"/>
    <w:pPr>
      <w:ind w:firstLine="210"/>
    </w:pPr>
  </w:style>
  <w:style w:type="character" w:customStyle="1" w:styleId="BodyTextFirstIndent2Char">
    <w:name w:val="Body Text First Indent 2 Char"/>
    <w:basedOn w:val="BodyTextIndentChar"/>
    <w:link w:val="BodyTextFirstIndent2"/>
    <w:semiHidden/>
    <w:rsid w:val="00286BDC"/>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286BDC"/>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286BDC"/>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286BDC"/>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286BDC"/>
    <w:rPr>
      <w:rFonts w:ascii="Times New Roman" w:hAnsi="Times New Roman" w:cs="Times New Roman"/>
      <w:sz w:val="16"/>
      <w:szCs w:val="16"/>
      <w:lang w:val="en-GB" w:eastAsia="en-US"/>
    </w:rPr>
  </w:style>
  <w:style w:type="paragraph" w:styleId="Closing">
    <w:name w:val="Closing"/>
    <w:basedOn w:val="Normal"/>
    <w:link w:val="ClosingChar"/>
    <w:semiHidden/>
    <w:rsid w:val="00286BDC"/>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286BDC"/>
    <w:rPr>
      <w:rFonts w:ascii="Times New Roman" w:hAnsi="Times New Roman" w:cs="Times New Roman"/>
      <w:sz w:val="20"/>
      <w:szCs w:val="20"/>
      <w:lang w:val="en-GB" w:eastAsia="en-US"/>
    </w:rPr>
  </w:style>
  <w:style w:type="paragraph" w:styleId="Date">
    <w:name w:val="Date"/>
    <w:basedOn w:val="Normal"/>
    <w:next w:val="Normal"/>
    <w:link w:val="DateChar"/>
    <w:semiHidden/>
    <w:rsid w:val="00286BDC"/>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286BDC"/>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286BDC"/>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286BDC"/>
    <w:rPr>
      <w:rFonts w:ascii="Times New Roman" w:hAnsi="Times New Roman" w:cs="Times New Roman"/>
      <w:sz w:val="20"/>
      <w:szCs w:val="20"/>
      <w:lang w:val="en-GB" w:eastAsia="en-US"/>
    </w:rPr>
  </w:style>
  <w:style w:type="character" w:styleId="Emphasis">
    <w:name w:val="Emphasis"/>
    <w:basedOn w:val="DefaultParagraphFont"/>
    <w:qFormat/>
    <w:rsid w:val="00286BDC"/>
    <w:rPr>
      <w:i/>
      <w:iCs/>
    </w:rPr>
  </w:style>
  <w:style w:type="paragraph" w:styleId="EnvelopeReturn">
    <w:name w:val="envelope return"/>
    <w:basedOn w:val="Normal"/>
    <w:semiHidden/>
    <w:rsid w:val="00286BDC"/>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286BDC"/>
  </w:style>
  <w:style w:type="paragraph" w:styleId="HTMLAddress">
    <w:name w:val="HTML Address"/>
    <w:basedOn w:val="Normal"/>
    <w:link w:val="HTMLAddressChar"/>
    <w:semiHidden/>
    <w:rsid w:val="00286BDC"/>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286BDC"/>
    <w:rPr>
      <w:rFonts w:ascii="Times New Roman" w:hAnsi="Times New Roman" w:cs="Times New Roman"/>
      <w:i/>
      <w:iCs/>
      <w:sz w:val="20"/>
      <w:szCs w:val="20"/>
      <w:lang w:val="en-GB" w:eastAsia="en-US"/>
    </w:rPr>
  </w:style>
  <w:style w:type="character" w:styleId="HTMLCite">
    <w:name w:val="HTML Cite"/>
    <w:basedOn w:val="DefaultParagraphFont"/>
    <w:semiHidden/>
    <w:rsid w:val="00286BDC"/>
    <w:rPr>
      <w:i/>
      <w:iCs/>
    </w:rPr>
  </w:style>
  <w:style w:type="character" w:styleId="HTMLCode">
    <w:name w:val="HTML Code"/>
    <w:basedOn w:val="DefaultParagraphFont"/>
    <w:semiHidden/>
    <w:rsid w:val="00286BDC"/>
    <w:rPr>
      <w:rFonts w:ascii="Courier New" w:hAnsi="Courier New" w:cs="Courier New"/>
      <w:sz w:val="20"/>
      <w:szCs w:val="20"/>
    </w:rPr>
  </w:style>
  <w:style w:type="character" w:styleId="HTMLDefinition">
    <w:name w:val="HTML Definition"/>
    <w:basedOn w:val="DefaultParagraphFont"/>
    <w:semiHidden/>
    <w:rsid w:val="00286BDC"/>
    <w:rPr>
      <w:i/>
      <w:iCs/>
    </w:rPr>
  </w:style>
  <w:style w:type="character" w:styleId="HTMLKeyboard">
    <w:name w:val="HTML Keyboard"/>
    <w:basedOn w:val="DefaultParagraphFont"/>
    <w:semiHidden/>
    <w:rsid w:val="00286BDC"/>
    <w:rPr>
      <w:rFonts w:ascii="Courier New" w:hAnsi="Courier New" w:cs="Courier New"/>
      <w:sz w:val="20"/>
      <w:szCs w:val="20"/>
    </w:rPr>
  </w:style>
  <w:style w:type="paragraph" w:styleId="HTMLPreformatted">
    <w:name w:val="HTML Preformatted"/>
    <w:basedOn w:val="Normal"/>
    <w:link w:val="HTMLPreformattedChar"/>
    <w:semiHidden/>
    <w:rsid w:val="00286BDC"/>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286BDC"/>
    <w:rPr>
      <w:rFonts w:ascii="Courier New" w:hAnsi="Courier New" w:cs="Courier New"/>
      <w:sz w:val="20"/>
      <w:szCs w:val="20"/>
      <w:lang w:val="en-GB" w:eastAsia="en-US"/>
    </w:rPr>
  </w:style>
  <w:style w:type="character" w:styleId="HTMLSample">
    <w:name w:val="HTML Sample"/>
    <w:basedOn w:val="DefaultParagraphFont"/>
    <w:semiHidden/>
    <w:rsid w:val="00286BDC"/>
    <w:rPr>
      <w:rFonts w:ascii="Courier New" w:hAnsi="Courier New" w:cs="Courier New"/>
    </w:rPr>
  </w:style>
  <w:style w:type="character" w:styleId="HTMLTypewriter">
    <w:name w:val="HTML Typewriter"/>
    <w:basedOn w:val="DefaultParagraphFont"/>
    <w:semiHidden/>
    <w:rsid w:val="00286BDC"/>
    <w:rPr>
      <w:rFonts w:ascii="Courier New" w:hAnsi="Courier New" w:cs="Courier New"/>
      <w:sz w:val="20"/>
      <w:szCs w:val="20"/>
    </w:rPr>
  </w:style>
  <w:style w:type="character" w:styleId="HTMLVariable">
    <w:name w:val="HTML Variable"/>
    <w:basedOn w:val="DefaultParagraphFont"/>
    <w:semiHidden/>
    <w:rsid w:val="00286BDC"/>
    <w:rPr>
      <w:i/>
      <w:iCs/>
    </w:rPr>
  </w:style>
  <w:style w:type="paragraph" w:styleId="List">
    <w:name w:val="List"/>
    <w:basedOn w:val="Normal"/>
    <w:semiHidden/>
    <w:rsid w:val="00286BDC"/>
    <w:pPr>
      <w:kinsoku/>
      <w:overflowPunct/>
      <w:autoSpaceDE/>
      <w:autoSpaceDN/>
      <w:adjustRightInd/>
      <w:snapToGrid/>
      <w:ind w:left="283" w:hanging="283"/>
    </w:pPr>
    <w:rPr>
      <w:rFonts w:eastAsia="Times New Roman"/>
      <w:lang w:val="en-GB"/>
    </w:rPr>
  </w:style>
  <w:style w:type="paragraph" w:styleId="List2">
    <w:name w:val="List 2"/>
    <w:basedOn w:val="Normal"/>
    <w:semiHidden/>
    <w:rsid w:val="00286BDC"/>
    <w:pPr>
      <w:kinsoku/>
      <w:overflowPunct/>
      <w:autoSpaceDE/>
      <w:autoSpaceDN/>
      <w:adjustRightInd/>
      <w:snapToGrid/>
      <w:ind w:left="566" w:hanging="283"/>
    </w:pPr>
    <w:rPr>
      <w:rFonts w:eastAsia="Times New Roman"/>
      <w:lang w:val="en-GB"/>
    </w:rPr>
  </w:style>
  <w:style w:type="paragraph" w:styleId="List3">
    <w:name w:val="List 3"/>
    <w:basedOn w:val="Normal"/>
    <w:semiHidden/>
    <w:rsid w:val="00286BDC"/>
    <w:pPr>
      <w:kinsoku/>
      <w:overflowPunct/>
      <w:autoSpaceDE/>
      <w:autoSpaceDN/>
      <w:adjustRightInd/>
      <w:snapToGrid/>
      <w:ind w:left="849" w:hanging="283"/>
    </w:pPr>
    <w:rPr>
      <w:rFonts w:eastAsia="Times New Roman"/>
      <w:lang w:val="en-GB"/>
    </w:rPr>
  </w:style>
  <w:style w:type="paragraph" w:styleId="List4">
    <w:name w:val="List 4"/>
    <w:basedOn w:val="Normal"/>
    <w:semiHidden/>
    <w:rsid w:val="00286BDC"/>
    <w:pPr>
      <w:kinsoku/>
      <w:overflowPunct/>
      <w:autoSpaceDE/>
      <w:autoSpaceDN/>
      <w:adjustRightInd/>
      <w:snapToGrid/>
      <w:ind w:left="1132" w:hanging="283"/>
    </w:pPr>
    <w:rPr>
      <w:rFonts w:eastAsia="Times New Roman"/>
      <w:lang w:val="en-GB"/>
    </w:rPr>
  </w:style>
  <w:style w:type="paragraph" w:styleId="List5">
    <w:name w:val="List 5"/>
    <w:basedOn w:val="Normal"/>
    <w:semiHidden/>
    <w:rsid w:val="00286BDC"/>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286BDC"/>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286BDC"/>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286BDC"/>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286BDC"/>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286BDC"/>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286BDC"/>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286BDC"/>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286BDC"/>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286BDC"/>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286BDC"/>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286BDC"/>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286BDC"/>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286BDC"/>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286BDC"/>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286BDC"/>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286BDC"/>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286BDC"/>
    <w:rPr>
      <w:rFonts w:ascii="Arial" w:hAnsi="Arial" w:cs="Arial"/>
      <w:sz w:val="24"/>
      <w:szCs w:val="24"/>
      <w:shd w:val="pct20" w:color="auto" w:fill="auto"/>
      <w:lang w:val="en-GB" w:eastAsia="en-US"/>
    </w:rPr>
  </w:style>
  <w:style w:type="paragraph" w:styleId="NormalWeb">
    <w:name w:val="Normal (Web)"/>
    <w:basedOn w:val="Normal"/>
    <w:semiHidden/>
    <w:rsid w:val="00286BDC"/>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286BDC"/>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286BDC"/>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286BDC"/>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286BDC"/>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286BDC"/>
    <w:rPr>
      <w:rFonts w:ascii="Times New Roman" w:hAnsi="Times New Roman" w:cs="Times New Roman"/>
      <w:sz w:val="20"/>
      <w:szCs w:val="20"/>
      <w:lang w:val="en-GB" w:eastAsia="en-US"/>
    </w:rPr>
  </w:style>
  <w:style w:type="paragraph" w:styleId="Signature">
    <w:name w:val="Signature"/>
    <w:basedOn w:val="Normal"/>
    <w:link w:val="SignatureChar"/>
    <w:semiHidden/>
    <w:rsid w:val="00286BDC"/>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286BDC"/>
    <w:rPr>
      <w:rFonts w:ascii="Times New Roman" w:hAnsi="Times New Roman" w:cs="Times New Roman"/>
      <w:sz w:val="20"/>
      <w:szCs w:val="20"/>
      <w:lang w:val="en-GB" w:eastAsia="en-US"/>
    </w:rPr>
  </w:style>
  <w:style w:type="character" w:styleId="Strong">
    <w:name w:val="Strong"/>
    <w:basedOn w:val="DefaultParagraphFont"/>
    <w:qFormat/>
    <w:rsid w:val="00286BDC"/>
    <w:rPr>
      <w:b/>
      <w:bCs/>
    </w:rPr>
  </w:style>
  <w:style w:type="paragraph" w:styleId="Subtitle">
    <w:name w:val="Subtitle"/>
    <w:basedOn w:val="Normal"/>
    <w:link w:val="SubtitleChar"/>
    <w:qFormat/>
    <w:rsid w:val="00286BDC"/>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286BDC"/>
    <w:rPr>
      <w:rFonts w:ascii="Arial" w:hAnsi="Arial" w:cs="Arial"/>
      <w:sz w:val="24"/>
      <w:szCs w:val="24"/>
      <w:lang w:val="en-GB" w:eastAsia="en-US"/>
    </w:rPr>
  </w:style>
  <w:style w:type="table" w:styleId="Table3Deffects1">
    <w:name w:val="Table 3D effects 1"/>
    <w:basedOn w:val="TableNormal"/>
    <w:semiHidden/>
    <w:rsid w:val="00286BDC"/>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BDC"/>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BDC"/>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BDC"/>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BDC"/>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BDC"/>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BDC"/>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BDC"/>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BDC"/>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BDC"/>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BDC"/>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BDC"/>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BDC"/>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BDC"/>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BDC"/>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BDC"/>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BDC"/>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BDC"/>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BDC"/>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BDC"/>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86BDC"/>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BDC"/>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BDC"/>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86BDC"/>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86BDC"/>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286BDC"/>
    <w:rPr>
      <w:rFonts w:ascii="Arial" w:hAnsi="Arial" w:cs="Arial"/>
      <w:b/>
      <w:bCs/>
      <w:kern w:val="28"/>
      <w:sz w:val="32"/>
      <w:szCs w:val="32"/>
      <w:lang w:val="en-GB" w:eastAsia="en-US"/>
    </w:rPr>
  </w:style>
  <w:style w:type="paragraph" w:styleId="EnvelopeAddress">
    <w:name w:val="envelope address"/>
    <w:basedOn w:val="Normal"/>
    <w:semiHidden/>
    <w:rsid w:val="00286BDC"/>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SingleTxtGZchnZchn">
    <w:name w:val="_ Single Txt_G Zchn Zchn"/>
    <w:rsid w:val="00286BDC"/>
    <w:rPr>
      <w:lang w:val="en-GB" w:eastAsia="en-US" w:bidi="ar-SA"/>
    </w:rPr>
  </w:style>
  <w:style w:type="paragraph" w:styleId="CommentSubject">
    <w:name w:val="annotation subject"/>
    <w:basedOn w:val="CommentText"/>
    <w:next w:val="CommentText"/>
    <w:link w:val="CommentSubjectChar"/>
    <w:semiHidden/>
    <w:unhideWhenUsed/>
    <w:rsid w:val="00286BDC"/>
    <w:pPr>
      <w:spacing w:line="240" w:lineRule="auto"/>
    </w:pPr>
    <w:rPr>
      <w:b/>
      <w:bCs/>
    </w:rPr>
  </w:style>
  <w:style w:type="character" w:customStyle="1" w:styleId="CommentSubjectChar">
    <w:name w:val="Comment Subject Char"/>
    <w:basedOn w:val="CommentTextChar"/>
    <w:link w:val="CommentSubject"/>
    <w:semiHidden/>
    <w:rsid w:val="00286BDC"/>
    <w:rPr>
      <w:rFonts w:ascii="Times New Roman" w:hAnsi="Times New Roman" w:cs="Times New Roman"/>
      <w:b/>
      <w:bCs/>
      <w:sz w:val="20"/>
      <w:szCs w:val="20"/>
      <w:lang w:val="en-GB" w:eastAsia="en-US"/>
    </w:rPr>
  </w:style>
  <w:style w:type="paragraph" w:styleId="Revision">
    <w:name w:val="Revision"/>
    <w:hidden/>
    <w:uiPriority w:val="99"/>
    <w:semiHidden/>
    <w:rsid w:val="00286BDC"/>
    <w:pPr>
      <w:spacing w:after="0" w:line="240" w:lineRule="auto"/>
    </w:pPr>
    <w:rPr>
      <w:rFonts w:ascii="Times New Roman" w:hAnsi="Times New Roman" w:cs="Times New Roman"/>
      <w:sz w:val="20"/>
      <w:szCs w:val="20"/>
      <w:lang w:val="en-GB" w:eastAsia="en-US"/>
    </w:rPr>
  </w:style>
  <w:style w:type="paragraph" w:styleId="ListParagraph">
    <w:name w:val="List Paragraph"/>
    <w:basedOn w:val="Normal"/>
    <w:uiPriority w:val="34"/>
    <w:qFormat/>
    <w:rsid w:val="00286BDC"/>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CE916-37C2-4C26-8FC4-DA750474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15075</Words>
  <Characters>85930</Characters>
  <Application>Microsoft Office Word</Application>
  <DocSecurity>0</DocSecurity>
  <Lines>716</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ST/SG/AC.10/C.3/106</vt:lpstr>
      <vt:lpstr>ST/SG/AC.10/C.3/106</vt:lpstr>
    </vt:vector>
  </TitlesOfParts>
  <Company>DCM</Company>
  <LinksUpToDate>false</LinksUpToDate>
  <CharactersWithSpaces>100804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ST/SG/AC.10/C.3/106</dc:title>
  <dc:subject/>
  <dc:creator>Fabienne CRELIER</dc:creator>
  <cp:keywords/>
  <cp:lastModifiedBy>Laurence Berthet</cp:lastModifiedBy>
  <cp:revision>3</cp:revision>
  <cp:lastPrinted>2018-11-06T14:33:00Z</cp:lastPrinted>
  <dcterms:created xsi:type="dcterms:W3CDTF">2018-11-06T14:33:00Z</dcterms:created>
  <dcterms:modified xsi:type="dcterms:W3CDTF">2018-11-06T14:33:00Z</dcterms:modified>
</cp:coreProperties>
</file>