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D06F1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D06F19" w:rsidP="00D06F19">
            <w:pPr>
              <w:jc w:val="right"/>
            </w:pPr>
            <w:r w:rsidRPr="00D06F19">
              <w:rPr>
                <w:sz w:val="40"/>
              </w:rPr>
              <w:t>ST</w:t>
            </w:r>
            <w:r>
              <w:t>/SG/AC.10/C.3/2018/96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D06F19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D06F19" w:rsidRDefault="00D06F19" w:rsidP="00D06F19">
            <w:pPr>
              <w:spacing w:line="240" w:lineRule="exact"/>
            </w:pPr>
            <w:r>
              <w:t>7 septembre 2018</w:t>
            </w:r>
          </w:p>
          <w:p w:rsidR="00D06F19" w:rsidRDefault="00D06F19" w:rsidP="00D06F19">
            <w:pPr>
              <w:spacing w:line="240" w:lineRule="exact"/>
            </w:pPr>
            <w:r>
              <w:t>Français</w:t>
            </w:r>
          </w:p>
          <w:p w:rsidR="00D06F19" w:rsidRPr="00DB58B5" w:rsidRDefault="00D06F19" w:rsidP="00D06F19">
            <w:pPr>
              <w:spacing w:line="240" w:lineRule="exact"/>
            </w:pPr>
            <w:r>
              <w:t>Original : anglais</w:t>
            </w:r>
          </w:p>
        </w:tc>
      </w:tr>
    </w:tbl>
    <w:p w:rsidR="00D06F19" w:rsidRPr="00CA0680" w:rsidRDefault="00D06F1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C170B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C170B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D06F19" w:rsidRPr="00CA0680" w:rsidRDefault="00D06F19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C170B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D06F19" w:rsidRPr="00D06F19" w:rsidRDefault="00D06F19" w:rsidP="000305D3">
      <w:pPr>
        <w:spacing w:before="120"/>
        <w:rPr>
          <w:b/>
        </w:rPr>
      </w:pPr>
      <w:r w:rsidRPr="00D06F19">
        <w:rPr>
          <w:b/>
          <w:lang w:val="fr-FR"/>
        </w:rPr>
        <w:t>Cinquante-quatrième</w:t>
      </w:r>
      <w:r w:rsidRPr="00D06F19">
        <w:rPr>
          <w:b/>
        </w:rPr>
        <w:t xml:space="preserve"> session</w:t>
      </w:r>
    </w:p>
    <w:p w:rsidR="00D06F19" w:rsidRDefault="00D06F19" w:rsidP="000305D3">
      <w:r>
        <w:t xml:space="preserve">Genève, </w:t>
      </w:r>
      <w:r w:rsidRPr="00D06F19">
        <w:rPr>
          <w:lang w:val="fr-FR"/>
        </w:rPr>
        <w:t>26 novembre-4 décembre 2018</w:t>
      </w:r>
    </w:p>
    <w:p w:rsidR="00D06F19" w:rsidRDefault="00D06F19" w:rsidP="000305D3">
      <w:r>
        <w:t>Point 2 f) de l</w:t>
      </w:r>
      <w:r w:rsidR="003C170B">
        <w:t>’</w:t>
      </w:r>
      <w:r>
        <w:t>ordre du jour provisoire</w:t>
      </w:r>
    </w:p>
    <w:p w:rsidR="00D06F19" w:rsidRPr="00D06F19" w:rsidRDefault="00D06F19" w:rsidP="00D06F19">
      <w:pPr>
        <w:rPr>
          <w:b/>
          <w:lang w:val="fr-FR"/>
        </w:rPr>
      </w:pPr>
      <w:r w:rsidRPr="00D06F19">
        <w:rPr>
          <w:b/>
          <w:lang w:val="fr-FR"/>
        </w:rPr>
        <w:t xml:space="preserve">Recommandations du Sous-Comité formulées à ses cinquante et unième, </w:t>
      </w:r>
      <w:r w:rsidRPr="00D06F19">
        <w:rPr>
          <w:b/>
          <w:lang w:val="fr-FR"/>
        </w:rPr>
        <w:br/>
        <w:t>cinquante-deuxième et cinquante-troisième sessions et questions en suspens :</w:t>
      </w:r>
    </w:p>
    <w:p w:rsidR="00D06F19" w:rsidRPr="00D06F19" w:rsidRDefault="00D06F19" w:rsidP="00D06F19">
      <w:pPr>
        <w:rPr>
          <w:b/>
          <w:lang w:val="fr-FR"/>
        </w:rPr>
      </w:pPr>
      <w:r w:rsidRPr="00D06F19">
        <w:rPr>
          <w:b/>
          <w:lang w:val="fr-FR"/>
        </w:rPr>
        <w:t>Questions diverses en suspens</w:t>
      </w:r>
    </w:p>
    <w:p w:rsidR="00D06F19" w:rsidRPr="00105C28" w:rsidRDefault="00D06F19" w:rsidP="00D06F1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05C28">
        <w:rPr>
          <w:lang w:val="fr-FR"/>
        </w:rPr>
        <w:t xml:space="preserve">Épaisseur minimale de la paroi des grands récipients </w:t>
      </w:r>
      <w:r>
        <w:rPr>
          <w:lang w:val="fr-FR"/>
        </w:rPr>
        <w:br/>
      </w:r>
      <w:r w:rsidRPr="00105C28">
        <w:rPr>
          <w:lang w:val="fr-FR"/>
        </w:rPr>
        <w:t>pour vrac en métal</w:t>
      </w:r>
    </w:p>
    <w:p w:rsidR="00D06F19" w:rsidRPr="00105C28" w:rsidRDefault="00D06F19" w:rsidP="00D06F1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05C28">
        <w:rPr>
          <w:lang w:val="fr-FR"/>
        </w:rPr>
        <w:t>Communication de l</w:t>
      </w:r>
      <w:r w:rsidR="003C170B">
        <w:rPr>
          <w:lang w:val="fr-FR"/>
        </w:rPr>
        <w:t>’</w:t>
      </w:r>
      <w:r w:rsidRPr="00105C28">
        <w:rPr>
          <w:lang w:val="fr-FR"/>
        </w:rPr>
        <w:t>Association des conteneurs en acier inoxydable (SSCA)</w:t>
      </w:r>
      <w:r w:rsidRPr="00D06F1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06F19" w:rsidRPr="00105C28" w:rsidRDefault="00D06F19" w:rsidP="00D06F1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05C28">
        <w:rPr>
          <w:lang w:val="fr-FR"/>
        </w:rPr>
        <w:t>Introduction</w:t>
      </w:r>
    </w:p>
    <w:p w:rsidR="00D06F19" w:rsidRPr="00105C28" w:rsidRDefault="00D06F19" w:rsidP="00645990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5A7258">
        <w:rPr>
          <w:lang w:val="fr-FR"/>
        </w:rPr>
        <w:t>L</w:t>
      </w:r>
      <w:r w:rsidR="003C170B">
        <w:rPr>
          <w:lang w:val="fr-FR"/>
        </w:rPr>
        <w:t>’</w:t>
      </w:r>
      <w:r w:rsidRPr="005A7258">
        <w:rPr>
          <w:lang w:val="fr-FR"/>
        </w:rPr>
        <w:t>Association des conteneurs en acier inoxydable (Stainless Steel Container</w:t>
      </w:r>
      <w:r w:rsidRPr="00105C28">
        <w:rPr>
          <w:lang w:val="fr-FR"/>
        </w:rPr>
        <w:t xml:space="preserve"> Association (SSCA)) a déjà présenté au Sous-Comité la question relative à l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épaisseur </w:t>
      </w:r>
      <w:r w:rsidRPr="005A7258">
        <w:rPr>
          <w:spacing w:val="-2"/>
          <w:lang w:val="fr-FR"/>
        </w:rPr>
        <w:t>minimale de la paroi des grands récipients pour vrac (GRV) en métal à sa quarante-</w:t>
      </w:r>
      <w:r w:rsidRPr="00105C28">
        <w:rPr>
          <w:lang w:val="fr-FR"/>
        </w:rPr>
        <w:t>quatrième session</w:t>
      </w:r>
      <w:r>
        <w:rPr>
          <w:lang w:val="fr-FR"/>
        </w:rPr>
        <w:t>,</w:t>
      </w:r>
      <w:r w:rsidRPr="00105C28">
        <w:rPr>
          <w:lang w:val="fr-FR"/>
        </w:rPr>
        <w:t xml:space="preserve"> dans le document ST/SG/AC.10/C.3/2013/57, et à sa cinquante-troisième session</w:t>
      </w:r>
      <w:r>
        <w:rPr>
          <w:lang w:val="fr-FR"/>
        </w:rPr>
        <w:t>,</w:t>
      </w:r>
      <w:r w:rsidRPr="00105C28">
        <w:rPr>
          <w:lang w:val="fr-FR"/>
        </w:rPr>
        <w:t xml:space="preserve"> dans le document ST/SG/AC.10/C.3/2018/34.</w:t>
      </w:r>
    </w:p>
    <w:p w:rsidR="00D06F19" w:rsidRPr="00105C28" w:rsidRDefault="00D06F19" w:rsidP="00645990">
      <w:pPr>
        <w:pStyle w:val="SingleTxtG"/>
        <w:rPr>
          <w:lang w:val="fr-FR"/>
        </w:rPr>
      </w:pPr>
      <w:r w:rsidRPr="00105C28">
        <w:rPr>
          <w:lang w:val="fr-FR"/>
        </w:rPr>
        <w:t>2.</w:t>
      </w:r>
      <w:r w:rsidRPr="00105C28">
        <w:rPr>
          <w:lang w:val="fr-FR"/>
        </w:rPr>
        <w:tab/>
        <w:t xml:space="preserve">La question a été examinée en détail, également pendant plusieurs </w:t>
      </w:r>
      <w:proofErr w:type="spellStart"/>
      <w:r w:rsidRPr="00105C28">
        <w:rPr>
          <w:lang w:val="fr-FR"/>
        </w:rPr>
        <w:t>pauses-café</w:t>
      </w:r>
      <w:proofErr w:type="spellEnd"/>
      <w:r w:rsidRPr="00105C28">
        <w:rPr>
          <w:lang w:val="fr-FR"/>
        </w:rPr>
        <w:t>, et le document informel INF.60 (cinquante-troisième session) a été établi pour résumer le résultat de ces débats et proposer un compromis.</w:t>
      </w:r>
    </w:p>
    <w:p w:rsidR="00D06F19" w:rsidRPr="00105C28" w:rsidRDefault="00D06F19" w:rsidP="005321DA">
      <w:pPr>
        <w:pStyle w:val="SingleTxtG"/>
        <w:rPr>
          <w:lang w:val="fr-FR"/>
        </w:rPr>
      </w:pPr>
      <w:r w:rsidRPr="00105C28">
        <w:rPr>
          <w:lang w:val="fr-FR"/>
        </w:rPr>
        <w:t>3.</w:t>
      </w:r>
      <w:r w:rsidRPr="00105C28">
        <w:rPr>
          <w:lang w:val="fr-FR"/>
        </w:rPr>
        <w:tab/>
        <w:t xml:space="preserve">Le compte rendu de la cinquante-troisième session indique que </w:t>
      </w:r>
      <w:r>
        <w:rPr>
          <w:lang w:val="fr-FR"/>
        </w:rPr>
        <w:t>« </w:t>
      </w:r>
      <w:r w:rsidRPr="00105C28">
        <w:rPr>
          <w:iCs/>
          <w:lang w:val="fr-FR"/>
        </w:rPr>
        <w:t>les avis étaient partagés quant à la proposition</w:t>
      </w:r>
      <w:r>
        <w:rPr>
          <w:iCs/>
          <w:lang w:val="fr-FR"/>
        </w:rPr>
        <w:t> »</w:t>
      </w:r>
      <w:r w:rsidRPr="00105C28">
        <w:rPr>
          <w:lang w:val="fr-FR"/>
        </w:rPr>
        <w:t xml:space="preserve"> et </w:t>
      </w:r>
      <w:r>
        <w:rPr>
          <w:lang w:val="fr-FR"/>
        </w:rPr>
        <w:t xml:space="preserve">que </w:t>
      </w:r>
      <w:r w:rsidRPr="00105C28">
        <w:rPr>
          <w:lang w:val="fr-FR"/>
        </w:rPr>
        <w:t xml:space="preserve">certains experts ont demandé </w:t>
      </w:r>
      <w:r>
        <w:rPr>
          <w:lang w:val="fr-FR"/>
        </w:rPr>
        <w:t>« </w:t>
      </w:r>
      <w:r w:rsidRPr="00105C28">
        <w:rPr>
          <w:iCs/>
          <w:lang w:val="fr-FR"/>
        </w:rPr>
        <w:t>plus de temps pour consulter les parties prenantes à l</w:t>
      </w:r>
      <w:r w:rsidR="003C170B">
        <w:rPr>
          <w:iCs/>
          <w:lang w:val="fr-FR"/>
        </w:rPr>
        <w:t>’</w:t>
      </w:r>
      <w:r w:rsidRPr="00105C28">
        <w:rPr>
          <w:iCs/>
          <w:lang w:val="fr-FR"/>
        </w:rPr>
        <w:t>échelon national</w:t>
      </w:r>
      <w:r>
        <w:rPr>
          <w:lang w:val="fr-FR"/>
        </w:rPr>
        <w:t> »</w:t>
      </w:r>
      <w:r w:rsidRPr="00105C28">
        <w:rPr>
          <w:lang w:val="fr-FR"/>
        </w:rPr>
        <w:t>. L</w:t>
      </w:r>
      <w:r>
        <w:rPr>
          <w:lang w:val="fr-FR"/>
        </w:rPr>
        <w:t>a SSCA a également été invitée « </w:t>
      </w:r>
      <w:r w:rsidR="005A7258">
        <w:rPr>
          <w:iCs/>
          <w:lang w:val="fr-FR"/>
        </w:rPr>
        <w:t>à </w:t>
      </w:r>
      <w:r w:rsidRPr="00105C28">
        <w:rPr>
          <w:iCs/>
          <w:lang w:val="fr-FR"/>
        </w:rPr>
        <w:t>soumettre la proposition du document informel INF.60 dans un document officiel en vue de la prochaine session</w:t>
      </w:r>
      <w:r>
        <w:rPr>
          <w:lang w:val="fr-FR"/>
        </w:rPr>
        <w:t> »</w:t>
      </w:r>
      <w:r w:rsidRPr="00105C28">
        <w:rPr>
          <w:lang w:val="fr-FR"/>
        </w:rPr>
        <w:t>. C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est pourquoi la SSCA </w:t>
      </w:r>
      <w:r>
        <w:rPr>
          <w:lang w:val="fr-FR"/>
        </w:rPr>
        <w:t>soumet le présent</w:t>
      </w:r>
      <w:r w:rsidRPr="00105C28">
        <w:rPr>
          <w:lang w:val="fr-FR"/>
        </w:rPr>
        <w:t xml:space="preserve"> document.</w:t>
      </w:r>
    </w:p>
    <w:p w:rsidR="00D06F19" w:rsidRPr="00105C28" w:rsidRDefault="00D06F19" w:rsidP="00645990">
      <w:pPr>
        <w:pStyle w:val="SingleTxtG"/>
        <w:rPr>
          <w:lang w:val="fr-FR"/>
        </w:rPr>
      </w:pPr>
      <w:r w:rsidRPr="00105C28">
        <w:rPr>
          <w:lang w:val="fr-FR"/>
        </w:rPr>
        <w:t>4.</w:t>
      </w:r>
      <w:r w:rsidRPr="00105C28">
        <w:rPr>
          <w:lang w:val="fr-FR"/>
        </w:rPr>
        <w:tab/>
      </w:r>
      <w:r>
        <w:rPr>
          <w:lang w:val="fr-FR"/>
        </w:rPr>
        <w:t>Il convient t</w:t>
      </w:r>
      <w:r w:rsidRPr="00105C28">
        <w:rPr>
          <w:lang w:val="fr-FR"/>
        </w:rPr>
        <w:t>out d</w:t>
      </w:r>
      <w:r w:rsidR="003C170B">
        <w:rPr>
          <w:lang w:val="fr-FR"/>
        </w:rPr>
        <w:t>’</w:t>
      </w:r>
      <w:r w:rsidRPr="00105C28">
        <w:rPr>
          <w:lang w:val="fr-FR"/>
        </w:rPr>
        <w:t>abord</w:t>
      </w:r>
      <w:r>
        <w:rPr>
          <w:lang w:val="fr-FR"/>
        </w:rPr>
        <w:t xml:space="preserve"> de </w:t>
      </w:r>
      <w:r w:rsidRPr="00105C28">
        <w:rPr>
          <w:lang w:val="fr-FR"/>
        </w:rPr>
        <w:t xml:space="preserve">rappeler les principaux arguments en faveur de </w:t>
      </w:r>
      <w:r>
        <w:rPr>
          <w:lang w:val="fr-FR"/>
        </w:rPr>
        <w:t>la</w:t>
      </w:r>
      <w:r w:rsidRPr="00105C28">
        <w:rPr>
          <w:lang w:val="fr-FR"/>
        </w:rPr>
        <w:t xml:space="preserve"> proposition de suppression de la prescription concernant l</w:t>
      </w:r>
      <w:r w:rsidR="003C170B">
        <w:rPr>
          <w:lang w:val="fr-FR"/>
        </w:rPr>
        <w:t>’</w:t>
      </w:r>
      <w:r w:rsidRPr="00105C28">
        <w:rPr>
          <w:lang w:val="fr-FR"/>
        </w:rPr>
        <w:t>épaisseur minimale de la paroi des GRV en métal</w:t>
      </w:r>
      <w:r>
        <w:rPr>
          <w:lang w:val="fr-FR"/>
        </w:rPr>
        <w:t> </w:t>
      </w:r>
      <w:r w:rsidRPr="00105C28">
        <w:rPr>
          <w:lang w:val="fr-FR"/>
        </w:rPr>
        <w:t>:</w:t>
      </w:r>
    </w:p>
    <w:p w:rsidR="00D06F19" w:rsidRPr="00105C28" w:rsidRDefault="00D06F19" w:rsidP="00645990">
      <w:pPr>
        <w:pStyle w:val="SingleTxtG"/>
        <w:ind w:firstLine="567"/>
        <w:rPr>
          <w:lang w:val="fr-FR"/>
        </w:rPr>
      </w:pPr>
      <w:r w:rsidRPr="00105C28">
        <w:rPr>
          <w:lang w:val="fr-FR"/>
        </w:rPr>
        <w:t>a)</w:t>
      </w:r>
      <w:r w:rsidRPr="00105C28">
        <w:rPr>
          <w:lang w:val="fr-FR"/>
        </w:rPr>
        <w:tab/>
        <w:t>Les GRV métalliques (ainsi que d</w:t>
      </w:r>
      <w:r w:rsidR="003C170B">
        <w:rPr>
          <w:lang w:val="fr-FR"/>
        </w:rPr>
        <w:t>’</w:t>
      </w:r>
      <w:r w:rsidRPr="00105C28">
        <w:rPr>
          <w:lang w:val="fr-FR"/>
        </w:rPr>
        <w:t>autres types de GRV) doivent satisfaire aux épreuves de l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homologation de type telles que décrites aux sous-sections 6.5.6.4 </w:t>
      </w:r>
      <w:r w:rsidRPr="00105C28">
        <w:rPr>
          <w:lang w:val="fr-FR"/>
        </w:rPr>
        <w:lastRenderedPageBreak/>
        <w:t>(</w:t>
      </w:r>
      <w:r>
        <w:rPr>
          <w:lang w:val="fr-FR"/>
        </w:rPr>
        <w:t>É</w:t>
      </w:r>
      <w:r w:rsidRPr="00105C28">
        <w:rPr>
          <w:lang w:val="fr-FR"/>
        </w:rPr>
        <w:t>preuve de levage par le bas), 6.5.6.5 (</w:t>
      </w:r>
      <w:r>
        <w:rPr>
          <w:lang w:val="fr-FR"/>
        </w:rPr>
        <w:t>É</w:t>
      </w:r>
      <w:r w:rsidRPr="00105C28">
        <w:rPr>
          <w:lang w:val="fr-FR"/>
        </w:rPr>
        <w:t>preuve de levage par le haut), 6.5.6.6 (</w:t>
      </w:r>
      <w:r>
        <w:rPr>
          <w:lang w:val="fr-FR"/>
        </w:rPr>
        <w:t>É</w:t>
      </w:r>
      <w:r w:rsidRPr="00105C28">
        <w:rPr>
          <w:lang w:val="fr-FR"/>
        </w:rPr>
        <w:t>preuve de gerbage), 6.5.6.7 (</w:t>
      </w:r>
      <w:r>
        <w:rPr>
          <w:lang w:val="fr-FR"/>
        </w:rPr>
        <w:t>É</w:t>
      </w:r>
      <w:r w:rsidRPr="00105C28">
        <w:rPr>
          <w:lang w:val="fr-FR"/>
        </w:rPr>
        <w:t>preuve d</w:t>
      </w:r>
      <w:r w:rsidR="003C170B">
        <w:rPr>
          <w:lang w:val="fr-FR"/>
        </w:rPr>
        <w:t>’</w:t>
      </w:r>
      <w:r w:rsidRPr="00105C28">
        <w:rPr>
          <w:lang w:val="fr-FR"/>
        </w:rPr>
        <w:t>étanchéité), 6.5.6.8 (</w:t>
      </w:r>
      <w:r>
        <w:rPr>
          <w:lang w:val="fr-FR"/>
        </w:rPr>
        <w:t>É</w:t>
      </w:r>
      <w:r w:rsidRPr="00105C28">
        <w:rPr>
          <w:lang w:val="fr-FR"/>
        </w:rPr>
        <w:t>preuve de pression hydraulique), 6.5.6.9 (</w:t>
      </w:r>
      <w:r>
        <w:rPr>
          <w:lang w:val="fr-FR"/>
        </w:rPr>
        <w:t>É</w:t>
      </w:r>
      <w:r w:rsidRPr="00105C28">
        <w:rPr>
          <w:lang w:val="fr-FR"/>
        </w:rPr>
        <w:t>preuve de chute) et 6.5.6.12 (</w:t>
      </w:r>
      <w:r>
        <w:rPr>
          <w:lang w:val="fr-FR"/>
        </w:rPr>
        <w:t>É</w:t>
      </w:r>
      <w:r w:rsidRPr="00105C28">
        <w:rPr>
          <w:lang w:val="fr-FR"/>
        </w:rPr>
        <w:t>preuve de vibration)</w:t>
      </w:r>
      <w:r w:rsidR="003B1532">
        <w:rPr>
          <w:lang w:val="fr-FR"/>
        </w:rPr>
        <w:t> ;</w:t>
      </w:r>
    </w:p>
    <w:p w:rsidR="00D06F19" w:rsidRPr="00105C28" w:rsidRDefault="00D06F19" w:rsidP="00645990">
      <w:pPr>
        <w:pStyle w:val="SingleTxtG"/>
        <w:ind w:firstLine="567"/>
        <w:rPr>
          <w:lang w:val="fr-FR"/>
        </w:rPr>
      </w:pPr>
      <w:r w:rsidRPr="00105C28">
        <w:rPr>
          <w:lang w:val="fr-FR"/>
        </w:rPr>
        <w:t>b)</w:t>
      </w:r>
      <w:r w:rsidRPr="00105C28">
        <w:rPr>
          <w:lang w:val="fr-FR"/>
        </w:rPr>
        <w:tab/>
      </w:r>
      <w:r>
        <w:rPr>
          <w:lang w:val="fr-FR"/>
        </w:rPr>
        <w:t>À</w:t>
      </w:r>
      <w:r w:rsidRPr="00105C28">
        <w:rPr>
          <w:lang w:val="fr-FR"/>
        </w:rPr>
        <w:t xml:space="preserve"> la demande de la SSCA, un GRV métallique</w:t>
      </w:r>
      <w:r w:rsidR="003B1532">
        <w:rPr>
          <w:lang w:val="fr-FR"/>
        </w:rPr>
        <w:t xml:space="preserve"> </w:t>
      </w:r>
      <w:r w:rsidRPr="00105C28">
        <w:rPr>
          <w:lang w:val="fr-FR"/>
        </w:rPr>
        <w:t xml:space="preserve">(31A) a été éprouvé avec succès au TÜV </w:t>
      </w:r>
      <w:proofErr w:type="spellStart"/>
      <w:r w:rsidRPr="00105C28">
        <w:rPr>
          <w:lang w:val="fr-FR"/>
        </w:rPr>
        <w:t>Rheinland</w:t>
      </w:r>
      <w:proofErr w:type="spellEnd"/>
      <w:r w:rsidRPr="00105C28">
        <w:rPr>
          <w:lang w:val="fr-FR"/>
        </w:rPr>
        <w:t xml:space="preserve">, à Halle (Allemagne). </w:t>
      </w:r>
      <w:r w:rsidRPr="00105C28">
        <w:rPr>
          <w:iCs/>
          <w:lang w:val="fr-FR"/>
        </w:rPr>
        <w:t>L</w:t>
      </w:r>
      <w:r w:rsidR="003C170B">
        <w:rPr>
          <w:iCs/>
          <w:lang w:val="fr-FR"/>
        </w:rPr>
        <w:t>’</w:t>
      </w:r>
      <w:r w:rsidRPr="00105C28">
        <w:rPr>
          <w:iCs/>
          <w:lang w:val="fr-FR"/>
        </w:rPr>
        <w:t>épaisseur de la paroi du réservoir soumis à l</w:t>
      </w:r>
      <w:r w:rsidR="003C170B">
        <w:rPr>
          <w:iCs/>
          <w:lang w:val="fr-FR"/>
        </w:rPr>
        <w:t>’</w:t>
      </w:r>
      <w:r w:rsidRPr="00105C28">
        <w:rPr>
          <w:iCs/>
          <w:lang w:val="fr-FR"/>
        </w:rPr>
        <w:t xml:space="preserve">épreuve </w:t>
      </w:r>
      <w:r w:rsidRPr="00105C28">
        <w:rPr>
          <w:lang w:val="fr-FR"/>
        </w:rPr>
        <w:t xml:space="preserve">était de </w:t>
      </w:r>
      <w:r w:rsidRPr="00105C28">
        <w:rPr>
          <w:iCs/>
          <w:lang w:val="fr-FR"/>
        </w:rPr>
        <w:t>0,97</w:t>
      </w:r>
      <w:r w:rsidR="00442C28">
        <w:rPr>
          <w:iCs/>
          <w:lang w:val="fr-FR"/>
        </w:rPr>
        <w:t> </w:t>
      </w:r>
      <w:r w:rsidRPr="00105C28">
        <w:rPr>
          <w:iCs/>
          <w:lang w:val="fr-FR"/>
        </w:rPr>
        <w:t>mm (haut), 0,98</w:t>
      </w:r>
      <w:r w:rsidR="00442C28">
        <w:rPr>
          <w:iCs/>
          <w:lang w:val="fr-FR"/>
        </w:rPr>
        <w:t> </w:t>
      </w:r>
      <w:r w:rsidRPr="00105C28">
        <w:rPr>
          <w:iCs/>
          <w:lang w:val="fr-FR"/>
        </w:rPr>
        <w:t>mm (corps) et 1,42</w:t>
      </w:r>
      <w:r w:rsidR="00442C28">
        <w:rPr>
          <w:iCs/>
          <w:lang w:val="fr-FR"/>
        </w:rPr>
        <w:t> </w:t>
      </w:r>
      <w:r w:rsidRPr="00105C28">
        <w:rPr>
          <w:iCs/>
          <w:lang w:val="fr-FR"/>
        </w:rPr>
        <w:t xml:space="preserve">mm (bas), </w:t>
      </w:r>
      <w:r w:rsidRPr="00105C28">
        <w:rPr>
          <w:lang w:val="fr-FR"/>
        </w:rPr>
        <w:t xml:space="preserve">alors que </w:t>
      </w:r>
      <w:r w:rsidRPr="00105C28">
        <w:rPr>
          <w:iCs/>
          <w:lang w:val="fr-FR"/>
        </w:rPr>
        <w:t>selon le paragraphe 6.5.5.1.6, l</w:t>
      </w:r>
      <w:r w:rsidR="003C170B">
        <w:rPr>
          <w:iCs/>
          <w:lang w:val="fr-FR"/>
        </w:rPr>
        <w:t>’</w:t>
      </w:r>
      <w:r w:rsidRPr="00105C28">
        <w:rPr>
          <w:iCs/>
          <w:lang w:val="fr-FR"/>
        </w:rPr>
        <w:t>épaisseur de la paroi des GRV métalliques ne doit en aucun cas être inférieure à 1,5</w:t>
      </w:r>
      <w:r w:rsidR="00442C28">
        <w:rPr>
          <w:iCs/>
          <w:lang w:val="fr-FR"/>
        </w:rPr>
        <w:t> </w:t>
      </w:r>
      <w:r w:rsidRPr="00105C28">
        <w:rPr>
          <w:iCs/>
          <w:lang w:val="fr-FR"/>
        </w:rPr>
        <w:t xml:space="preserve">mm </w:t>
      </w:r>
      <w:r w:rsidRPr="00105C28">
        <w:rPr>
          <w:lang w:val="fr-FR"/>
        </w:rPr>
        <w:t>(</w:t>
      </w:r>
      <w:r w:rsidRPr="00105C28">
        <w:rPr>
          <w:iCs/>
          <w:lang w:val="fr-FR"/>
        </w:rPr>
        <w:t>le rapport d</w:t>
      </w:r>
      <w:r w:rsidR="003C170B">
        <w:rPr>
          <w:iCs/>
          <w:lang w:val="fr-FR"/>
        </w:rPr>
        <w:t>’</w:t>
      </w:r>
      <w:r w:rsidRPr="00105C28">
        <w:rPr>
          <w:iCs/>
          <w:lang w:val="fr-FR"/>
        </w:rPr>
        <w:t xml:space="preserve">essai </w:t>
      </w:r>
      <w:r w:rsidRPr="00105C28">
        <w:rPr>
          <w:lang w:val="fr-FR"/>
        </w:rPr>
        <w:t xml:space="preserve">était </w:t>
      </w:r>
      <w:r w:rsidRPr="00105C28">
        <w:rPr>
          <w:iCs/>
          <w:lang w:val="fr-FR"/>
        </w:rPr>
        <w:t xml:space="preserve">joint en annexe </w:t>
      </w:r>
      <w:r w:rsidRPr="00105C28">
        <w:rPr>
          <w:lang w:val="fr-FR"/>
        </w:rPr>
        <w:t>au document ST/SG/AC.10/C.3/2018/34) ;</w:t>
      </w:r>
    </w:p>
    <w:p w:rsidR="00D06F19" w:rsidRPr="00105C28" w:rsidRDefault="00D06F19" w:rsidP="00442C28">
      <w:pPr>
        <w:pStyle w:val="SingleTxtG"/>
        <w:ind w:firstLine="567"/>
        <w:rPr>
          <w:lang w:val="fr-FR"/>
        </w:rPr>
      </w:pPr>
      <w:r w:rsidRPr="00105C28">
        <w:rPr>
          <w:lang w:val="fr-FR"/>
        </w:rPr>
        <w:t>c)</w:t>
      </w:r>
      <w:r w:rsidRPr="00105C28">
        <w:rPr>
          <w:lang w:val="fr-FR"/>
        </w:rPr>
        <w:tab/>
        <w:t>Il a donc été démontré que ces types de GRV satisfont aux prescriptions fonctionnelles requises et sont sûrs pour le transport de marchandises dangereuses</w:t>
      </w:r>
      <w:r w:rsidR="005A7258">
        <w:rPr>
          <w:lang w:val="fr-FR"/>
        </w:rPr>
        <w:t> </w:t>
      </w:r>
      <w:r w:rsidRPr="00105C28">
        <w:rPr>
          <w:lang w:val="fr-FR"/>
        </w:rPr>
        <w:t>;</w:t>
      </w:r>
    </w:p>
    <w:p w:rsidR="00D06F19" w:rsidRPr="00105C28" w:rsidRDefault="00D06F19" w:rsidP="00442C28">
      <w:pPr>
        <w:pStyle w:val="SingleTxtG"/>
        <w:ind w:firstLine="567"/>
        <w:rPr>
          <w:lang w:val="fr-FR"/>
        </w:rPr>
      </w:pPr>
      <w:r w:rsidRPr="00105C28">
        <w:rPr>
          <w:lang w:val="fr-FR"/>
        </w:rPr>
        <w:t>d)</w:t>
      </w:r>
      <w:r w:rsidRPr="00105C28">
        <w:rPr>
          <w:lang w:val="fr-FR"/>
        </w:rPr>
        <w:tab/>
        <w:t>Certaines prescriptions applicables uniquement aux GRV métalliques ne sont pas liées à la fonctionnalité mais à la construction (6.5.5.5.1.6</w:t>
      </w:r>
      <w:r>
        <w:rPr>
          <w:lang w:val="fr-FR"/>
        </w:rPr>
        <w:t xml:space="preserve"> (</w:t>
      </w:r>
      <w:r w:rsidRPr="00105C28">
        <w:rPr>
          <w:iCs/>
          <w:lang w:val="fr-FR"/>
        </w:rPr>
        <w:t>Épaisseur minimale de la paroi</w:t>
      </w:r>
      <w:r>
        <w:rPr>
          <w:iCs/>
          <w:lang w:val="fr-FR"/>
        </w:rPr>
        <w:t>)</w:t>
      </w:r>
      <w:r w:rsidRPr="00105C28">
        <w:rPr>
          <w:lang w:val="fr-FR"/>
        </w:rPr>
        <w:t>, vo</w:t>
      </w:r>
      <w:r w:rsidR="003B1532">
        <w:rPr>
          <w:lang w:val="fr-FR"/>
        </w:rPr>
        <w:t>ir aussi le tableau du 6.5.2.2</w:t>
      </w:r>
      <w:r w:rsidRPr="00105C28">
        <w:rPr>
          <w:lang w:val="fr-FR"/>
        </w:rPr>
        <w:t>.1 ; ces prescriptions sont probablement des éléments restants</w:t>
      </w:r>
      <w:r w:rsidRPr="00105C28">
        <w:rPr>
          <w:b/>
          <w:bCs/>
          <w:lang w:val="fr-FR"/>
        </w:rPr>
        <w:t xml:space="preserve"> </w:t>
      </w:r>
      <w:r w:rsidRPr="00105C28">
        <w:rPr>
          <w:lang w:val="fr-FR"/>
        </w:rPr>
        <w:t>de règlements concernant les conteneurs-citernes cubiques, dont les GRV métalliques sont dérivés) ;</w:t>
      </w:r>
    </w:p>
    <w:p w:rsidR="00D06F19" w:rsidRPr="00105C28" w:rsidRDefault="00D06F19" w:rsidP="00442C28">
      <w:pPr>
        <w:pStyle w:val="SingleTxtG"/>
        <w:ind w:firstLine="567"/>
        <w:rPr>
          <w:lang w:val="fr-FR"/>
        </w:rPr>
      </w:pPr>
      <w:r w:rsidRPr="00105C28">
        <w:rPr>
          <w:lang w:val="fr-FR"/>
        </w:rPr>
        <w:t>e)</w:t>
      </w:r>
      <w:r w:rsidRPr="00105C28">
        <w:rPr>
          <w:lang w:val="fr-FR"/>
        </w:rPr>
        <w:tab/>
        <w:t>La SSCA estime que ces prescriptions non seulement limitent les innovations, mais ne sont pas conformes à la Directive européenne 94/62/CE relative aux emballages et aux déchets d</w:t>
      </w:r>
      <w:r w:rsidR="003C170B">
        <w:rPr>
          <w:lang w:val="fr-FR"/>
        </w:rPr>
        <w:t>’</w:t>
      </w:r>
      <w:r w:rsidRPr="00105C28">
        <w:rPr>
          <w:lang w:val="fr-FR"/>
        </w:rPr>
        <w:t>emballage (ainsi qu</w:t>
      </w:r>
      <w:r w:rsidR="003C170B">
        <w:rPr>
          <w:lang w:val="fr-FR"/>
        </w:rPr>
        <w:t>’</w:t>
      </w:r>
      <w:r w:rsidRPr="00105C28">
        <w:rPr>
          <w:lang w:val="fr-FR"/>
        </w:rPr>
        <w:t>aux règles et réglementations du même type en vigueur dans d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autres parties du monde), dont les </w:t>
      </w:r>
      <w:r w:rsidR="003B1532">
        <w:rPr>
          <w:lang w:val="fr-FR"/>
        </w:rPr>
        <w:t>« </w:t>
      </w:r>
      <w:r w:rsidRPr="00105C28">
        <w:rPr>
          <w:lang w:val="fr-FR"/>
        </w:rPr>
        <w:t>exigences essentielles</w:t>
      </w:r>
      <w:r w:rsidR="003B1532">
        <w:rPr>
          <w:lang w:val="fr-FR"/>
        </w:rPr>
        <w:t> »</w:t>
      </w:r>
      <w:r w:rsidRPr="00105C28">
        <w:rPr>
          <w:lang w:val="fr-FR"/>
        </w:rPr>
        <w:t xml:space="preserve"> stipulent que le poids et le volume des emballages devraient être limités au minimum.</w:t>
      </w:r>
    </w:p>
    <w:p w:rsidR="00D06F19" w:rsidRPr="00105C28" w:rsidRDefault="00D06F19" w:rsidP="00645990">
      <w:pPr>
        <w:pStyle w:val="SingleTxtG"/>
        <w:rPr>
          <w:lang w:val="fr-FR"/>
        </w:rPr>
      </w:pPr>
      <w:r w:rsidRPr="00105C28">
        <w:rPr>
          <w:lang w:val="fr-FR"/>
        </w:rPr>
        <w:t>5.</w:t>
      </w:r>
      <w:r w:rsidRPr="00105C28">
        <w:rPr>
          <w:lang w:val="fr-FR"/>
        </w:rPr>
        <w:tab/>
        <w:t>Lors de précédents débats, la question de la corrosion a été évoquée comme un argument susceptible de justifier le maintien des prescriptions relatives à l</w:t>
      </w:r>
      <w:r w:rsidR="003C170B">
        <w:rPr>
          <w:lang w:val="fr-FR"/>
        </w:rPr>
        <w:t>’</w:t>
      </w:r>
      <w:r w:rsidRPr="00105C28">
        <w:rPr>
          <w:lang w:val="fr-FR"/>
        </w:rPr>
        <w:t>épaisseur minimale des parois des GRV métalliques. La SSCA tient à rappeler ses observations antérieures (voir ST/SG/AC.10/C.3/2018/34)</w:t>
      </w:r>
      <w:r w:rsidR="00442C28">
        <w:rPr>
          <w:lang w:val="fr-FR"/>
        </w:rPr>
        <w:t> </w:t>
      </w:r>
      <w:r w:rsidRPr="00105C28">
        <w:rPr>
          <w:lang w:val="fr-FR"/>
        </w:rPr>
        <w:t>: la conception, le choix des matériaux et la construction sont choisis de façon à éviter la corrosion.</w:t>
      </w:r>
    </w:p>
    <w:p w:rsidR="00D06F19" w:rsidRPr="00105C28" w:rsidRDefault="00D06F19" w:rsidP="00645990">
      <w:pPr>
        <w:pStyle w:val="SingleTxtG"/>
        <w:rPr>
          <w:lang w:val="fr-FR"/>
        </w:rPr>
      </w:pPr>
      <w:r w:rsidRPr="00105C28">
        <w:rPr>
          <w:lang w:val="fr-FR"/>
        </w:rPr>
        <w:t>6.</w:t>
      </w:r>
      <w:r w:rsidRPr="00105C28">
        <w:rPr>
          <w:lang w:val="fr-FR"/>
        </w:rPr>
        <w:tab/>
        <w:t>En outre, il convient de souligner que les GRV (métalliques) sont soumis à des contrôles périodiques au cours desquels tout signe de corrosion serait détecté. De tels signes de corrosion peuvent également être découverts pendant ou avant le processus d</w:t>
      </w:r>
      <w:r w:rsidR="005A7258">
        <w:rPr>
          <w:lang w:val="fr-FR"/>
        </w:rPr>
        <w:t>e remplissage.</w:t>
      </w:r>
    </w:p>
    <w:p w:rsidR="00D06F19" w:rsidRPr="00105C28" w:rsidRDefault="00D06F19" w:rsidP="00645990">
      <w:pPr>
        <w:pStyle w:val="SingleTxtG"/>
        <w:rPr>
          <w:lang w:val="fr-FR"/>
        </w:rPr>
      </w:pPr>
      <w:r w:rsidRPr="00105C28">
        <w:rPr>
          <w:lang w:val="fr-FR"/>
        </w:rPr>
        <w:t>7.</w:t>
      </w:r>
      <w:r w:rsidRPr="00105C28">
        <w:rPr>
          <w:lang w:val="fr-FR"/>
        </w:rPr>
        <w:tab/>
        <w:t>À l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issue des débats tenus lors de la cinquante-troisième session, il a été proposé de maintenir la prescription relative à une </w:t>
      </w:r>
      <w:r w:rsidR="00442C28">
        <w:rPr>
          <w:lang w:val="fr-FR"/>
        </w:rPr>
        <w:t>« </w:t>
      </w:r>
      <w:r w:rsidRPr="00105C28">
        <w:rPr>
          <w:iCs/>
          <w:lang w:val="fr-FR"/>
        </w:rPr>
        <w:t>épaisseur minimale de la paroi</w:t>
      </w:r>
      <w:r w:rsidR="00442C28">
        <w:rPr>
          <w:lang w:val="fr-FR"/>
        </w:rPr>
        <w:t> »</w:t>
      </w:r>
      <w:r w:rsidRPr="00105C28">
        <w:rPr>
          <w:lang w:val="fr-FR"/>
        </w:rPr>
        <w:t>, mais uniquement pour les GRV métalliques d</w:t>
      </w:r>
      <w:r w:rsidR="003C170B">
        <w:rPr>
          <w:lang w:val="fr-FR"/>
        </w:rPr>
        <w:t>’</w:t>
      </w:r>
      <w:r w:rsidRPr="00105C28">
        <w:rPr>
          <w:lang w:val="fr-FR"/>
        </w:rPr>
        <w:t>une contenance supérieure à 1</w:t>
      </w:r>
      <w:r>
        <w:rPr>
          <w:lang w:val="fr-FR"/>
        </w:rPr>
        <w:t> </w:t>
      </w:r>
      <w:r w:rsidRPr="00105C28">
        <w:rPr>
          <w:lang w:val="fr-FR"/>
        </w:rPr>
        <w:t>500 litres, les GRV métalliques d</w:t>
      </w:r>
      <w:r w:rsidR="003C170B">
        <w:rPr>
          <w:lang w:val="fr-FR"/>
        </w:rPr>
        <w:t>’</w:t>
      </w:r>
      <w:r w:rsidRPr="00105C28">
        <w:rPr>
          <w:lang w:val="fr-FR"/>
        </w:rPr>
        <w:t>un volume inférieur ne devant pas être soumis à cette exigence.</w:t>
      </w:r>
    </w:p>
    <w:p w:rsidR="005A7258" w:rsidRDefault="00D06F19" w:rsidP="00D06F19">
      <w:pPr>
        <w:pStyle w:val="SingleTxtG"/>
        <w:spacing w:after="240" w:line="240" w:lineRule="auto"/>
        <w:rPr>
          <w:iCs/>
          <w:lang w:val="fr-FR"/>
        </w:rPr>
      </w:pPr>
      <w:r w:rsidRPr="00105C28">
        <w:rPr>
          <w:lang w:val="fr-FR"/>
        </w:rPr>
        <w:t>8.</w:t>
      </w:r>
      <w:r w:rsidRPr="00105C28">
        <w:rPr>
          <w:lang w:val="fr-FR"/>
        </w:rPr>
        <w:tab/>
      </w:r>
      <w:r w:rsidRPr="00105C28">
        <w:rPr>
          <w:iCs/>
          <w:lang w:val="fr-FR"/>
        </w:rPr>
        <w:t>La SSCA souhaiterait avoir la possibilité de présenter le présent document et que la proposition ci-dessous soit examinée par le Sous-Comité.</w:t>
      </w:r>
    </w:p>
    <w:p w:rsidR="00D06F19" w:rsidRPr="00105C28" w:rsidRDefault="005A7258" w:rsidP="005A7258">
      <w:pPr>
        <w:pStyle w:val="HChG"/>
        <w:rPr>
          <w:lang w:val="fr-FR"/>
        </w:rPr>
      </w:pPr>
      <w:r>
        <w:rPr>
          <w:iCs/>
          <w:lang w:val="fr-FR"/>
        </w:rPr>
        <w:br w:type="page"/>
      </w:r>
      <w:r w:rsidR="00442C28">
        <w:rPr>
          <w:lang w:val="fr-FR"/>
        </w:rPr>
        <w:lastRenderedPageBreak/>
        <w:tab/>
      </w:r>
      <w:r w:rsidR="00442C28">
        <w:rPr>
          <w:lang w:val="fr-FR"/>
        </w:rPr>
        <w:tab/>
      </w:r>
      <w:r w:rsidR="00D06F19" w:rsidRPr="00105C28">
        <w:rPr>
          <w:lang w:val="fr-FR"/>
        </w:rPr>
        <w:t>Proposition(s)</w:t>
      </w:r>
    </w:p>
    <w:p w:rsidR="00D06F19" w:rsidRPr="00105C28" w:rsidRDefault="00D06F19" w:rsidP="00D06F19">
      <w:pPr>
        <w:pStyle w:val="SingleTxtG"/>
        <w:spacing w:after="240" w:line="240" w:lineRule="auto"/>
        <w:rPr>
          <w:lang w:val="fr-FR"/>
        </w:rPr>
      </w:pPr>
      <w:r w:rsidRPr="00105C28">
        <w:rPr>
          <w:lang w:val="fr-FR"/>
        </w:rPr>
        <w:t>9.</w:t>
      </w:r>
      <w:r w:rsidRPr="00105C28">
        <w:rPr>
          <w:lang w:val="fr-FR"/>
        </w:rPr>
        <w:tab/>
        <w:t xml:space="preserve">Dans </w:t>
      </w:r>
      <w:r w:rsidRPr="00105C28">
        <w:rPr>
          <w:iCs/>
          <w:lang w:val="fr-FR"/>
        </w:rPr>
        <w:t xml:space="preserve">le tableau du 6.5.2.2.1, supprimer </w:t>
      </w:r>
      <w:r w:rsidR="00442C28">
        <w:rPr>
          <w:iCs/>
          <w:lang w:val="fr-FR"/>
        </w:rPr>
        <w:t>« minimales »</w:t>
      </w:r>
      <w:r w:rsidRPr="00105C28">
        <w:rPr>
          <w:iCs/>
          <w:lang w:val="fr-FR"/>
        </w:rPr>
        <w:t xml:space="preserve"> à la </w:t>
      </w:r>
      <w:r w:rsidRPr="00105C28">
        <w:rPr>
          <w:lang w:val="fr-FR"/>
        </w:rPr>
        <w:t xml:space="preserve">cinquième </w:t>
      </w:r>
      <w:r w:rsidR="00442C28">
        <w:rPr>
          <w:iCs/>
          <w:lang w:val="fr-FR"/>
        </w:rPr>
        <w:t>ligne de la colonne « </w:t>
      </w:r>
      <w:r w:rsidRPr="00105C28">
        <w:rPr>
          <w:iCs/>
          <w:lang w:val="fr-FR"/>
        </w:rPr>
        <w:t>Marqu</w:t>
      </w:r>
      <w:r w:rsidR="00442C28">
        <w:rPr>
          <w:iCs/>
          <w:lang w:val="fr-FR"/>
        </w:rPr>
        <w:t>es additionnelles », comme suit </w:t>
      </w:r>
      <w:r w:rsidRPr="00105C28">
        <w:rPr>
          <w:iCs/>
          <w:lang w:val="fr-FR"/>
        </w:rPr>
        <w:t>:</w:t>
      </w:r>
    </w:p>
    <w:p w:rsidR="00446FE5" w:rsidRDefault="005A7258" w:rsidP="005A7258">
      <w:pPr>
        <w:pStyle w:val="SingleTxtG"/>
        <w:ind w:firstLine="567"/>
        <w:rPr>
          <w:lang w:val="fr-FR"/>
        </w:rPr>
      </w:pPr>
      <w:r>
        <w:rPr>
          <w:lang w:val="fr-FR"/>
        </w:rPr>
        <w:t>[</w:t>
      </w:r>
      <w:r w:rsidR="00D06F19" w:rsidRPr="00105C28">
        <w:rPr>
          <w:lang w:val="fr-FR"/>
        </w:rPr>
        <w:t>« 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952"/>
        <w:gridCol w:w="1376"/>
        <w:gridCol w:w="1482"/>
        <w:gridCol w:w="955"/>
        <w:gridCol w:w="756"/>
      </w:tblGrid>
      <w:tr w:rsidR="00645990" w:rsidRPr="00A8747D" w:rsidTr="00A06358">
        <w:tc>
          <w:tcPr>
            <w:tcW w:w="4116" w:type="dxa"/>
            <w:vMerge w:val="restart"/>
            <w:shd w:val="clear" w:color="auto" w:fill="auto"/>
            <w:vAlign w:val="center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Marques additionnelles</w:t>
            </w:r>
          </w:p>
        </w:tc>
        <w:tc>
          <w:tcPr>
            <w:tcW w:w="5521" w:type="dxa"/>
            <w:gridSpan w:val="5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Catégorie de GRV</w:t>
            </w:r>
          </w:p>
        </w:tc>
      </w:tr>
      <w:tr w:rsidR="00645990" w:rsidRPr="00A8747D" w:rsidTr="00A06358">
        <w:tc>
          <w:tcPr>
            <w:tcW w:w="4116" w:type="dxa"/>
            <w:vMerge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Métal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Plastique rigide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Composite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Carton</w:t>
            </w: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Bois</w:t>
            </w: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 xml:space="preserve">Contenance en </w:t>
            </w:r>
            <w:proofErr w:type="spellStart"/>
            <w:r w:rsidRPr="00A8747D">
              <w:rPr>
                <w:lang w:val="fr-FR"/>
              </w:rPr>
              <w:t>litre</w:t>
            </w:r>
            <w:r w:rsidRPr="00A8747D">
              <w:rPr>
                <w:i/>
                <w:vertAlign w:val="superscript"/>
                <w:lang w:val="fr-FR"/>
              </w:rPr>
              <w:t>a</w:t>
            </w:r>
            <w:proofErr w:type="spellEnd"/>
            <w:r w:rsidRPr="00A8747D">
              <w:rPr>
                <w:vertAlign w:val="superscript"/>
                <w:lang w:val="fr-FR"/>
              </w:rPr>
              <w:t xml:space="preserve"> </w:t>
            </w:r>
            <w:r w:rsidRPr="00A8747D">
              <w:rPr>
                <w:lang w:val="fr-FR"/>
              </w:rPr>
              <w:t>à 20 °C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 xml:space="preserve">Tare en </w:t>
            </w:r>
            <w:proofErr w:type="spellStart"/>
            <w:r w:rsidRPr="00A8747D">
              <w:rPr>
                <w:lang w:val="fr-FR"/>
              </w:rPr>
              <w:t>kg</w:t>
            </w:r>
            <w:r w:rsidRPr="00645990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 xml:space="preserve">Pression d’épreuve (manométrique) en kPa ou en </w:t>
            </w:r>
            <w:proofErr w:type="spellStart"/>
            <w:r w:rsidRPr="00A8747D">
              <w:rPr>
                <w:lang w:val="fr-FR"/>
              </w:rPr>
              <w:t>bar</w:t>
            </w:r>
            <w:r w:rsidRPr="003B1532">
              <w:rPr>
                <w:i/>
                <w:vertAlign w:val="superscript"/>
                <w:lang w:val="fr-FR"/>
              </w:rPr>
              <w:t>a</w:t>
            </w:r>
            <w:proofErr w:type="spellEnd"/>
            <w:r w:rsidRPr="00A8747D">
              <w:rPr>
                <w:lang w:val="fr-FR"/>
              </w:rPr>
              <w:t xml:space="preserve"> (s’il y a lieu)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 xml:space="preserve">Pression maximale de remplissage ou de vidange en kPa ou en </w:t>
            </w:r>
            <w:proofErr w:type="spellStart"/>
            <w:r w:rsidRPr="00A8747D">
              <w:rPr>
                <w:lang w:val="fr-FR"/>
              </w:rPr>
              <w:t>bar</w:t>
            </w:r>
            <w:r w:rsidRPr="00645990">
              <w:rPr>
                <w:i/>
                <w:vertAlign w:val="superscript"/>
                <w:lang w:val="fr-FR"/>
              </w:rPr>
              <w:t>a</w:t>
            </w:r>
            <w:proofErr w:type="spellEnd"/>
            <w:r w:rsidRPr="00A8747D">
              <w:rPr>
                <w:lang w:val="fr-FR"/>
              </w:rPr>
              <w:t xml:space="preserve"> (s’il y a lieu)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 xml:space="preserve">Matériau du corps et épaisseur </w:t>
            </w:r>
            <w:r w:rsidRPr="00A8747D">
              <w:rPr>
                <w:strike/>
                <w:lang w:val="fr-FR"/>
              </w:rPr>
              <w:t>minimale</w:t>
            </w:r>
            <w:r w:rsidRPr="00A8747D">
              <w:rPr>
                <w:lang w:val="fr-FR"/>
              </w:rPr>
              <w:t xml:space="preserve"> en mm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>Date de la dernière épreuve d’étanchéité, s’il y a lieu (mois et année)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>Date de la dernière inspection (mois et année)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>Numéro de série du fabricant</w:t>
            </w:r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</w:p>
        </w:tc>
      </w:tr>
      <w:tr w:rsidR="00645990" w:rsidRPr="00A8747D" w:rsidTr="00A06358">
        <w:tc>
          <w:tcPr>
            <w:tcW w:w="4116" w:type="dxa"/>
            <w:shd w:val="clear" w:color="auto" w:fill="auto"/>
          </w:tcPr>
          <w:p w:rsidR="00645990" w:rsidRPr="00A8747D" w:rsidRDefault="00645990" w:rsidP="00A06358">
            <w:pPr>
              <w:spacing w:before="60" w:after="60"/>
              <w:ind w:left="113" w:right="113"/>
              <w:rPr>
                <w:lang w:val="fr-FR"/>
              </w:rPr>
            </w:pPr>
            <w:r w:rsidRPr="00A8747D">
              <w:rPr>
                <w:lang w:val="fr-FR"/>
              </w:rPr>
              <w:t xml:space="preserve">Charge de gerbage maximale </w:t>
            </w:r>
            <w:proofErr w:type="spellStart"/>
            <w:r w:rsidRPr="00A8747D">
              <w:rPr>
                <w:lang w:val="fr-FR"/>
              </w:rPr>
              <w:t>autorisée</w:t>
            </w:r>
            <w:r w:rsidRPr="00645990">
              <w:rPr>
                <w:i/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1482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955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:rsidR="00645990" w:rsidRPr="00A8747D" w:rsidRDefault="00645990" w:rsidP="00645990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A8747D">
              <w:rPr>
                <w:lang w:val="fr-FR"/>
              </w:rPr>
              <w:t>X</w:t>
            </w:r>
          </w:p>
        </w:tc>
      </w:tr>
    </w:tbl>
    <w:p w:rsidR="00442C28" w:rsidRPr="00EC0E01" w:rsidRDefault="00EC0E01" w:rsidP="00EC0E01">
      <w:pPr>
        <w:spacing w:before="120" w:line="240" w:lineRule="auto"/>
        <w:ind w:firstLine="170"/>
        <w:rPr>
          <w:sz w:val="18"/>
          <w:szCs w:val="18"/>
          <w:lang w:val="fr-FR"/>
        </w:rPr>
      </w:pPr>
      <w:proofErr w:type="spellStart"/>
      <w:proofErr w:type="gramStart"/>
      <w:r w:rsidRPr="00EC0E01">
        <w:rPr>
          <w:i/>
          <w:sz w:val="18"/>
          <w:szCs w:val="18"/>
          <w:vertAlign w:val="superscript"/>
          <w:lang w:val="fr-FR"/>
        </w:rPr>
        <w:t>a</w:t>
      </w:r>
      <w:proofErr w:type="spellEnd"/>
      <w:r>
        <w:rPr>
          <w:sz w:val="18"/>
          <w:szCs w:val="18"/>
          <w:lang w:val="fr-FR"/>
        </w:rPr>
        <w:t>  </w:t>
      </w:r>
      <w:r w:rsidR="00442C28" w:rsidRPr="003B1532">
        <w:rPr>
          <w:i/>
          <w:sz w:val="18"/>
          <w:szCs w:val="18"/>
          <w:lang w:val="fr-FR"/>
        </w:rPr>
        <w:t>Indiquer</w:t>
      </w:r>
      <w:proofErr w:type="gramEnd"/>
      <w:r w:rsidR="00442C28" w:rsidRPr="003B1532">
        <w:rPr>
          <w:i/>
          <w:sz w:val="18"/>
          <w:szCs w:val="18"/>
          <w:lang w:val="fr-FR"/>
        </w:rPr>
        <w:t xml:space="preserve"> l</w:t>
      </w:r>
      <w:r w:rsidR="003C170B" w:rsidRPr="003B1532">
        <w:rPr>
          <w:i/>
          <w:sz w:val="18"/>
          <w:szCs w:val="18"/>
          <w:lang w:val="fr-FR"/>
        </w:rPr>
        <w:t>’</w:t>
      </w:r>
      <w:r w:rsidR="00442C28" w:rsidRPr="003B1532">
        <w:rPr>
          <w:i/>
          <w:sz w:val="18"/>
          <w:szCs w:val="18"/>
          <w:lang w:val="fr-FR"/>
        </w:rPr>
        <w:t>unité utilisée.</w:t>
      </w:r>
    </w:p>
    <w:p w:rsidR="00442C28" w:rsidRPr="00EC0E01" w:rsidRDefault="00EC0E01" w:rsidP="00EC0E01">
      <w:pPr>
        <w:spacing w:after="240" w:line="240" w:lineRule="auto"/>
        <w:ind w:firstLine="170"/>
        <w:rPr>
          <w:sz w:val="18"/>
          <w:szCs w:val="18"/>
          <w:lang w:val="fr-FR"/>
        </w:rPr>
      </w:pPr>
      <w:proofErr w:type="gramStart"/>
      <w:r w:rsidRPr="00EC0E01">
        <w:rPr>
          <w:i/>
          <w:sz w:val="18"/>
          <w:szCs w:val="18"/>
          <w:vertAlign w:val="superscript"/>
          <w:lang w:val="fr-FR"/>
        </w:rPr>
        <w:t>b</w:t>
      </w:r>
      <w:r>
        <w:rPr>
          <w:sz w:val="18"/>
          <w:szCs w:val="18"/>
          <w:lang w:val="fr-FR"/>
        </w:rPr>
        <w:t>  </w:t>
      </w:r>
      <w:r w:rsidR="00442C28" w:rsidRPr="003B1532">
        <w:rPr>
          <w:i/>
          <w:sz w:val="18"/>
          <w:szCs w:val="18"/>
          <w:lang w:val="fr-FR"/>
        </w:rPr>
        <w:t>Voir</w:t>
      </w:r>
      <w:proofErr w:type="gramEnd"/>
      <w:r w:rsidR="00442C28" w:rsidRPr="003B1532">
        <w:rPr>
          <w:i/>
          <w:sz w:val="18"/>
          <w:szCs w:val="18"/>
          <w:lang w:val="fr-FR"/>
        </w:rPr>
        <w:t xml:space="preserve"> le paragraphe 6.5.2.2.2. Cette marque supplémentaire doit s</w:t>
      </w:r>
      <w:r w:rsidR="003C170B" w:rsidRPr="003B1532">
        <w:rPr>
          <w:i/>
          <w:sz w:val="18"/>
          <w:szCs w:val="18"/>
          <w:lang w:val="fr-FR"/>
        </w:rPr>
        <w:t>’</w:t>
      </w:r>
      <w:r w:rsidR="00442C28" w:rsidRPr="003B1532">
        <w:rPr>
          <w:i/>
          <w:sz w:val="18"/>
          <w:szCs w:val="18"/>
          <w:lang w:val="fr-FR"/>
        </w:rPr>
        <w:t>appliquer à tous les GRV fabriqués, réparés ou refabriqués à partir du 1</w:t>
      </w:r>
      <w:r w:rsidR="00442C28" w:rsidRPr="003B1532">
        <w:rPr>
          <w:i/>
          <w:sz w:val="18"/>
          <w:szCs w:val="18"/>
          <w:vertAlign w:val="superscript"/>
          <w:lang w:val="fr-FR"/>
        </w:rPr>
        <w:t>er</w:t>
      </w:r>
      <w:r w:rsidRPr="003B1532">
        <w:rPr>
          <w:i/>
          <w:sz w:val="18"/>
          <w:szCs w:val="18"/>
          <w:lang w:val="fr-FR"/>
        </w:rPr>
        <w:t> </w:t>
      </w:r>
      <w:r w:rsidR="00442C28" w:rsidRPr="003B1532">
        <w:rPr>
          <w:i/>
          <w:sz w:val="18"/>
          <w:szCs w:val="18"/>
          <w:lang w:val="fr-FR"/>
        </w:rPr>
        <w:t>janvier 2011.</w:t>
      </w:r>
      <w:r w:rsidR="00442C28" w:rsidRPr="00EC0E01">
        <w:rPr>
          <w:sz w:val="18"/>
          <w:szCs w:val="18"/>
          <w:lang w:val="fr-FR"/>
        </w:rPr>
        <w:t> »]</w:t>
      </w:r>
      <w:r>
        <w:rPr>
          <w:sz w:val="18"/>
          <w:szCs w:val="18"/>
          <w:lang w:val="fr-FR"/>
        </w:rPr>
        <w:t>.</w:t>
      </w:r>
    </w:p>
    <w:p w:rsidR="00442C28" w:rsidRPr="00105C28" w:rsidRDefault="00442C28" w:rsidP="00EC0E01">
      <w:pPr>
        <w:pStyle w:val="SingleTxtG"/>
        <w:rPr>
          <w:lang w:val="fr-FR"/>
        </w:rPr>
      </w:pPr>
      <w:r w:rsidRPr="00105C28">
        <w:rPr>
          <w:bCs/>
          <w:lang w:val="fr-FR"/>
        </w:rPr>
        <w:t>10.</w:t>
      </w:r>
      <w:r w:rsidRPr="00105C28">
        <w:rPr>
          <w:b/>
          <w:lang w:val="fr-FR"/>
        </w:rPr>
        <w:tab/>
      </w:r>
      <w:r w:rsidRPr="00736773">
        <w:rPr>
          <w:b/>
          <w:u w:val="single"/>
          <w:lang w:val="fr-FR"/>
        </w:rPr>
        <w:t>Modifier</w:t>
      </w:r>
      <w:r w:rsidRPr="00105C28">
        <w:rPr>
          <w:lang w:val="fr-FR"/>
        </w:rPr>
        <w:t xml:space="preserve"> comme suit le 6.5.5.1.6 </w:t>
      </w:r>
      <w:r w:rsidR="00EC0E01">
        <w:rPr>
          <w:lang w:val="fr-FR"/>
        </w:rPr>
        <w:t>:</w:t>
      </w:r>
    </w:p>
    <w:p w:rsidR="00442C28" w:rsidRPr="00105C28" w:rsidRDefault="00442C28" w:rsidP="00442C28">
      <w:pPr>
        <w:spacing w:after="240" w:line="240" w:lineRule="auto"/>
        <w:ind w:left="1418" w:firstLine="284"/>
        <w:rPr>
          <w:lang w:val="fr-FR"/>
        </w:rPr>
      </w:pPr>
      <w:r w:rsidRPr="00105C28">
        <w:rPr>
          <w:lang w:val="fr-FR" w:eastAsia="de-DE"/>
        </w:rPr>
        <w:t>[«</w:t>
      </w:r>
      <w:r w:rsidR="00736773">
        <w:rPr>
          <w:lang w:val="fr-FR" w:eastAsia="de-DE"/>
        </w:rPr>
        <w:t> </w:t>
      </w:r>
      <w:r w:rsidRPr="00105C28">
        <w:rPr>
          <w:lang w:val="fr-FR" w:eastAsia="de-DE"/>
        </w:rPr>
        <w:t>6.5.5.1.6</w:t>
      </w:r>
      <w:r w:rsidRPr="00105C28">
        <w:rPr>
          <w:lang w:val="fr-FR" w:eastAsia="de-DE"/>
        </w:rPr>
        <w:tab/>
      </w:r>
      <w:r w:rsidRPr="003B1532">
        <w:rPr>
          <w:i/>
          <w:lang w:val="fr-FR"/>
        </w:rPr>
        <w:t>Épaisseur minimale de la</w:t>
      </w:r>
      <w:r w:rsidRPr="003B1532">
        <w:rPr>
          <w:i/>
          <w:spacing w:val="-10"/>
          <w:lang w:val="fr-FR"/>
        </w:rPr>
        <w:t xml:space="preserve"> </w:t>
      </w:r>
      <w:r w:rsidRPr="003B1532">
        <w:rPr>
          <w:i/>
          <w:lang w:val="fr-FR"/>
        </w:rPr>
        <w:t>paroi</w:t>
      </w:r>
      <w:r w:rsidR="00736773" w:rsidRPr="00736773">
        <w:rPr>
          <w:rStyle w:val="FootnoteReference"/>
          <w:u w:val="single"/>
        </w:rPr>
        <w:footnoteReference w:id="3"/>
      </w:r>
    </w:p>
    <w:p w:rsidR="00442C28" w:rsidRDefault="00442C28" w:rsidP="00736773">
      <w:pPr>
        <w:pStyle w:val="SingleTxtG"/>
        <w:ind w:left="2268" w:hanging="567"/>
        <w:rPr>
          <w:lang w:val="fr-FR"/>
        </w:rPr>
      </w:pPr>
      <w:r w:rsidRPr="00736773">
        <w:rPr>
          <w:u w:val="single"/>
          <w:lang w:val="fr-FR"/>
        </w:rPr>
        <w:t>a</w:t>
      </w:r>
      <w:r>
        <w:rPr>
          <w:lang w:val="fr-FR"/>
        </w:rPr>
        <w:t>)</w:t>
      </w:r>
      <w:r>
        <w:rPr>
          <w:lang w:val="fr-FR"/>
        </w:rPr>
        <w:tab/>
      </w:r>
      <w:r w:rsidRPr="00105C28">
        <w:rPr>
          <w:lang w:val="fr-FR"/>
        </w:rPr>
        <w:t>Dans le cas d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un acier de référence dont le produit </w:t>
      </w:r>
      <w:proofErr w:type="spellStart"/>
      <w:r w:rsidRPr="00105C28">
        <w:rPr>
          <w:lang w:val="fr-FR"/>
        </w:rPr>
        <w:t>Rm</w:t>
      </w:r>
      <w:proofErr w:type="spellEnd"/>
      <w:r w:rsidR="00624475">
        <w:rPr>
          <w:lang w:val="fr-FR"/>
        </w:rPr>
        <w:t> </w:t>
      </w:r>
      <w:r w:rsidRPr="00105C28">
        <w:rPr>
          <w:rFonts w:ascii="Symbol" w:hAnsi="Symbol"/>
          <w:lang w:val="fr-FR"/>
        </w:rPr>
        <w:t></w:t>
      </w:r>
      <w:r w:rsidR="00624475">
        <w:rPr>
          <w:lang w:val="fr-FR"/>
        </w:rPr>
        <w:t xml:space="preserve"> </w:t>
      </w:r>
      <w:r w:rsidRPr="00105C28">
        <w:rPr>
          <w:lang w:val="fr-FR"/>
        </w:rPr>
        <w:t>A</w:t>
      </w:r>
      <w:r w:rsidRPr="00105C28">
        <w:rPr>
          <w:position w:val="-2"/>
          <w:sz w:val="13"/>
          <w:lang w:val="fr-FR"/>
        </w:rPr>
        <w:t>o</w:t>
      </w:r>
      <w:r w:rsidR="00624475">
        <w:rPr>
          <w:position w:val="-2"/>
          <w:sz w:val="13"/>
          <w:lang w:val="fr-FR"/>
        </w:rPr>
        <w:t> </w:t>
      </w:r>
      <w:r w:rsidR="00736773">
        <w:rPr>
          <w:lang w:val="fr-FR"/>
        </w:rPr>
        <w:t>=</w:t>
      </w:r>
      <w:r w:rsidR="00624475">
        <w:rPr>
          <w:lang w:val="fr-FR"/>
        </w:rPr>
        <w:t> </w:t>
      </w:r>
      <w:r w:rsidR="00736773">
        <w:rPr>
          <w:lang w:val="fr-FR"/>
        </w:rPr>
        <w:t>10 </w:t>
      </w:r>
      <w:r w:rsidRPr="00105C28">
        <w:rPr>
          <w:lang w:val="fr-FR"/>
        </w:rPr>
        <w:t>000, l</w:t>
      </w:r>
      <w:r w:rsidR="003C170B">
        <w:rPr>
          <w:lang w:val="fr-FR"/>
        </w:rPr>
        <w:t>’</w:t>
      </w:r>
      <w:r w:rsidRPr="00105C28">
        <w:rPr>
          <w:lang w:val="fr-FR"/>
        </w:rPr>
        <w:t>épaisseur de la paroi ne doit pas être inférieure aux valeurs</w:t>
      </w:r>
      <w:r w:rsidRPr="00105C28">
        <w:rPr>
          <w:spacing w:val="-25"/>
          <w:lang w:val="fr-FR"/>
        </w:rPr>
        <w:t xml:space="preserve"> </w:t>
      </w:r>
      <w:r w:rsidRPr="00105C28">
        <w:rPr>
          <w:lang w:val="fr-FR"/>
        </w:rPr>
        <w:t>suivantes</w:t>
      </w:r>
      <w:r>
        <w:rPr>
          <w:lang w:val="fr-FR"/>
        </w:rPr>
        <w:t> </w:t>
      </w:r>
      <w:r w:rsidRPr="00105C28">
        <w:rPr>
          <w:lang w:val="fr-FR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18"/>
        <w:gridCol w:w="1920"/>
        <w:gridCol w:w="1920"/>
        <w:gridCol w:w="1920"/>
      </w:tblGrid>
      <w:tr w:rsidR="00A06358" w:rsidRPr="00A8747D" w:rsidTr="00013CF2">
        <w:tc>
          <w:tcPr>
            <w:tcW w:w="1959" w:type="dxa"/>
            <w:vMerge w:val="restart"/>
            <w:shd w:val="clear" w:color="auto" w:fill="auto"/>
            <w:vAlign w:val="center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trike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 xml:space="preserve">Contenance (C) </w:t>
            </w:r>
            <w:r w:rsidRPr="00A8747D">
              <w:rPr>
                <w:b/>
                <w:sz w:val="18"/>
                <w:szCs w:val="18"/>
                <w:lang w:val="fr-FR"/>
              </w:rPr>
              <w:br/>
              <w:t>en litres</w:t>
            </w:r>
          </w:p>
        </w:tc>
        <w:tc>
          <w:tcPr>
            <w:tcW w:w="7678" w:type="dxa"/>
            <w:gridSpan w:val="4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trike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Épaisseur (e) de la paroi en mm</w:t>
            </w:r>
          </w:p>
        </w:tc>
      </w:tr>
      <w:tr w:rsidR="00A06358" w:rsidRPr="00A8747D" w:rsidTr="00013CF2">
        <w:tc>
          <w:tcPr>
            <w:tcW w:w="1959" w:type="dxa"/>
            <w:vMerge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trike/>
                <w:sz w:val="18"/>
                <w:szCs w:val="18"/>
                <w:lang w:val="fr-FR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b/>
                <w:sz w:val="18"/>
                <w:szCs w:val="18"/>
                <w:lang w:val="fr-FR"/>
              </w:rPr>
              <w:t>Types:</w:t>
            </w:r>
            <w:proofErr w:type="gramEnd"/>
            <w:r w:rsidRPr="00A8747D">
              <w:rPr>
                <w:b/>
                <w:sz w:val="18"/>
                <w:szCs w:val="18"/>
                <w:lang w:val="fr-FR"/>
              </w:rPr>
              <w:t xml:space="preserve"> 11A, 11B, 11N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trike/>
                <w:sz w:val="18"/>
                <w:szCs w:val="18"/>
                <w:lang w:val="en-US"/>
              </w:rPr>
            </w:pPr>
            <w:r w:rsidRPr="00A8747D">
              <w:rPr>
                <w:b/>
                <w:sz w:val="18"/>
                <w:szCs w:val="18"/>
                <w:lang w:val="en-US"/>
              </w:rPr>
              <w:t>Types: 21A, 21B, 21N, 31A, 31B, 31N</w:t>
            </w:r>
          </w:p>
        </w:tc>
      </w:tr>
      <w:tr w:rsidR="00A06358" w:rsidRPr="00A8747D" w:rsidTr="00013CF2">
        <w:tc>
          <w:tcPr>
            <w:tcW w:w="1959" w:type="dxa"/>
            <w:vMerge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Non protégé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Protégé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Non protégé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013CF2">
            <w:pPr>
              <w:spacing w:before="60" w:after="60"/>
              <w:ind w:right="113"/>
              <w:jc w:val="center"/>
              <w:rPr>
                <w:b/>
                <w:sz w:val="18"/>
                <w:szCs w:val="18"/>
                <w:lang w:val="fr-FR"/>
              </w:rPr>
            </w:pPr>
            <w:r w:rsidRPr="00A8747D">
              <w:rPr>
                <w:b/>
                <w:sz w:val="18"/>
                <w:szCs w:val="18"/>
                <w:lang w:val="fr-FR"/>
              </w:rPr>
              <w:t>Protégé</w:t>
            </w:r>
          </w:p>
        </w:tc>
      </w:tr>
      <w:tr w:rsidR="00A06358" w:rsidRPr="00A8747D" w:rsidTr="00013CF2">
        <w:tc>
          <w:tcPr>
            <w:tcW w:w="1959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 xml:space="preserve">C </w:t>
            </w:r>
            <w:r w:rsidR="00082B03" w:rsidRPr="00A8747D">
              <w:rPr>
                <w:sz w:val="18"/>
                <w:szCs w:val="18"/>
                <w:u w:val="single"/>
                <w:lang w:val="fr-FR" w:eastAsia="de-DE"/>
              </w:rPr>
              <w:t>≤</w:t>
            </w:r>
            <w:r w:rsidRPr="00A8747D">
              <w:rPr>
                <w:strike/>
                <w:sz w:val="18"/>
                <w:szCs w:val="18"/>
                <w:lang w:val="fr-FR"/>
              </w:rPr>
              <w:t xml:space="preserve"> 1 000</w:t>
            </w:r>
          </w:p>
        </w:tc>
        <w:tc>
          <w:tcPr>
            <w:tcW w:w="1918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>2,0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>1,5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>2,5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>2,0</w:t>
            </w:r>
          </w:p>
        </w:tc>
      </w:tr>
      <w:tr w:rsidR="00A06358" w:rsidRPr="00A8747D" w:rsidTr="00013CF2">
        <w:tc>
          <w:tcPr>
            <w:tcW w:w="1959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 xml:space="preserve">1 000 &lt; C </w:t>
            </w:r>
            <w:r w:rsidR="00082B03" w:rsidRPr="00A8747D">
              <w:rPr>
                <w:sz w:val="18"/>
                <w:szCs w:val="18"/>
                <w:u w:val="single"/>
                <w:lang w:val="fr-FR" w:eastAsia="de-DE"/>
              </w:rPr>
              <w:t>≤</w:t>
            </w:r>
            <w:r w:rsidRPr="00A8747D">
              <w:rPr>
                <w:strike/>
                <w:sz w:val="18"/>
                <w:szCs w:val="18"/>
                <w:lang w:val="fr-FR"/>
              </w:rPr>
              <w:t xml:space="preserve"> 2 000</w:t>
            </w:r>
          </w:p>
        </w:tc>
        <w:tc>
          <w:tcPr>
            <w:tcW w:w="1918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+ 1,5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+ 1,0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+ 2,0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+ 1,5</w:t>
            </w:r>
          </w:p>
        </w:tc>
      </w:tr>
      <w:tr w:rsidR="00A06358" w:rsidRPr="00A8747D" w:rsidTr="00013CF2">
        <w:tc>
          <w:tcPr>
            <w:tcW w:w="1959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r w:rsidRPr="00A8747D">
              <w:rPr>
                <w:strike/>
                <w:sz w:val="18"/>
                <w:szCs w:val="18"/>
                <w:lang w:val="fr-FR"/>
              </w:rPr>
              <w:t xml:space="preserve">2 000 &lt; C </w:t>
            </w:r>
            <w:r w:rsidR="00082B03" w:rsidRPr="00A8747D">
              <w:rPr>
                <w:sz w:val="18"/>
                <w:szCs w:val="18"/>
                <w:u w:val="single"/>
                <w:lang w:val="fr-FR" w:eastAsia="de-DE"/>
              </w:rPr>
              <w:t>≤</w:t>
            </w:r>
            <w:r w:rsidRPr="00A8747D">
              <w:rPr>
                <w:strike/>
                <w:sz w:val="18"/>
                <w:szCs w:val="18"/>
                <w:lang w:val="fr-FR"/>
              </w:rPr>
              <w:t xml:space="preserve"> 3 000</w:t>
            </w:r>
          </w:p>
        </w:tc>
        <w:tc>
          <w:tcPr>
            <w:tcW w:w="1918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+ 1,5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+ 1,0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1 000 + 1,0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trike/>
                <w:sz w:val="18"/>
                <w:szCs w:val="18"/>
                <w:lang w:val="fr-FR"/>
              </w:rPr>
            </w:pPr>
            <w:proofErr w:type="gramStart"/>
            <w:r w:rsidRPr="00A8747D">
              <w:rPr>
                <w:strike/>
                <w:sz w:val="18"/>
                <w:szCs w:val="18"/>
                <w:lang w:val="fr-FR"/>
              </w:rPr>
              <w:t>e</w:t>
            </w:r>
            <w:proofErr w:type="gramEnd"/>
            <w:r w:rsidRPr="00A8747D">
              <w:rPr>
                <w:strike/>
                <w:sz w:val="18"/>
                <w:szCs w:val="18"/>
                <w:lang w:val="fr-FR"/>
              </w:rPr>
              <w:t xml:space="preserve"> = C/ 2 000 + 1,5</w:t>
            </w:r>
          </w:p>
        </w:tc>
      </w:tr>
      <w:tr w:rsidR="00A06358" w:rsidRPr="00A8747D" w:rsidTr="00013CF2">
        <w:tc>
          <w:tcPr>
            <w:tcW w:w="1959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z w:val="18"/>
                <w:szCs w:val="18"/>
                <w:u w:val="single"/>
                <w:lang w:val="fr-FR" w:eastAsia="de-DE"/>
              </w:rPr>
            </w:pPr>
            <w:r w:rsidRPr="00A8747D">
              <w:rPr>
                <w:sz w:val="18"/>
                <w:szCs w:val="18"/>
                <w:u w:val="single"/>
                <w:lang w:val="fr-FR" w:eastAsia="de-DE"/>
              </w:rPr>
              <w:t>1500 &lt; C ≤ 3000</w:t>
            </w:r>
          </w:p>
        </w:tc>
        <w:tc>
          <w:tcPr>
            <w:tcW w:w="1918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z w:val="18"/>
                <w:szCs w:val="18"/>
                <w:u w:val="single"/>
                <w:lang w:val="fr-FR" w:eastAsia="de-DE"/>
              </w:rPr>
            </w:pPr>
            <w:r w:rsidRPr="00A8747D">
              <w:rPr>
                <w:sz w:val="18"/>
                <w:szCs w:val="18"/>
                <w:u w:val="single"/>
                <w:lang w:val="fr-FR" w:eastAsia="de-DE"/>
              </w:rPr>
              <w:t>T = C/2000 + 1.5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z w:val="18"/>
                <w:szCs w:val="18"/>
                <w:u w:val="single"/>
                <w:lang w:val="fr-FR" w:eastAsia="de-DE"/>
              </w:rPr>
            </w:pPr>
            <w:r w:rsidRPr="00A8747D">
              <w:rPr>
                <w:sz w:val="18"/>
                <w:szCs w:val="18"/>
                <w:u w:val="single"/>
                <w:lang w:val="fr-FR" w:eastAsia="de-DE"/>
              </w:rPr>
              <w:t>T = C/2000 + 1.0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z w:val="18"/>
                <w:szCs w:val="18"/>
                <w:u w:val="single"/>
                <w:lang w:val="fr-FR" w:eastAsia="de-DE"/>
              </w:rPr>
            </w:pPr>
            <w:r w:rsidRPr="00A8747D">
              <w:rPr>
                <w:sz w:val="18"/>
                <w:szCs w:val="18"/>
                <w:u w:val="single"/>
                <w:lang w:val="fr-FR" w:eastAsia="de-DE"/>
              </w:rPr>
              <w:t>T = C/1000 + 1.0</w:t>
            </w:r>
          </w:p>
        </w:tc>
        <w:tc>
          <w:tcPr>
            <w:tcW w:w="1920" w:type="dxa"/>
            <w:shd w:val="clear" w:color="auto" w:fill="auto"/>
          </w:tcPr>
          <w:p w:rsidR="00A06358" w:rsidRPr="00A8747D" w:rsidRDefault="00A06358" w:rsidP="00624475">
            <w:pPr>
              <w:spacing w:before="60" w:after="60"/>
              <w:ind w:right="113"/>
              <w:jc w:val="center"/>
              <w:rPr>
                <w:sz w:val="18"/>
                <w:szCs w:val="18"/>
                <w:u w:val="single"/>
                <w:lang w:val="fr-FR" w:eastAsia="de-DE"/>
              </w:rPr>
            </w:pPr>
            <w:r w:rsidRPr="00A8747D">
              <w:rPr>
                <w:sz w:val="18"/>
                <w:szCs w:val="18"/>
                <w:u w:val="single"/>
                <w:lang w:val="fr-FR" w:eastAsia="de-DE"/>
              </w:rPr>
              <w:t>T = C/2000 + 1.5</w:t>
            </w:r>
          </w:p>
        </w:tc>
      </w:tr>
    </w:tbl>
    <w:p w:rsidR="00442C28" w:rsidRPr="00105C28" w:rsidRDefault="00442C28" w:rsidP="00F36CE4">
      <w:pPr>
        <w:pStyle w:val="BodyText"/>
        <w:tabs>
          <w:tab w:val="left" w:pos="2694"/>
          <w:tab w:val="left" w:pos="3119"/>
        </w:tabs>
        <w:spacing w:before="240" w:after="240" w:line="240" w:lineRule="auto"/>
        <w:ind w:left="2268" w:right="136" w:hanging="567"/>
        <w:rPr>
          <w:lang w:val="fr-FR"/>
        </w:rPr>
      </w:pPr>
      <w:proofErr w:type="gramStart"/>
      <w:r w:rsidRPr="00105C28">
        <w:rPr>
          <w:lang w:val="fr-FR"/>
        </w:rPr>
        <w:t>où</w:t>
      </w:r>
      <w:proofErr w:type="gramEnd"/>
      <w:r w:rsidR="00D01DE7">
        <w:rPr>
          <w:lang w:val="fr-FR"/>
        </w:rPr>
        <w:t> </w:t>
      </w:r>
      <w:r w:rsidRPr="00105C28">
        <w:rPr>
          <w:lang w:val="fr-FR"/>
        </w:rPr>
        <w:t>:</w:t>
      </w:r>
      <w:r w:rsidRPr="00105C28">
        <w:rPr>
          <w:lang w:val="fr-FR"/>
        </w:rPr>
        <w:tab/>
        <w:t>A</w:t>
      </w:r>
      <w:r w:rsidRPr="00105C28">
        <w:rPr>
          <w:position w:val="-2"/>
          <w:sz w:val="13"/>
          <w:lang w:val="fr-FR"/>
        </w:rPr>
        <w:t xml:space="preserve">o </w:t>
      </w:r>
      <w:r w:rsidR="00D01DE7">
        <w:rPr>
          <w:position w:val="-2"/>
          <w:sz w:val="13"/>
          <w:lang w:val="fr-FR"/>
        </w:rPr>
        <w:tab/>
      </w:r>
      <w:r w:rsidRPr="00105C28">
        <w:rPr>
          <w:lang w:val="fr-FR"/>
        </w:rPr>
        <w:t>=</w:t>
      </w:r>
      <w:r w:rsidR="00D01DE7">
        <w:rPr>
          <w:lang w:val="fr-FR"/>
        </w:rPr>
        <w:tab/>
      </w:r>
      <w:r w:rsidRPr="00105C28">
        <w:rPr>
          <w:lang w:val="fr-FR"/>
        </w:rPr>
        <w:t>pourcentage minimal d</w:t>
      </w:r>
      <w:r w:rsidR="003C170B">
        <w:rPr>
          <w:lang w:val="fr-FR"/>
        </w:rPr>
        <w:t>’</w:t>
      </w:r>
      <w:r w:rsidRPr="00105C28">
        <w:rPr>
          <w:lang w:val="fr-FR"/>
        </w:rPr>
        <w:t>allongement à</w:t>
      </w:r>
      <w:r w:rsidR="003B1532">
        <w:rPr>
          <w:lang w:val="fr-FR"/>
        </w:rPr>
        <w:t xml:space="preserve"> </w:t>
      </w:r>
      <w:r w:rsidRPr="00105C28">
        <w:rPr>
          <w:lang w:val="fr-FR"/>
        </w:rPr>
        <w:t>la rupture par traction de</w:t>
      </w:r>
      <w:r w:rsidRPr="00105C28">
        <w:rPr>
          <w:spacing w:val="34"/>
          <w:lang w:val="fr-FR"/>
        </w:rPr>
        <w:t xml:space="preserve"> </w:t>
      </w:r>
      <w:r w:rsidRPr="00105C28">
        <w:rPr>
          <w:lang w:val="fr-FR"/>
        </w:rPr>
        <w:t>l</w:t>
      </w:r>
      <w:r w:rsidR="003C170B">
        <w:rPr>
          <w:lang w:val="fr-FR"/>
        </w:rPr>
        <w:t>’</w:t>
      </w:r>
      <w:r w:rsidRPr="00105C28">
        <w:rPr>
          <w:lang w:val="fr-FR"/>
        </w:rPr>
        <w:t>acier</w:t>
      </w:r>
      <w:r w:rsidRPr="00105C28">
        <w:rPr>
          <w:spacing w:val="16"/>
          <w:lang w:val="fr-FR"/>
        </w:rPr>
        <w:t xml:space="preserve"> </w:t>
      </w:r>
      <w:r w:rsidRPr="00105C28">
        <w:rPr>
          <w:lang w:val="fr-FR"/>
        </w:rPr>
        <w:t>de</w:t>
      </w:r>
      <w:r w:rsidRPr="00105C28">
        <w:rPr>
          <w:spacing w:val="-1"/>
          <w:lang w:val="fr-FR"/>
        </w:rPr>
        <w:t xml:space="preserve"> </w:t>
      </w:r>
      <w:r w:rsidR="00D01DE7">
        <w:rPr>
          <w:spacing w:val="-1"/>
          <w:lang w:val="fr-FR"/>
        </w:rPr>
        <w:tab/>
      </w:r>
      <w:r w:rsidR="00D01DE7">
        <w:rPr>
          <w:spacing w:val="-1"/>
          <w:lang w:val="fr-FR"/>
        </w:rPr>
        <w:tab/>
      </w:r>
      <w:r w:rsidRPr="00105C28">
        <w:rPr>
          <w:lang w:val="fr-FR"/>
        </w:rPr>
        <w:t>référence utilisé (voir</w:t>
      </w:r>
      <w:r w:rsidRPr="00105C28">
        <w:rPr>
          <w:spacing w:val="-16"/>
          <w:lang w:val="fr-FR"/>
        </w:rPr>
        <w:t xml:space="preserve"> </w:t>
      </w:r>
      <w:r w:rsidRPr="00105C28">
        <w:rPr>
          <w:lang w:val="fr-FR"/>
        </w:rPr>
        <w:t>6.5.5.1.5)</w:t>
      </w:r>
      <w:r w:rsidR="00D01DE7">
        <w:rPr>
          <w:lang w:val="fr-FR"/>
        </w:rPr>
        <w:t> </w:t>
      </w:r>
      <w:r w:rsidRPr="00105C28">
        <w:rPr>
          <w:lang w:val="fr-FR"/>
        </w:rPr>
        <w:t>;</w:t>
      </w:r>
    </w:p>
    <w:p w:rsidR="00442C28" w:rsidRDefault="00D01DE7" w:rsidP="00624475">
      <w:pPr>
        <w:pStyle w:val="SingleTxtG"/>
        <w:keepNext/>
        <w:ind w:left="2268" w:hanging="567"/>
      </w:pPr>
      <w:r>
        <w:rPr>
          <w:lang w:val="fr-FR"/>
        </w:rPr>
        <w:lastRenderedPageBreak/>
        <w:t>b)</w:t>
      </w:r>
      <w:r>
        <w:rPr>
          <w:lang w:val="fr-FR"/>
        </w:rPr>
        <w:tab/>
      </w:r>
      <w:r w:rsidR="00442C28" w:rsidRPr="00105C28">
        <w:rPr>
          <w:lang w:val="fr-FR"/>
        </w:rPr>
        <w:t>Pour les métaux autres que l</w:t>
      </w:r>
      <w:r w:rsidR="003C170B">
        <w:rPr>
          <w:lang w:val="fr-FR"/>
        </w:rPr>
        <w:t>’</w:t>
      </w:r>
      <w:r w:rsidR="00442C28" w:rsidRPr="00105C28">
        <w:rPr>
          <w:lang w:val="fr-FR"/>
        </w:rPr>
        <w:t>acier de référence tel qu</w:t>
      </w:r>
      <w:r w:rsidR="003C170B">
        <w:rPr>
          <w:lang w:val="fr-FR"/>
        </w:rPr>
        <w:t>’</w:t>
      </w:r>
      <w:r w:rsidR="00442C28" w:rsidRPr="00105C28">
        <w:rPr>
          <w:lang w:val="fr-FR"/>
        </w:rPr>
        <w:t>il est défini à l</w:t>
      </w:r>
      <w:r w:rsidR="003C170B">
        <w:rPr>
          <w:lang w:val="fr-FR"/>
        </w:rPr>
        <w:t>’</w:t>
      </w:r>
      <w:r w:rsidR="00442C28" w:rsidRPr="00105C28">
        <w:rPr>
          <w:lang w:val="fr-FR"/>
        </w:rPr>
        <w:t>alinéa a) ci-dessus, l</w:t>
      </w:r>
      <w:r w:rsidR="003C170B">
        <w:rPr>
          <w:lang w:val="fr-FR"/>
        </w:rPr>
        <w:t>’</w:t>
      </w:r>
      <w:r w:rsidR="00442C28" w:rsidRPr="00105C28">
        <w:rPr>
          <w:lang w:val="fr-FR"/>
        </w:rPr>
        <w:t>épaisseur minimale de la paroi est déterminée par l</w:t>
      </w:r>
      <w:r w:rsidR="003C170B">
        <w:rPr>
          <w:lang w:val="fr-FR"/>
        </w:rPr>
        <w:t>’</w:t>
      </w:r>
      <w:r w:rsidR="00442C28" w:rsidRPr="00105C28">
        <w:rPr>
          <w:lang w:val="fr-FR"/>
        </w:rPr>
        <w:t>équation</w:t>
      </w:r>
      <w:r w:rsidR="00442C28" w:rsidRPr="00105C28">
        <w:rPr>
          <w:spacing w:val="-35"/>
          <w:lang w:val="fr-FR"/>
        </w:rPr>
        <w:t xml:space="preserve"> </w:t>
      </w:r>
      <w:r w:rsidR="00442C28" w:rsidRPr="00105C28">
        <w:rPr>
          <w:lang w:val="fr-FR"/>
        </w:rPr>
        <w:t>suivante</w:t>
      </w:r>
      <w:r w:rsidR="00442C28">
        <w:rPr>
          <w:lang w:val="fr-FR"/>
        </w:rPr>
        <w:t> </w:t>
      </w:r>
      <w:r w:rsidR="00442C28" w:rsidRPr="00105C28">
        <w:rPr>
          <w:lang w:val="fr-FR"/>
        </w:rPr>
        <w:t>:</w:t>
      </w:r>
    </w:p>
    <w:p w:rsidR="00442C28" w:rsidRPr="003C3981" w:rsidRDefault="00442C28" w:rsidP="003C170B">
      <w:pPr>
        <w:ind w:right="1134"/>
        <w:jc w:val="center"/>
        <w:rPr>
          <w:lang w:eastAsia="de-DE"/>
        </w:rPr>
      </w:pPr>
      <w:r w:rsidRPr="003C3981">
        <w:rPr>
          <w:lang w:eastAsia="de-DE"/>
        </w:rPr>
        <w:tab/>
      </w:r>
      <w:proofErr w:type="gramStart"/>
      <w:r w:rsidRPr="003C3981">
        <w:rPr>
          <w:lang w:eastAsia="de-DE"/>
        </w:rPr>
        <w:t>e</w:t>
      </w:r>
      <w:proofErr w:type="gramEnd"/>
      <w:r w:rsidRPr="003C3981">
        <w:rPr>
          <w:vertAlign w:val="subscript"/>
          <w:lang w:eastAsia="de-DE"/>
        </w:rPr>
        <w:t>1</w:t>
      </w:r>
      <w:r w:rsidRPr="003C3981">
        <w:rPr>
          <w:lang w:eastAsia="de-DE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28"/>
                <w:lang w:eastAsia="de-DE"/>
              </w:rPr>
            </m:ctrlPr>
          </m:fPr>
          <m:num>
            <m:r>
              <m:rPr>
                <m:nor/>
              </m:rPr>
              <w:rPr>
                <w:sz w:val="28"/>
                <w:lang w:eastAsia="de-DE"/>
              </w:rPr>
              <m:t>21</m:t>
            </m:r>
            <m:r>
              <m:rPr>
                <m:nor/>
              </m:rPr>
              <w:rPr>
                <w:rFonts w:ascii="Cambria Math"/>
                <w:sz w:val="28"/>
                <w:lang w:eastAsia="de-DE"/>
              </w:rPr>
              <m:t>,</m:t>
            </m:r>
            <m:r>
              <m:rPr>
                <m:nor/>
              </m:rPr>
              <w:rPr>
                <w:sz w:val="28"/>
                <w:lang w:eastAsia="de-DE"/>
              </w:rPr>
              <m:t>4 × e</m:t>
            </m:r>
            <m:r>
              <m:rPr>
                <m:nor/>
              </m:rPr>
              <w:rPr>
                <w:sz w:val="28"/>
                <w:vertAlign w:val="subscript"/>
                <w:lang w:eastAsia="de-DE"/>
              </w:rPr>
              <m:t>0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lang w:eastAsia="de-DE"/>
                  </w:rPr>
                </m:ctrlPr>
              </m:radPr>
              <m:deg>
                <m:r>
                  <m:rPr>
                    <m:nor/>
                  </m:rPr>
                  <w:rPr>
                    <w:sz w:val="28"/>
                    <w:lang w:eastAsia="de-DE"/>
                  </w:rPr>
                  <m:t>3</m:t>
                </m:r>
              </m:deg>
              <m:e>
                <m:r>
                  <m:rPr>
                    <m:nor/>
                  </m:rPr>
                  <w:rPr>
                    <w:sz w:val="28"/>
                    <w:lang w:eastAsia="de-DE"/>
                  </w:rPr>
                  <m:t>Rm</m:t>
                </m:r>
                <m:r>
                  <m:rPr>
                    <m:nor/>
                  </m:rPr>
                  <w:rPr>
                    <w:sz w:val="28"/>
                    <w:vertAlign w:val="subscript"/>
                    <w:lang w:eastAsia="de-DE"/>
                  </w:rPr>
                  <m:t>1</m:t>
                </m:r>
                <m:r>
                  <m:rPr>
                    <m:nor/>
                  </m:rPr>
                  <w:rPr>
                    <w:sz w:val="28"/>
                    <w:lang w:eastAsia="de-DE"/>
                  </w:rPr>
                  <m:t xml:space="preserve"> × A</m:t>
                </m:r>
                <m:r>
                  <m:rPr>
                    <m:nor/>
                  </m:rPr>
                  <w:rPr>
                    <w:sz w:val="28"/>
                    <w:vertAlign w:val="subscript"/>
                    <w:lang w:eastAsia="de-DE"/>
                  </w:rPr>
                  <m:t>1</m:t>
                </m:r>
              </m:e>
            </m:rad>
          </m:den>
        </m:f>
      </m:oMath>
    </w:p>
    <w:p w:rsidR="00964DC9" w:rsidRPr="00105C28" w:rsidRDefault="00964DC9" w:rsidP="003C170B">
      <w:pPr>
        <w:pStyle w:val="BodyText"/>
        <w:tabs>
          <w:tab w:val="left" w:pos="2694"/>
          <w:tab w:val="left" w:pos="3119"/>
          <w:tab w:val="left" w:pos="3686"/>
        </w:tabs>
        <w:spacing w:before="240" w:after="240" w:line="240" w:lineRule="auto"/>
        <w:ind w:left="2268" w:right="1134" w:hanging="567"/>
        <w:rPr>
          <w:lang w:val="fr-FR"/>
        </w:rPr>
      </w:pPr>
      <w:proofErr w:type="gramStart"/>
      <w:r w:rsidRPr="00105C28">
        <w:rPr>
          <w:lang w:val="fr-FR"/>
        </w:rPr>
        <w:t>où</w:t>
      </w:r>
      <w:proofErr w:type="gramEnd"/>
      <w:r w:rsidRPr="00105C28">
        <w:rPr>
          <w:lang w:val="fr-FR"/>
        </w:rPr>
        <w:tab/>
        <w:t>e</w:t>
      </w:r>
      <w:r w:rsidRPr="00105C28">
        <w:rPr>
          <w:position w:val="-2"/>
          <w:sz w:val="13"/>
          <w:lang w:val="fr-FR"/>
        </w:rPr>
        <w:t>1</w:t>
      </w:r>
      <w:r w:rsidR="00D01DE7">
        <w:rPr>
          <w:position w:val="-2"/>
          <w:sz w:val="13"/>
          <w:lang w:val="fr-FR"/>
        </w:rPr>
        <w:tab/>
      </w:r>
      <w:r w:rsidR="00D01DE7">
        <w:rPr>
          <w:lang w:val="fr-FR"/>
        </w:rPr>
        <w:t>=</w:t>
      </w:r>
      <w:r w:rsidR="00D01DE7">
        <w:rPr>
          <w:lang w:val="fr-FR"/>
        </w:rPr>
        <w:tab/>
      </w:r>
      <w:r w:rsidRPr="00105C28">
        <w:rPr>
          <w:lang w:val="fr-FR"/>
        </w:rPr>
        <w:t xml:space="preserve">épaisseur de paroi équivalente requise du métal utilisé </w:t>
      </w:r>
      <w:r w:rsidR="003C170B">
        <w:rPr>
          <w:lang w:val="fr-FR"/>
        </w:rPr>
        <w:br/>
      </w:r>
      <w:r w:rsidR="003C170B">
        <w:rPr>
          <w:lang w:val="fr-FR"/>
        </w:rPr>
        <w:tab/>
      </w:r>
      <w:r w:rsidR="003C170B">
        <w:rPr>
          <w:lang w:val="fr-FR"/>
        </w:rPr>
        <w:tab/>
      </w:r>
      <w:r w:rsidRPr="00105C28">
        <w:rPr>
          <w:lang w:val="fr-FR"/>
        </w:rPr>
        <w:t>(en</w:t>
      </w:r>
      <w:r w:rsidRPr="00105C28">
        <w:rPr>
          <w:spacing w:val="-1"/>
          <w:lang w:val="fr-FR"/>
        </w:rPr>
        <w:t xml:space="preserve"> </w:t>
      </w:r>
      <w:r w:rsidRPr="00105C28">
        <w:rPr>
          <w:lang w:val="fr-FR"/>
        </w:rPr>
        <w:t>mm)</w:t>
      </w:r>
      <w:r w:rsidR="003C170B">
        <w:rPr>
          <w:lang w:val="fr-FR"/>
        </w:rPr>
        <w:t> </w:t>
      </w:r>
      <w:r w:rsidRPr="00105C28">
        <w:rPr>
          <w:lang w:val="fr-FR"/>
        </w:rPr>
        <w:t>;</w:t>
      </w:r>
    </w:p>
    <w:p w:rsidR="00D01DE7" w:rsidRDefault="00964DC9" w:rsidP="003C170B">
      <w:pPr>
        <w:pStyle w:val="BodyText"/>
        <w:tabs>
          <w:tab w:val="left" w:pos="2694"/>
          <w:tab w:val="left" w:pos="3119"/>
          <w:tab w:val="left" w:pos="3686"/>
        </w:tabs>
        <w:spacing w:before="240" w:after="240" w:line="240" w:lineRule="auto"/>
        <w:ind w:left="2268" w:right="1134"/>
        <w:rPr>
          <w:lang w:val="fr-FR"/>
        </w:rPr>
      </w:pPr>
      <w:proofErr w:type="gramStart"/>
      <w:r w:rsidRPr="00105C28">
        <w:rPr>
          <w:lang w:val="fr-FR"/>
        </w:rPr>
        <w:t>e</w:t>
      </w:r>
      <w:r w:rsidRPr="00105C28">
        <w:rPr>
          <w:position w:val="-2"/>
          <w:sz w:val="13"/>
          <w:lang w:val="fr-FR"/>
        </w:rPr>
        <w:t>o</w:t>
      </w:r>
      <w:proofErr w:type="gramEnd"/>
      <w:r w:rsidR="00D01DE7">
        <w:rPr>
          <w:position w:val="-2"/>
          <w:sz w:val="13"/>
          <w:lang w:val="fr-FR"/>
        </w:rPr>
        <w:tab/>
      </w:r>
      <w:r w:rsidR="00D01DE7">
        <w:rPr>
          <w:lang w:val="fr-FR"/>
        </w:rPr>
        <w:t>=</w:t>
      </w:r>
      <w:r w:rsidR="00D01DE7">
        <w:rPr>
          <w:lang w:val="fr-FR"/>
        </w:rPr>
        <w:tab/>
      </w:r>
      <w:r w:rsidRPr="00105C28">
        <w:rPr>
          <w:lang w:val="fr-FR"/>
        </w:rPr>
        <w:t>épaisseur de paroi minimale requise pour l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acier de référence </w:t>
      </w:r>
      <w:r w:rsidR="003C170B">
        <w:rPr>
          <w:lang w:val="fr-FR"/>
        </w:rPr>
        <w:tab/>
      </w:r>
      <w:r w:rsidR="003C170B">
        <w:rPr>
          <w:lang w:val="fr-FR"/>
        </w:rPr>
        <w:tab/>
      </w:r>
      <w:r w:rsidRPr="00105C28">
        <w:rPr>
          <w:lang w:val="fr-FR"/>
        </w:rPr>
        <w:t>(en mm)</w:t>
      </w:r>
      <w:r w:rsidR="003C170B">
        <w:rPr>
          <w:lang w:val="fr-FR"/>
        </w:rPr>
        <w:t> </w:t>
      </w:r>
      <w:r w:rsidRPr="00105C28">
        <w:rPr>
          <w:lang w:val="fr-FR"/>
        </w:rPr>
        <w:t>;</w:t>
      </w:r>
    </w:p>
    <w:p w:rsidR="00964DC9" w:rsidRPr="00105C28" w:rsidRDefault="00964DC9" w:rsidP="003C170B">
      <w:pPr>
        <w:pStyle w:val="BodyText"/>
        <w:tabs>
          <w:tab w:val="left" w:pos="2694"/>
          <w:tab w:val="left" w:pos="2835"/>
          <w:tab w:val="left" w:pos="3119"/>
          <w:tab w:val="left" w:pos="3686"/>
        </w:tabs>
        <w:spacing w:before="240" w:after="240" w:line="240" w:lineRule="auto"/>
        <w:ind w:left="3119" w:right="1134" w:hanging="851"/>
        <w:rPr>
          <w:lang w:val="fr-FR"/>
        </w:rPr>
      </w:pPr>
      <w:proofErr w:type="spellStart"/>
      <w:r w:rsidRPr="00105C28">
        <w:rPr>
          <w:lang w:val="fr-FR"/>
        </w:rPr>
        <w:t>Rm</w:t>
      </w:r>
      <w:proofErr w:type="spellEnd"/>
      <w:r w:rsidRPr="00105C28">
        <w:rPr>
          <w:position w:val="-2"/>
          <w:sz w:val="13"/>
          <w:lang w:val="fr-FR"/>
        </w:rPr>
        <w:t>1</w:t>
      </w:r>
      <w:r w:rsidR="00D01DE7">
        <w:rPr>
          <w:position w:val="-2"/>
          <w:sz w:val="13"/>
          <w:lang w:val="fr-FR"/>
        </w:rPr>
        <w:tab/>
      </w:r>
      <w:r w:rsidRPr="00105C28">
        <w:rPr>
          <w:lang w:val="fr-FR"/>
        </w:rPr>
        <w:t>=</w:t>
      </w:r>
      <w:r w:rsidR="003C170B">
        <w:rPr>
          <w:lang w:val="fr-FR"/>
        </w:rPr>
        <w:tab/>
      </w:r>
      <w:r w:rsidR="00D01DE7">
        <w:rPr>
          <w:lang w:val="fr-FR"/>
        </w:rPr>
        <w:tab/>
      </w:r>
      <w:r w:rsidRPr="00105C28">
        <w:rPr>
          <w:lang w:val="fr-FR"/>
        </w:rPr>
        <w:t>valeur minimale garantie de la résistance à la traction du m</w:t>
      </w:r>
      <w:r w:rsidR="003B1532">
        <w:rPr>
          <w:lang w:val="fr-FR"/>
        </w:rPr>
        <w:t>étal utilisé (en N/</w:t>
      </w:r>
      <w:r w:rsidRPr="00105C28">
        <w:rPr>
          <w:lang w:val="fr-FR"/>
        </w:rPr>
        <w:t>mm</w:t>
      </w:r>
      <w:r w:rsidRPr="00105C28">
        <w:rPr>
          <w:position w:val="9"/>
          <w:sz w:val="13"/>
          <w:lang w:val="fr-FR"/>
        </w:rPr>
        <w:t>2</w:t>
      </w:r>
      <w:r w:rsidRPr="00105C28">
        <w:rPr>
          <w:lang w:val="fr-FR"/>
        </w:rPr>
        <w:t>) (voir c))</w:t>
      </w:r>
      <w:r w:rsidR="003C170B">
        <w:rPr>
          <w:lang w:val="fr-FR"/>
        </w:rPr>
        <w:t> </w:t>
      </w:r>
      <w:r w:rsidRPr="00105C28">
        <w:rPr>
          <w:lang w:val="fr-FR"/>
        </w:rPr>
        <w:t>;</w:t>
      </w:r>
    </w:p>
    <w:p w:rsidR="00964DC9" w:rsidRPr="00105C28" w:rsidRDefault="00964DC9" w:rsidP="003C170B">
      <w:pPr>
        <w:pStyle w:val="BodyText"/>
        <w:tabs>
          <w:tab w:val="left" w:pos="2694"/>
          <w:tab w:val="left" w:pos="2835"/>
          <w:tab w:val="left" w:pos="3119"/>
          <w:tab w:val="left" w:pos="3686"/>
        </w:tabs>
        <w:spacing w:before="240" w:after="240" w:line="240" w:lineRule="auto"/>
        <w:ind w:left="3119" w:right="1134" w:hanging="851"/>
        <w:rPr>
          <w:lang w:val="fr-FR"/>
        </w:rPr>
      </w:pPr>
      <w:r w:rsidRPr="00105C28">
        <w:rPr>
          <w:lang w:val="fr-FR"/>
        </w:rPr>
        <w:t>A</w:t>
      </w:r>
      <w:r w:rsidRPr="00105C28">
        <w:rPr>
          <w:position w:val="-2"/>
          <w:sz w:val="13"/>
          <w:lang w:val="fr-FR"/>
        </w:rPr>
        <w:t>1</w:t>
      </w:r>
      <w:r w:rsidR="00D01DE7">
        <w:rPr>
          <w:position w:val="-2"/>
          <w:sz w:val="13"/>
          <w:lang w:val="fr-FR"/>
        </w:rPr>
        <w:tab/>
      </w:r>
      <w:r w:rsidR="00D01DE7">
        <w:rPr>
          <w:lang w:val="fr-FR"/>
        </w:rPr>
        <w:t>=</w:t>
      </w:r>
      <w:r w:rsidR="00D01DE7">
        <w:rPr>
          <w:lang w:val="fr-FR"/>
        </w:rPr>
        <w:tab/>
      </w:r>
      <w:r w:rsidR="003C170B">
        <w:rPr>
          <w:lang w:val="fr-FR"/>
        </w:rPr>
        <w:tab/>
      </w:r>
      <w:r w:rsidRPr="00105C28">
        <w:rPr>
          <w:lang w:val="fr-FR"/>
        </w:rPr>
        <w:t>pourcentage minimal d</w:t>
      </w:r>
      <w:r w:rsidR="003C170B">
        <w:rPr>
          <w:lang w:val="fr-FR"/>
        </w:rPr>
        <w:t>’</w:t>
      </w:r>
      <w:r w:rsidRPr="00105C28">
        <w:rPr>
          <w:lang w:val="fr-FR"/>
        </w:rPr>
        <w:t>allongement à la rupture par traction du</w:t>
      </w:r>
      <w:r w:rsidR="003C170B">
        <w:rPr>
          <w:lang w:val="fr-FR"/>
        </w:rPr>
        <w:t> </w:t>
      </w:r>
      <w:r w:rsidRPr="00105C28">
        <w:rPr>
          <w:lang w:val="fr-FR"/>
        </w:rPr>
        <w:t>métal utilisé (voir</w:t>
      </w:r>
      <w:r w:rsidRPr="00105C28">
        <w:rPr>
          <w:spacing w:val="-5"/>
          <w:lang w:val="fr-FR"/>
        </w:rPr>
        <w:t xml:space="preserve"> </w:t>
      </w:r>
      <w:r w:rsidRPr="00105C28">
        <w:rPr>
          <w:lang w:val="fr-FR"/>
        </w:rPr>
        <w:t>6.5.5.1.5).</w:t>
      </w:r>
    </w:p>
    <w:p w:rsidR="00442C28" w:rsidRDefault="00964DC9" w:rsidP="003C170B">
      <w:pPr>
        <w:pStyle w:val="SingleTxtG"/>
        <w:ind w:left="1701"/>
      </w:pPr>
      <w:r w:rsidRPr="00105C28">
        <w:rPr>
          <w:lang w:val="fr-FR"/>
        </w:rPr>
        <w:t>L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épaisseur de la paroi ne doit toutefois en </w:t>
      </w:r>
      <w:r w:rsidR="003C170B">
        <w:rPr>
          <w:lang w:val="fr-FR"/>
        </w:rPr>
        <w:t>aucun cas être inférieure à 1,5 </w:t>
      </w:r>
      <w:proofErr w:type="spellStart"/>
      <w:r w:rsidRPr="00105C28">
        <w:rPr>
          <w:lang w:val="fr-FR"/>
        </w:rPr>
        <w:t>mm</w:t>
      </w:r>
      <w:r w:rsidR="003C170B">
        <w:rPr>
          <w:lang w:val="fr-FR"/>
        </w:rPr>
        <w:t>.</w:t>
      </w:r>
      <w:proofErr w:type="spellEnd"/>
    </w:p>
    <w:p w:rsidR="00442C28" w:rsidRDefault="00964DC9" w:rsidP="003C170B">
      <w:pPr>
        <w:pStyle w:val="SingleTxtG"/>
        <w:ind w:left="2268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Pr="00105C28">
        <w:rPr>
          <w:lang w:val="fr-FR"/>
        </w:rPr>
        <w:t>Aux fins du calcul selon b), la résistance à la traction minimale garantie du métal utilisé (</w:t>
      </w:r>
      <w:proofErr w:type="spellStart"/>
      <w:r w:rsidRPr="00105C28">
        <w:rPr>
          <w:lang w:val="fr-FR"/>
        </w:rPr>
        <w:t>Rm</w:t>
      </w:r>
      <w:proofErr w:type="spellEnd"/>
      <w:r w:rsidRPr="00105C28">
        <w:rPr>
          <w:position w:val="-2"/>
          <w:sz w:val="13"/>
          <w:lang w:val="fr-FR"/>
        </w:rPr>
        <w:t>1</w:t>
      </w:r>
      <w:r w:rsidRPr="00105C28">
        <w:rPr>
          <w:lang w:val="fr-FR"/>
        </w:rPr>
        <w:t>) doit être la valeur minimale fixée par les normes nationales ou internationales des matériaux. Cependant, pour l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acier austénitique, la valeur minimale définie pour </w:t>
      </w:r>
      <w:proofErr w:type="spellStart"/>
      <w:r w:rsidRPr="00105C28">
        <w:rPr>
          <w:lang w:val="fr-FR"/>
        </w:rPr>
        <w:t>Rm</w:t>
      </w:r>
      <w:proofErr w:type="spellEnd"/>
      <w:r w:rsidRPr="00105C28">
        <w:rPr>
          <w:lang w:val="fr-FR"/>
        </w:rPr>
        <w:t xml:space="preserve"> conformément aux normes du matériau peut être augmentée jusqu</w:t>
      </w:r>
      <w:r w:rsidR="003C170B">
        <w:rPr>
          <w:lang w:val="fr-FR"/>
        </w:rPr>
        <w:t>’</w:t>
      </w:r>
      <w:r w:rsidRPr="00105C28">
        <w:rPr>
          <w:lang w:val="fr-FR"/>
        </w:rPr>
        <w:t>à 15</w:t>
      </w:r>
      <w:r w:rsidR="00CC538F">
        <w:rPr>
          <w:lang w:val="fr-FR"/>
        </w:rPr>
        <w:t> </w:t>
      </w:r>
      <w:r w:rsidRPr="00105C28">
        <w:rPr>
          <w:lang w:val="fr-FR"/>
        </w:rPr>
        <w:t>% si le certificat d</w:t>
      </w:r>
      <w:r w:rsidR="003C170B">
        <w:rPr>
          <w:lang w:val="fr-FR"/>
        </w:rPr>
        <w:t>’</w:t>
      </w:r>
      <w:r w:rsidRPr="00105C28">
        <w:rPr>
          <w:lang w:val="fr-FR"/>
        </w:rPr>
        <w:t>inspection du matériau atteste une valeur supérieure. Lorsqu</w:t>
      </w:r>
      <w:r w:rsidR="003C170B">
        <w:rPr>
          <w:lang w:val="fr-FR"/>
        </w:rPr>
        <w:t>’</w:t>
      </w:r>
      <w:r w:rsidRPr="00105C28">
        <w:rPr>
          <w:lang w:val="fr-FR"/>
        </w:rPr>
        <w:t>il n</w:t>
      </w:r>
      <w:r w:rsidR="003C170B">
        <w:rPr>
          <w:lang w:val="fr-FR"/>
        </w:rPr>
        <w:t>’</w:t>
      </w:r>
      <w:r w:rsidRPr="00105C28">
        <w:rPr>
          <w:lang w:val="fr-FR"/>
        </w:rPr>
        <w:t xml:space="preserve">existe pas de normes relatives au matériau en question, la valeur de </w:t>
      </w:r>
      <w:proofErr w:type="spellStart"/>
      <w:r w:rsidRPr="00105C28">
        <w:rPr>
          <w:lang w:val="fr-FR"/>
        </w:rPr>
        <w:t>Rm</w:t>
      </w:r>
      <w:proofErr w:type="spellEnd"/>
      <w:r w:rsidRPr="00105C28">
        <w:rPr>
          <w:lang w:val="fr-FR"/>
        </w:rPr>
        <w:t xml:space="preserve"> correspond à la valeur minimale attestée sur le certificat d</w:t>
      </w:r>
      <w:r w:rsidR="003C170B">
        <w:rPr>
          <w:lang w:val="fr-FR"/>
        </w:rPr>
        <w:t>’</w:t>
      </w:r>
      <w:r w:rsidRPr="00105C28">
        <w:rPr>
          <w:lang w:val="fr-FR"/>
        </w:rPr>
        <w:t>inspection du</w:t>
      </w:r>
      <w:r w:rsidRPr="00105C28">
        <w:rPr>
          <w:spacing w:val="-8"/>
          <w:lang w:val="fr-FR"/>
        </w:rPr>
        <w:t xml:space="preserve"> </w:t>
      </w:r>
      <w:r w:rsidRPr="00105C28">
        <w:rPr>
          <w:lang w:val="fr-FR"/>
        </w:rPr>
        <w:t>matériau. »].</w:t>
      </w:r>
    </w:p>
    <w:p w:rsidR="00442C28" w:rsidRPr="003C170B" w:rsidRDefault="003C170B" w:rsidP="003C17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2C28" w:rsidRPr="003C170B" w:rsidSect="00D06F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4C3" w:rsidRDefault="00EC54C3" w:rsidP="00F95C08">
      <w:pPr>
        <w:spacing w:line="240" w:lineRule="auto"/>
      </w:pPr>
    </w:p>
  </w:endnote>
  <w:endnote w:type="continuationSeparator" w:id="0">
    <w:p w:rsidR="00EC54C3" w:rsidRPr="00AC3823" w:rsidRDefault="00EC54C3" w:rsidP="00AC3823">
      <w:pPr>
        <w:pStyle w:val="Footer"/>
      </w:pPr>
    </w:p>
  </w:endnote>
  <w:endnote w:type="continuationNotice" w:id="1">
    <w:p w:rsidR="00EC54C3" w:rsidRDefault="00EC54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19" w:rsidRPr="00D06F19" w:rsidRDefault="00D06F19" w:rsidP="00D06F19">
    <w:pPr>
      <w:pStyle w:val="Footer"/>
      <w:tabs>
        <w:tab w:val="right" w:pos="9638"/>
      </w:tabs>
    </w:pPr>
    <w:r w:rsidRPr="00D06F19">
      <w:rPr>
        <w:b/>
        <w:sz w:val="18"/>
      </w:rPr>
      <w:fldChar w:fldCharType="begin"/>
    </w:r>
    <w:r w:rsidRPr="00D06F19">
      <w:rPr>
        <w:b/>
        <w:sz w:val="18"/>
      </w:rPr>
      <w:instrText xml:space="preserve"> PAGE  \* MERGEFORMAT </w:instrText>
    </w:r>
    <w:r w:rsidRPr="00D06F19">
      <w:rPr>
        <w:b/>
        <w:sz w:val="18"/>
      </w:rPr>
      <w:fldChar w:fldCharType="separate"/>
    </w:r>
    <w:r w:rsidR="009F78E8">
      <w:rPr>
        <w:b/>
        <w:noProof/>
        <w:sz w:val="18"/>
      </w:rPr>
      <w:t>2</w:t>
    </w:r>
    <w:r w:rsidRPr="00D06F19">
      <w:rPr>
        <w:b/>
        <w:sz w:val="18"/>
      </w:rPr>
      <w:fldChar w:fldCharType="end"/>
    </w:r>
    <w:r>
      <w:rPr>
        <w:b/>
        <w:sz w:val="18"/>
      </w:rPr>
      <w:tab/>
    </w:r>
    <w:r>
      <w:t>GE.18-14851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19" w:rsidRPr="00D06F19" w:rsidRDefault="00D06F19" w:rsidP="00D06F19">
    <w:pPr>
      <w:pStyle w:val="Footer"/>
      <w:tabs>
        <w:tab w:val="right" w:pos="9638"/>
      </w:tabs>
      <w:rPr>
        <w:b/>
        <w:sz w:val="18"/>
      </w:rPr>
    </w:pPr>
    <w:r>
      <w:t>GE.18-14851</w:t>
    </w:r>
    <w:r>
      <w:tab/>
    </w:r>
    <w:r w:rsidRPr="00D06F19">
      <w:rPr>
        <w:b/>
        <w:sz w:val="18"/>
      </w:rPr>
      <w:fldChar w:fldCharType="begin"/>
    </w:r>
    <w:r w:rsidRPr="00D06F19">
      <w:rPr>
        <w:b/>
        <w:sz w:val="18"/>
      </w:rPr>
      <w:instrText xml:space="preserve"> PAGE  \* MERGEFORMAT </w:instrText>
    </w:r>
    <w:r w:rsidRPr="00D06F19">
      <w:rPr>
        <w:b/>
        <w:sz w:val="18"/>
      </w:rPr>
      <w:fldChar w:fldCharType="separate"/>
    </w:r>
    <w:r w:rsidR="00AC4E05">
      <w:rPr>
        <w:b/>
        <w:noProof/>
        <w:sz w:val="18"/>
      </w:rPr>
      <w:t>3</w:t>
    </w:r>
    <w:r w:rsidRPr="00D06F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D06F19" w:rsidRDefault="00D06F19" w:rsidP="00D06F1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14851  (</w:t>
    </w:r>
    <w:proofErr w:type="gramEnd"/>
    <w:r>
      <w:rPr>
        <w:sz w:val="20"/>
      </w:rPr>
      <w:t>F)</w:t>
    </w:r>
    <w:r w:rsidR="005A7258">
      <w:rPr>
        <w:sz w:val="20"/>
      </w:rPr>
      <w:t xml:space="preserve">    041018    111018</w:t>
    </w:r>
    <w:r>
      <w:rPr>
        <w:sz w:val="20"/>
      </w:rPr>
      <w:br/>
    </w:r>
    <w:r w:rsidRPr="00D06F19">
      <w:rPr>
        <w:rFonts w:ascii="C39T30Lfz" w:hAnsi="C39T30Lfz"/>
        <w:sz w:val="56"/>
      </w:rPr>
      <w:t></w:t>
    </w:r>
    <w:r w:rsidRPr="00D06F19">
      <w:rPr>
        <w:rFonts w:ascii="C39T30Lfz" w:hAnsi="C39T30Lfz"/>
        <w:sz w:val="56"/>
      </w:rPr>
      <w:t></w:t>
    </w:r>
    <w:r w:rsidRPr="00D06F19">
      <w:rPr>
        <w:rFonts w:ascii="C39T30Lfz" w:hAnsi="C39T30Lfz"/>
        <w:sz w:val="56"/>
      </w:rPr>
      <w:t></w:t>
    </w:r>
    <w:r w:rsidRPr="00D06F19">
      <w:rPr>
        <w:rFonts w:ascii="C39T30Lfz" w:hAnsi="C39T30Lfz"/>
        <w:sz w:val="56"/>
      </w:rPr>
      <w:t></w:t>
    </w:r>
    <w:r w:rsidRPr="00D06F19">
      <w:rPr>
        <w:rFonts w:ascii="C39T30Lfz" w:hAnsi="C39T30Lfz"/>
        <w:sz w:val="56"/>
      </w:rPr>
      <w:t></w:t>
    </w:r>
    <w:r w:rsidRPr="00D06F19">
      <w:rPr>
        <w:rFonts w:ascii="C39T30Lfz" w:hAnsi="C39T30Lfz"/>
        <w:sz w:val="56"/>
      </w:rPr>
      <w:t></w:t>
    </w:r>
    <w:r w:rsidRPr="00D06F19">
      <w:rPr>
        <w:rFonts w:ascii="C39T30Lfz" w:hAnsi="C39T30Lfz"/>
        <w:sz w:val="56"/>
      </w:rPr>
      <w:t></w:t>
    </w:r>
    <w:r w:rsidRPr="00D06F19">
      <w:rPr>
        <w:rFonts w:ascii="C39T30Lfz" w:hAnsi="C39T30Lfz"/>
        <w:sz w:val="56"/>
      </w:rPr>
      <w:t></w:t>
    </w:r>
    <w:r w:rsidRPr="00D06F1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9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9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4C3" w:rsidRPr="00AC3823" w:rsidRDefault="00EC54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54C3" w:rsidRPr="00AC3823" w:rsidRDefault="00EC54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54C3" w:rsidRPr="00AC3823" w:rsidRDefault="00EC54C3">
      <w:pPr>
        <w:spacing w:line="240" w:lineRule="auto"/>
        <w:rPr>
          <w:sz w:val="2"/>
          <w:szCs w:val="2"/>
        </w:rPr>
      </w:pPr>
    </w:p>
  </w:footnote>
  <w:footnote w:id="2">
    <w:p w:rsidR="00D06F19" w:rsidRPr="00D06F19" w:rsidRDefault="00D06F19">
      <w:pPr>
        <w:pStyle w:val="FootnoteText"/>
      </w:pPr>
      <w:r>
        <w:rPr>
          <w:rStyle w:val="FootnoteReference"/>
        </w:rPr>
        <w:tab/>
      </w:r>
      <w:r w:rsidRPr="00D06F1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05C28">
        <w:rPr>
          <w:iCs/>
          <w:lang w:val="fr-FR"/>
        </w:rPr>
        <w:t xml:space="preserve">Conformément au programme de travail du Sous-Comité pour la période 2017-2018, adopté par le Comité à sa huitième session </w:t>
      </w:r>
      <w:r>
        <w:rPr>
          <w:iCs/>
          <w:lang w:val="fr-FR"/>
        </w:rPr>
        <w:t>(voir ST/SG/AC.10/C.3/100, par. </w:t>
      </w:r>
      <w:r w:rsidRPr="00105C28">
        <w:rPr>
          <w:iCs/>
          <w:lang w:val="fr-FR"/>
        </w:rPr>
        <w:t>98, et ST/SG/AC.10/44, par.</w:t>
      </w:r>
      <w:r>
        <w:rPr>
          <w:iCs/>
          <w:lang w:val="fr-FR"/>
        </w:rPr>
        <w:t> </w:t>
      </w:r>
      <w:r w:rsidRPr="00105C28">
        <w:rPr>
          <w:iCs/>
          <w:lang w:val="fr-FR"/>
        </w:rPr>
        <w:t>14).</w:t>
      </w:r>
    </w:p>
  </w:footnote>
  <w:footnote w:id="3">
    <w:p w:rsidR="00736773" w:rsidRDefault="0073677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BC4547">
        <w:rPr>
          <w:lang w:val="fr-FR"/>
        </w:rPr>
        <w:t>S</w:t>
      </w:r>
      <w:r>
        <w:rPr>
          <w:lang w:val="fr-FR"/>
        </w:rPr>
        <w:t>’</w:t>
      </w:r>
      <w:r w:rsidRPr="00BC4547">
        <w:rPr>
          <w:lang w:val="fr-FR"/>
        </w:rPr>
        <w:t xml:space="preserve">applique </w:t>
      </w:r>
      <w:r w:rsidRPr="00964DC9">
        <w:t>uniquement</w:t>
      </w:r>
      <w:r w:rsidRPr="00BC4547">
        <w:rPr>
          <w:lang w:val="fr-FR"/>
        </w:rPr>
        <w:t xml:space="preserve"> aux GRV d</w:t>
      </w:r>
      <w:r>
        <w:rPr>
          <w:lang w:val="fr-FR"/>
        </w:rPr>
        <w:t>’</w:t>
      </w:r>
      <w:r w:rsidRPr="00BC4547">
        <w:rPr>
          <w:lang w:val="fr-FR"/>
        </w:rPr>
        <w:t>une contenance supérieure à 1</w:t>
      </w:r>
      <w:r>
        <w:rPr>
          <w:lang w:val="fr-FR"/>
        </w:rPr>
        <w:t> </w:t>
      </w:r>
      <w:r w:rsidRPr="00BC4547">
        <w:rPr>
          <w:lang w:val="fr-FR"/>
        </w:rPr>
        <w:t>500 litres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19" w:rsidRPr="00D06F19" w:rsidRDefault="00B16A2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ST/SG/AC.10/C.3/2018/96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19" w:rsidRPr="00D06F19" w:rsidRDefault="00B16A2B" w:rsidP="00D06F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ST/SG/AC.10/C.3/2018/96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50DC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2116BA9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6E17F4"/>
    <w:multiLevelType w:val="hybridMultilevel"/>
    <w:tmpl w:val="6FFA4DD2"/>
    <w:lvl w:ilvl="0" w:tplc="3C32A7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26A86572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3C32A7D0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  <w:num w:numId="18">
    <w:abstractNumId w:val="13"/>
  </w:num>
  <w:num w:numId="19">
    <w:abstractNumId w:val="11"/>
  </w:num>
  <w:num w:numId="20">
    <w:abstractNumId w:val="10"/>
  </w:num>
  <w:num w:numId="21">
    <w:abstractNumId w:val="1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C3"/>
    <w:rsid w:val="00017F94"/>
    <w:rsid w:val="00023842"/>
    <w:rsid w:val="000305D3"/>
    <w:rsid w:val="000334F9"/>
    <w:rsid w:val="0007796D"/>
    <w:rsid w:val="00082B03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B1532"/>
    <w:rsid w:val="003C170B"/>
    <w:rsid w:val="00441C3B"/>
    <w:rsid w:val="00442C28"/>
    <w:rsid w:val="00446FE5"/>
    <w:rsid w:val="00452396"/>
    <w:rsid w:val="00481584"/>
    <w:rsid w:val="004E468C"/>
    <w:rsid w:val="005321DA"/>
    <w:rsid w:val="005505B7"/>
    <w:rsid w:val="00573BE5"/>
    <w:rsid w:val="00584DC4"/>
    <w:rsid w:val="00586ED3"/>
    <w:rsid w:val="00596AA9"/>
    <w:rsid w:val="005A7258"/>
    <w:rsid w:val="00624475"/>
    <w:rsid w:val="00645990"/>
    <w:rsid w:val="0068456F"/>
    <w:rsid w:val="0071601D"/>
    <w:rsid w:val="00736773"/>
    <w:rsid w:val="0074645D"/>
    <w:rsid w:val="007A62E6"/>
    <w:rsid w:val="0080684C"/>
    <w:rsid w:val="00871C75"/>
    <w:rsid w:val="008776DC"/>
    <w:rsid w:val="008B40CD"/>
    <w:rsid w:val="008C4EDB"/>
    <w:rsid w:val="00916732"/>
    <w:rsid w:val="00964DC9"/>
    <w:rsid w:val="009705C8"/>
    <w:rsid w:val="009C1CF4"/>
    <w:rsid w:val="009F78E8"/>
    <w:rsid w:val="00A06358"/>
    <w:rsid w:val="00A30353"/>
    <w:rsid w:val="00AC3823"/>
    <w:rsid w:val="00AC4E05"/>
    <w:rsid w:val="00AE323C"/>
    <w:rsid w:val="00B00181"/>
    <w:rsid w:val="00B00B0D"/>
    <w:rsid w:val="00B16A2B"/>
    <w:rsid w:val="00B765F7"/>
    <w:rsid w:val="00BA0CA9"/>
    <w:rsid w:val="00C02897"/>
    <w:rsid w:val="00CC538F"/>
    <w:rsid w:val="00CD3155"/>
    <w:rsid w:val="00D01DE7"/>
    <w:rsid w:val="00D06F19"/>
    <w:rsid w:val="00D220A9"/>
    <w:rsid w:val="00D3439C"/>
    <w:rsid w:val="00DB1831"/>
    <w:rsid w:val="00DD3BFD"/>
    <w:rsid w:val="00DF6678"/>
    <w:rsid w:val="00EC0E01"/>
    <w:rsid w:val="00EC54C3"/>
    <w:rsid w:val="00EF2E22"/>
    <w:rsid w:val="00F01738"/>
    <w:rsid w:val="00F36CE4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FCCE4F-5A4A-45A6-A604-2E55B33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DC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964DC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964DC9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964DC9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964DC9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964DC9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964DC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964DC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964DC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964DC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964DC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64DC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964DC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64DC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964DC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64DC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64DC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64DC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64DC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64DC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64DC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64DC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64DC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64DC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64DC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64DC9"/>
    <w:pPr>
      <w:numPr>
        <w:numId w:val="2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64DC9"/>
    <w:pPr>
      <w:numPr>
        <w:numId w:val="2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964DC9"/>
    <w:pPr>
      <w:numPr>
        <w:numId w:val="2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964DC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964DC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964DC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64DC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64DC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964DC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64DC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964DC9"/>
  </w:style>
  <w:style w:type="character" w:customStyle="1" w:styleId="EndnoteTextChar">
    <w:name w:val="Endnote Text Char"/>
    <w:aliases w:val="2_G Char"/>
    <w:basedOn w:val="DefaultParagraphFont"/>
    <w:link w:val="EndnoteText"/>
    <w:rsid w:val="00964DC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964DC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964DC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06F1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42C28"/>
    <w:pPr>
      <w:widowControl w:val="0"/>
      <w:suppressAutoHyphens w:val="0"/>
      <w:kinsoku/>
      <w:overflowPunct/>
      <w:adjustRightInd/>
      <w:snapToGrid/>
      <w:spacing w:line="240" w:lineRule="auto"/>
    </w:pPr>
    <w:rPr>
      <w:rFonts w:eastAsia="Times New Roman"/>
      <w:sz w:val="22"/>
      <w:szCs w:val="22"/>
      <w:lang w:val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442C28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42C28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ST/SG/AC.10/C.3/2018/96</vt:lpstr>
      <vt:lpstr>ST/SG/AC.10/C.3/2018/96</vt:lpstr>
    </vt:vector>
  </TitlesOfParts>
  <Company>DCM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ST/SG/AC.10/C.3/2018/96</dc:title>
  <dc:subject/>
  <dc:creator>Fabienne CRELIER</dc:creator>
  <cp:keywords/>
  <cp:lastModifiedBy>Laurence Berthet</cp:lastModifiedBy>
  <cp:revision>3</cp:revision>
  <cp:lastPrinted>2018-10-12T07:16:00Z</cp:lastPrinted>
  <dcterms:created xsi:type="dcterms:W3CDTF">2018-10-12T07:16:00Z</dcterms:created>
  <dcterms:modified xsi:type="dcterms:W3CDTF">2018-10-12T07:17:00Z</dcterms:modified>
</cp:coreProperties>
</file>