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14:paraId="1229EDA3" w14:textId="77777777" w:rsidTr="0082795F">
        <w:trPr>
          <w:trHeight w:val="709"/>
        </w:trPr>
        <w:tc>
          <w:tcPr>
            <w:tcW w:w="1259" w:type="dxa"/>
            <w:tcBorders>
              <w:top w:val="nil"/>
              <w:left w:val="nil"/>
              <w:bottom w:val="single" w:sz="4" w:space="0" w:color="auto"/>
              <w:right w:val="nil"/>
            </w:tcBorders>
          </w:tcPr>
          <w:p w14:paraId="1F7BA1C1"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43AAFFF3" w14:textId="2544FAE3" w:rsidR="0095385C" w:rsidRPr="006500BA" w:rsidRDefault="0095385C" w:rsidP="00A931E6">
            <w:pPr>
              <w:jc w:val="right"/>
            </w:pPr>
            <w:r w:rsidRPr="0095385C">
              <w:rPr>
                <w:sz w:val="40"/>
              </w:rPr>
              <w:t>ST</w:t>
            </w:r>
            <w:r>
              <w:t>/SG/AC.10/C.3/201</w:t>
            </w:r>
            <w:r w:rsidR="00490A7A">
              <w:t>8</w:t>
            </w:r>
            <w:r>
              <w:t>/</w:t>
            </w:r>
            <w:r w:rsidR="0057623B">
              <w:t>85</w:t>
            </w:r>
            <w:r>
              <w:t>−</w:t>
            </w:r>
            <w:r w:rsidRPr="0095385C">
              <w:rPr>
                <w:sz w:val="40"/>
              </w:rPr>
              <w:t>ST</w:t>
            </w:r>
            <w:r>
              <w:t>/SG/AC.</w:t>
            </w:r>
            <w:r w:rsidRPr="0082795F">
              <w:t>10/C.4</w:t>
            </w:r>
            <w:r>
              <w:t>/201</w:t>
            </w:r>
            <w:r w:rsidR="00490A7A">
              <w:t>8</w:t>
            </w:r>
            <w:r>
              <w:t>/</w:t>
            </w:r>
            <w:r w:rsidR="0057623B">
              <w:t>20</w:t>
            </w:r>
          </w:p>
        </w:tc>
      </w:tr>
      <w:tr w:rsidR="003107FA" w:rsidRPr="006500BA"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6500BA" w:rsidRDefault="009D1AAE" w:rsidP="002B1CDA">
            <w:pPr>
              <w:spacing w:before="120"/>
              <w:jc w:val="center"/>
            </w:pPr>
            <w:r>
              <w:rPr>
                <w:noProof/>
                <w:lang w:val="sv-SE" w:eastAsia="sv-SE"/>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Default="0095385C" w:rsidP="0095385C">
            <w:pPr>
              <w:spacing w:before="240" w:line="240" w:lineRule="exact"/>
            </w:pPr>
            <w:r>
              <w:t>Distr.: General</w:t>
            </w:r>
          </w:p>
          <w:p w14:paraId="53F0414B" w14:textId="3C2F87B5" w:rsidR="0095385C" w:rsidRDefault="007F7940" w:rsidP="0095385C">
            <w:pPr>
              <w:spacing w:line="240" w:lineRule="exact"/>
            </w:pPr>
            <w:r w:rsidRPr="007F7940">
              <w:t>5 September</w:t>
            </w:r>
            <w:r w:rsidR="00490A7A" w:rsidRPr="00A01DFE">
              <w:t xml:space="preserve"> </w:t>
            </w:r>
            <w:r w:rsidR="0095385C" w:rsidRPr="00A01DFE">
              <w:t>201</w:t>
            </w:r>
            <w:r w:rsidR="00490A7A" w:rsidRPr="00A01DFE">
              <w:t>8</w:t>
            </w:r>
          </w:p>
          <w:p w14:paraId="4305B0CA" w14:textId="77777777" w:rsidR="0095385C" w:rsidRDefault="0095385C" w:rsidP="0095385C">
            <w:pPr>
              <w:spacing w:line="240" w:lineRule="exact"/>
            </w:pPr>
          </w:p>
          <w:p w14:paraId="4C5C075B" w14:textId="77777777" w:rsidR="0095385C" w:rsidRPr="006500BA" w:rsidRDefault="0095385C" w:rsidP="0095385C">
            <w:pPr>
              <w:spacing w:line="240" w:lineRule="exact"/>
            </w:pPr>
            <w:r>
              <w:t>Original: English</w:t>
            </w:r>
          </w:p>
        </w:tc>
      </w:tr>
    </w:tbl>
    <w:p w14:paraId="7EFF271B" w14:textId="77777777"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D46231" w14:paraId="4B4E038D" w14:textId="77777777" w:rsidTr="00A8523D">
        <w:tc>
          <w:tcPr>
            <w:tcW w:w="4644" w:type="dxa"/>
          </w:tcPr>
          <w:p w14:paraId="1D8C2A6D" w14:textId="77777777" w:rsidR="00D46231" w:rsidRDefault="00D46231" w:rsidP="006F71FB">
            <w:pPr>
              <w:spacing w:before="120" w:after="120"/>
              <w:rPr>
                <w:b/>
              </w:rPr>
            </w:pPr>
            <w:r w:rsidRPr="006500BA">
              <w:rPr>
                <w:b/>
              </w:rPr>
              <w:t xml:space="preserve">Sub-Committee of Experts on the </w:t>
            </w:r>
            <w:r>
              <w:rPr>
                <w:b/>
              </w:rPr>
              <w:t xml:space="preserve">Transport </w:t>
            </w:r>
            <w:r>
              <w:rPr>
                <w:b/>
              </w:rPr>
              <w:br/>
              <w:t>of Dangerous Goods</w:t>
            </w:r>
            <w:r w:rsidRPr="00CA0680">
              <w:rPr>
                <w:b/>
              </w:rPr>
              <w:t xml:space="preserve"> </w:t>
            </w:r>
          </w:p>
        </w:tc>
        <w:tc>
          <w:tcPr>
            <w:tcW w:w="5103" w:type="dxa"/>
          </w:tcPr>
          <w:p w14:paraId="2544611B" w14:textId="77777777" w:rsidR="00D46231" w:rsidRDefault="00D46231" w:rsidP="00E1679E">
            <w:pPr>
              <w:spacing w:before="120"/>
              <w:rPr>
                <w:b/>
              </w:rPr>
            </w:pPr>
            <w:r w:rsidRPr="006500BA">
              <w:rPr>
                <w:b/>
              </w:rPr>
              <w:t>Sub-Committee of Experts on the Globally Harmonized</w:t>
            </w:r>
            <w:r>
              <w:rPr>
                <w:b/>
              </w:rPr>
              <w:t xml:space="preserve"> </w:t>
            </w:r>
            <w:r w:rsidRPr="006500BA">
              <w:rPr>
                <w:b/>
              </w:rPr>
              <w:t>System of Classification and</w:t>
            </w:r>
            <w:r w:rsidR="00E1679E">
              <w:rPr>
                <w:b/>
              </w:rPr>
              <w:t xml:space="preserve"> </w:t>
            </w:r>
            <w:r w:rsidRPr="006500BA">
              <w:rPr>
                <w:b/>
              </w:rPr>
              <w:t>Labelling of Chemicals</w:t>
            </w:r>
            <w:r>
              <w:rPr>
                <w:b/>
              </w:rPr>
              <w:t xml:space="preserve"> </w:t>
            </w:r>
          </w:p>
        </w:tc>
      </w:tr>
      <w:tr w:rsidR="00D46231" w14:paraId="57E194B1" w14:textId="77777777" w:rsidTr="00A8523D">
        <w:tc>
          <w:tcPr>
            <w:tcW w:w="4644" w:type="dxa"/>
          </w:tcPr>
          <w:p w14:paraId="0AEB21A6" w14:textId="68E39DD8" w:rsidR="00D46231" w:rsidRPr="00CA0680" w:rsidRDefault="0095385C" w:rsidP="009202F8">
            <w:pPr>
              <w:rPr>
                <w:b/>
              </w:rPr>
            </w:pPr>
            <w:r>
              <w:rPr>
                <w:b/>
              </w:rPr>
              <w:t>Fift</w:t>
            </w:r>
            <w:r w:rsidR="00490A7A">
              <w:rPr>
                <w:b/>
              </w:rPr>
              <w:t>y-</w:t>
            </w:r>
            <w:r w:rsidR="009202F8">
              <w:rPr>
                <w:b/>
              </w:rPr>
              <w:t>fourth</w:t>
            </w:r>
            <w:r w:rsidR="00D46231" w:rsidRPr="00CA0680">
              <w:rPr>
                <w:b/>
              </w:rPr>
              <w:t xml:space="preserve"> session</w:t>
            </w:r>
          </w:p>
        </w:tc>
        <w:tc>
          <w:tcPr>
            <w:tcW w:w="5103" w:type="dxa"/>
          </w:tcPr>
          <w:p w14:paraId="7976A695" w14:textId="5AAD7E14" w:rsidR="00D46231" w:rsidRDefault="009F7667" w:rsidP="009202F8">
            <w:pPr>
              <w:rPr>
                <w:b/>
              </w:rPr>
            </w:pPr>
            <w:r w:rsidRPr="009F7667">
              <w:rPr>
                <w:b/>
              </w:rPr>
              <w:t>Thirty-</w:t>
            </w:r>
            <w:r w:rsidR="009202F8">
              <w:rPr>
                <w:b/>
              </w:rPr>
              <w:t>six</w:t>
            </w:r>
            <w:r w:rsidR="00490A7A">
              <w:rPr>
                <w:b/>
              </w:rPr>
              <w:t>th</w:t>
            </w:r>
            <w:r w:rsidRPr="009F7667">
              <w:rPr>
                <w:b/>
              </w:rPr>
              <w:t xml:space="preserve"> session</w:t>
            </w:r>
          </w:p>
        </w:tc>
      </w:tr>
      <w:tr w:rsidR="00D46231" w14:paraId="50307753" w14:textId="77777777" w:rsidTr="009F7667">
        <w:trPr>
          <w:trHeight w:val="1016"/>
        </w:trPr>
        <w:tc>
          <w:tcPr>
            <w:tcW w:w="4644" w:type="dxa"/>
          </w:tcPr>
          <w:p w14:paraId="0412402B" w14:textId="033A8C68" w:rsidR="00D46231" w:rsidRDefault="00A8523D" w:rsidP="006A7B01">
            <w:pPr>
              <w:ind w:right="57"/>
            </w:pPr>
            <w:r>
              <w:t xml:space="preserve">Geneva, </w:t>
            </w:r>
            <w:r w:rsidR="004E394C">
              <w:t>2</w:t>
            </w:r>
            <w:r w:rsidR="00BD1938">
              <w:t>4</w:t>
            </w:r>
            <w:r w:rsidR="00184FCD">
              <w:t xml:space="preserve"> </w:t>
            </w:r>
            <w:r w:rsidR="00BD1938">
              <w:t xml:space="preserve">November </w:t>
            </w:r>
            <w:r w:rsidR="001D23B4">
              <w:t>-</w:t>
            </w:r>
            <w:r w:rsidR="00BD1938">
              <w:t xml:space="preserve"> </w:t>
            </w:r>
            <w:r w:rsidR="00490A7A">
              <w:t>4</w:t>
            </w:r>
            <w:r w:rsidR="004E394C">
              <w:t xml:space="preserve"> </w:t>
            </w:r>
            <w:r w:rsidR="00BD1938">
              <w:t>December</w:t>
            </w:r>
            <w:r w:rsidR="00490A7A">
              <w:t xml:space="preserve"> </w:t>
            </w:r>
            <w:r w:rsidR="004E394C">
              <w:t>201</w:t>
            </w:r>
            <w:r w:rsidR="00490A7A">
              <w:t>8</w:t>
            </w:r>
          </w:p>
          <w:p w14:paraId="4B345A62" w14:textId="12333592" w:rsidR="00D46231" w:rsidRDefault="00D46231" w:rsidP="006A7B01">
            <w:pPr>
              <w:ind w:right="57"/>
            </w:pPr>
            <w:r w:rsidRPr="008904B8">
              <w:t xml:space="preserve">Item </w:t>
            </w:r>
            <w:r w:rsidR="007F7940">
              <w:t>2 (b)</w:t>
            </w:r>
            <w:r w:rsidR="0037333E" w:rsidRPr="008904B8">
              <w:t xml:space="preserve"> </w:t>
            </w:r>
            <w:r w:rsidRPr="006500BA">
              <w:t>of the provisional agenda</w:t>
            </w:r>
          </w:p>
          <w:p w14:paraId="61ED3C23" w14:textId="2DE9F22A" w:rsidR="009F7667" w:rsidRPr="007F7940" w:rsidRDefault="007F7940" w:rsidP="007F7940">
            <w:pPr>
              <w:ind w:right="57"/>
              <w:rPr>
                <w:b/>
                <w:bCs/>
              </w:rPr>
            </w:pPr>
            <w:r w:rsidRPr="007F7940">
              <w:rPr>
                <w:b/>
                <w:bCs/>
              </w:rPr>
              <w:t xml:space="preserve">Recommendations made by the Sub-Committee on its fifty-first, fifty-second and fifty-third sessions </w:t>
            </w:r>
            <w:r>
              <w:rPr>
                <w:b/>
                <w:bCs/>
              </w:rPr>
              <w:br/>
            </w:r>
            <w:r w:rsidRPr="007F7940">
              <w:rPr>
                <w:b/>
                <w:bCs/>
              </w:rPr>
              <w:t>and pending issues: explosives and related matters</w:t>
            </w:r>
            <w:r w:rsidRPr="007F7940">
              <w:rPr>
                <w:b/>
                <w:bCs/>
              </w:rPr>
              <w:br/>
            </w:r>
          </w:p>
        </w:tc>
        <w:tc>
          <w:tcPr>
            <w:tcW w:w="5103" w:type="dxa"/>
          </w:tcPr>
          <w:p w14:paraId="6528F017" w14:textId="01AD7438" w:rsidR="00D46231" w:rsidRDefault="009F7667" w:rsidP="000504CE">
            <w:r>
              <w:t xml:space="preserve">Geneva, </w:t>
            </w:r>
            <w:r w:rsidR="00BD1938">
              <w:t>5</w:t>
            </w:r>
            <w:r w:rsidR="001D23B4">
              <w:t>-</w:t>
            </w:r>
            <w:r w:rsidR="00BD1938">
              <w:t>7</w:t>
            </w:r>
            <w:r>
              <w:t xml:space="preserve"> </w:t>
            </w:r>
            <w:r w:rsidR="00BD1938">
              <w:t>December</w:t>
            </w:r>
            <w:r w:rsidR="00490A7A">
              <w:t xml:space="preserve"> </w:t>
            </w:r>
            <w:r>
              <w:t>201</w:t>
            </w:r>
            <w:r w:rsidR="00490A7A">
              <w:t>8</w:t>
            </w:r>
          </w:p>
          <w:p w14:paraId="6E8F9957" w14:textId="30231210" w:rsidR="006A7B01" w:rsidRPr="008904B8" w:rsidRDefault="006A7B01" w:rsidP="006A7B01">
            <w:r w:rsidRPr="008904B8">
              <w:t xml:space="preserve">Item </w:t>
            </w:r>
            <w:r w:rsidR="007F7940">
              <w:t>3 (b)</w:t>
            </w:r>
            <w:r w:rsidR="0037333E" w:rsidRPr="008904B8">
              <w:t xml:space="preserve"> </w:t>
            </w:r>
            <w:r w:rsidRPr="008904B8">
              <w:t>of the provisional agenda</w:t>
            </w:r>
          </w:p>
          <w:p w14:paraId="477AE1AD" w14:textId="057B231E" w:rsidR="006A7B01" w:rsidRPr="007F7940" w:rsidRDefault="007F7940" w:rsidP="000504CE">
            <w:pPr>
              <w:rPr>
                <w:b/>
                <w:bCs/>
              </w:rPr>
            </w:pPr>
            <w:r w:rsidRPr="007F7940">
              <w:rPr>
                <w:b/>
                <w:bCs/>
              </w:rPr>
              <w:t>Classification criteria and related hazard communication:</w:t>
            </w:r>
            <w:r w:rsidRPr="007F7940">
              <w:rPr>
                <w:b/>
                <w:bCs/>
              </w:rPr>
              <w:br/>
              <w:t>review of Chapter 2.1</w:t>
            </w:r>
          </w:p>
        </w:tc>
      </w:tr>
    </w:tbl>
    <w:p w14:paraId="6E5E7DF2" w14:textId="3FF7CE06" w:rsidR="006A7B01" w:rsidRPr="009D1290" w:rsidRDefault="006A17CE" w:rsidP="0057623B">
      <w:pPr>
        <w:pStyle w:val="HChG"/>
        <w:spacing w:before="240" w:after="120"/>
      </w:pPr>
      <w:r>
        <w:tab/>
      </w:r>
      <w:r>
        <w:tab/>
      </w:r>
      <w:r w:rsidR="00470360">
        <w:t xml:space="preserve">Proposed criteria for an </w:t>
      </w:r>
      <w:r w:rsidR="006564B0" w:rsidRPr="006564B0">
        <w:t>amended classification system for Explosives in the GHS</w:t>
      </w:r>
    </w:p>
    <w:p w14:paraId="3A12A21A" w14:textId="735D06AE" w:rsidR="0095385C" w:rsidRDefault="006A7B01" w:rsidP="0057623B">
      <w:pPr>
        <w:pStyle w:val="H1G"/>
        <w:spacing w:before="240" w:after="120"/>
      </w:pPr>
      <w:r w:rsidRPr="00D24888">
        <w:tab/>
      </w:r>
      <w:r w:rsidRPr="00D24888">
        <w:tab/>
        <w:t>Transmitted by</w:t>
      </w:r>
      <w:r w:rsidR="009D1290">
        <w:t xml:space="preserve"> the </w:t>
      </w:r>
      <w:r w:rsidR="006564B0">
        <w:t>expert from Sweden</w:t>
      </w:r>
      <w:r w:rsidR="00470360">
        <w:t xml:space="preserve"> and the Chairman of the Working Group on Explosives</w:t>
      </w:r>
      <w:r w:rsidR="00B77788">
        <w:rPr>
          <w:rStyle w:val="FootnoteReference"/>
        </w:rPr>
        <w:footnoteReference w:customMarkFollows="1" w:id="2"/>
        <w:t>*</w:t>
      </w:r>
    </w:p>
    <w:p w14:paraId="4226AB6C" w14:textId="5B900562" w:rsidR="00A931E6" w:rsidRPr="00A931E6" w:rsidRDefault="0057623B" w:rsidP="00A81AE9">
      <w:pPr>
        <w:pStyle w:val="HChG"/>
        <w:spacing w:before="240" w:after="120"/>
      </w:pPr>
      <w:r>
        <w:tab/>
      </w:r>
      <w:r>
        <w:tab/>
      </w:r>
      <w:r w:rsidR="00A931E6" w:rsidRPr="00A931E6">
        <w:t>Background</w:t>
      </w:r>
    </w:p>
    <w:p w14:paraId="28468AAE" w14:textId="10544E21" w:rsidR="00470360" w:rsidRDefault="006564B0" w:rsidP="0057623B">
      <w:pPr>
        <w:pStyle w:val="SingleTxtG"/>
      </w:pPr>
      <w:r w:rsidRPr="00A931E6">
        <w:t>1.</w:t>
      </w:r>
      <w:r w:rsidRPr="00A931E6">
        <w:tab/>
      </w:r>
      <w:r w:rsidR="00470360" w:rsidRPr="00470360">
        <w:t>The review of Chapter 2.1 of the GHS, which is the chapter that governs the cl</w:t>
      </w:r>
      <w:r w:rsidR="007F7940">
        <w:t>assification and labelling for e</w:t>
      </w:r>
      <w:r w:rsidR="00470360" w:rsidRPr="00470360">
        <w:t xml:space="preserve">xplosives, has been on-going since 2015. The reason for the review is that the current classification system, which was taken over from the transport sector, is ill-suited for classifying </w:t>
      </w:r>
      <w:r w:rsidR="00577BEE">
        <w:t>e</w:t>
      </w:r>
      <w:r w:rsidR="00470360" w:rsidRPr="00470360">
        <w:t xml:space="preserve">xplosives that are not in </w:t>
      </w:r>
      <w:r w:rsidR="00B43777">
        <w:t>their</w:t>
      </w:r>
      <w:r w:rsidR="00470360" w:rsidRPr="00470360">
        <w:t xml:space="preserve"> transp</w:t>
      </w:r>
      <w:r w:rsidR="00470360">
        <w:t>ort packaging or configuration</w:t>
      </w:r>
      <w:r w:rsidR="0072592A">
        <w:t>,</w:t>
      </w:r>
      <w:r w:rsidR="00577BEE">
        <w:t xml:space="preserve"> as the classification </w:t>
      </w:r>
      <w:r w:rsidR="00AC30E3">
        <w:t>frequently</w:t>
      </w:r>
      <w:r w:rsidR="00577BEE">
        <w:t xml:space="preserve"> depends on th</w:t>
      </w:r>
      <w:r w:rsidR="00B43777">
        <w:t>at</w:t>
      </w:r>
      <w:r w:rsidR="00577BEE">
        <w:t xml:space="preserve"> </w:t>
      </w:r>
      <w:proofErr w:type="gramStart"/>
      <w:r w:rsidR="00577BEE">
        <w:t>particular packaging/configuration</w:t>
      </w:r>
      <w:proofErr w:type="gramEnd"/>
      <w:r w:rsidR="00B43777">
        <w:t>.</w:t>
      </w:r>
      <w:r w:rsidR="00470360">
        <w:t xml:space="preserve"> This drawback of the current system and its negative effects has been further elaborated in several </w:t>
      </w:r>
      <w:r w:rsidR="00470360" w:rsidRPr="00470360">
        <w:t xml:space="preserve">previous </w:t>
      </w:r>
      <w:r w:rsidR="007F7940">
        <w:t xml:space="preserve">documents </w:t>
      </w:r>
      <w:r w:rsidR="00470360" w:rsidRPr="00470360">
        <w:t>on the subject</w:t>
      </w:r>
      <w:r w:rsidR="00470360">
        <w:t xml:space="preserve">, most recently in </w:t>
      </w:r>
      <w:r w:rsidR="0072592A">
        <w:t>d</w:t>
      </w:r>
      <w:r w:rsidR="00470360">
        <w:t xml:space="preserve">ocument </w:t>
      </w:r>
      <w:r w:rsidR="00470360" w:rsidRPr="00470360">
        <w:t>ST/SG/AC.10/C.3/2018/</w:t>
      </w:r>
      <w:r w:rsidR="007E4B38">
        <w:t>33</w:t>
      </w:r>
      <w:r w:rsidR="00470360" w:rsidRPr="00470360">
        <w:t>−ST/SG/AC.10/C.4/2018/</w:t>
      </w:r>
      <w:r w:rsidR="007E4B38">
        <w:t>7</w:t>
      </w:r>
      <w:r w:rsidR="00780BBC">
        <w:t xml:space="preserve"> f</w:t>
      </w:r>
      <w:r w:rsidR="00B95CBB">
        <w:t>ro</w:t>
      </w:r>
      <w:r w:rsidR="00780BBC">
        <w:t>m the expert from Sweden</w:t>
      </w:r>
      <w:r w:rsidR="00470360" w:rsidRPr="00470360">
        <w:t xml:space="preserve">. </w:t>
      </w:r>
    </w:p>
    <w:p w14:paraId="0F99346E" w14:textId="7458055F" w:rsidR="00A81AE9" w:rsidRDefault="00470360" w:rsidP="00185157">
      <w:pPr>
        <w:pStyle w:val="SingleTxtG"/>
        <w:spacing w:before="120"/>
      </w:pPr>
      <w:r>
        <w:t>2.</w:t>
      </w:r>
      <w:r>
        <w:tab/>
      </w:r>
      <w:r w:rsidRPr="00470360">
        <w:t>The work</w:t>
      </w:r>
      <w:r>
        <w:t xml:space="preserve"> on the review of Chapter 2.1</w:t>
      </w:r>
      <w:r w:rsidR="007F7940">
        <w:t xml:space="preserve"> is done within an informal correspondence g</w:t>
      </w:r>
      <w:r w:rsidRPr="00470360">
        <w:t xml:space="preserve">roup (ICG) consisting of experts from the Sub-Committee of Experts on the GHS (SCEGHS) and from the Working Group on Explosives (EWG) </w:t>
      </w:r>
      <w:r w:rsidR="007F7940">
        <w:t>of</w:t>
      </w:r>
      <w:r w:rsidRPr="00470360">
        <w:t xml:space="preserve"> the Sub-Committee of Experts on the Transport of Dangerous Goods (SCETDG). </w:t>
      </w:r>
      <w:r w:rsidR="00AC30E3">
        <w:t>The ICG is led by the expert from Sweden and he has continuously reported on t</w:t>
      </w:r>
      <w:r w:rsidRPr="00470360">
        <w:t xml:space="preserve">he progress of the work to both </w:t>
      </w:r>
      <w:r w:rsidR="007F7940">
        <w:t>s</w:t>
      </w:r>
      <w:r w:rsidRPr="00470360">
        <w:t>ub</w:t>
      </w:r>
      <w:r w:rsidR="00B77788">
        <w:noBreakHyphen/>
      </w:r>
      <w:r w:rsidR="007F7940">
        <w:t>c</w:t>
      </w:r>
      <w:r w:rsidRPr="00470360">
        <w:t xml:space="preserve">ommittees </w:t>
      </w:r>
      <w:r w:rsidRPr="00470360">
        <w:lastRenderedPageBreak/>
        <w:t>via status reports</w:t>
      </w:r>
      <w:r w:rsidR="007E4B38">
        <w:t xml:space="preserve"> to </w:t>
      </w:r>
      <w:r w:rsidR="0072592A">
        <w:t xml:space="preserve">their </w:t>
      </w:r>
      <w:r w:rsidR="007E4B38">
        <w:t>every session throughout the current and most of the previous</w:t>
      </w:r>
      <w:r w:rsidR="0057623B">
        <w:t>.</w:t>
      </w:r>
      <w:r w:rsidR="007E4B38">
        <w:t xml:space="preserve"> biennium</w:t>
      </w:r>
      <w:r>
        <w:t>.</w:t>
      </w:r>
      <w:r w:rsidR="00B77788">
        <w:rPr>
          <w:rStyle w:val="FootnoteReference"/>
        </w:rPr>
        <w:footnoteReference w:customMarkFollows="1" w:id="3"/>
        <w:t>1</w:t>
      </w:r>
    </w:p>
    <w:p w14:paraId="0BFAA74B" w14:textId="198AE886" w:rsidR="00900D57" w:rsidRDefault="00470360" w:rsidP="0057623B">
      <w:pPr>
        <w:pStyle w:val="SingleTxtG"/>
      </w:pPr>
      <w:r>
        <w:t>3.</w:t>
      </w:r>
      <w:r>
        <w:tab/>
      </w:r>
      <w:r w:rsidRPr="00470360">
        <w:t>The discussions within the ICG have led to a possible ame</w:t>
      </w:r>
      <w:r w:rsidR="007F7940">
        <w:t>nded classification system for e</w:t>
      </w:r>
      <w:r w:rsidRPr="00470360">
        <w:t xml:space="preserve">xplosives in the GHS, which </w:t>
      </w:r>
      <w:r w:rsidR="004355C6">
        <w:t xml:space="preserve">has generally found acceptance within the group and </w:t>
      </w:r>
      <w:r w:rsidR="000C4EF6">
        <w:t>continued work on it was endorsed</w:t>
      </w:r>
      <w:r w:rsidR="004355C6">
        <w:t xml:space="preserve"> by the SCEGHS</w:t>
      </w:r>
      <w:r w:rsidR="000C4EF6">
        <w:t xml:space="preserve"> at its July 2018 session</w:t>
      </w:r>
      <w:r w:rsidR="004355C6">
        <w:t>.</w:t>
      </w:r>
      <w:r w:rsidR="00B77788">
        <w:rPr>
          <w:rStyle w:val="FootnoteReference"/>
        </w:rPr>
        <w:footnoteReference w:customMarkFollows="1" w:id="4"/>
        <w:t>2</w:t>
      </w:r>
      <w:r w:rsidR="004355C6">
        <w:t xml:space="preserve"> The amended system </w:t>
      </w:r>
      <w:r w:rsidR="00577BEE">
        <w:t>overlays</w:t>
      </w:r>
      <w:r w:rsidRPr="00470360">
        <w:t xml:space="preserve"> </w:t>
      </w:r>
      <w:r w:rsidR="0072592A">
        <w:t>c</w:t>
      </w:r>
      <w:r w:rsidRPr="00470360">
        <w:t xml:space="preserve">ategories and </w:t>
      </w:r>
      <w:r w:rsidR="0072592A">
        <w:t>s</w:t>
      </w:r>
      <w:r w:rsidRPr="00470360">
        <w:t xml:space="preserve">ub-categories onto the currently existing </w:t>
      </w:r>
      <w:r w:rsidR="0072592A">
        <w:t>d</w:t>
      </w:r>
      <w:r w:rsidRPr="00470360">
        <w:t>ivisions</w:t>
      </w:r>
      <w:r w:rsidR="00577BEE">
        <w:t xml:space="preserve">, in this way creating a layer of classification that does not depend on the </w:t>
      </w:r>
      <w:r w:rsidR="00334C58">
        <w:t>particular (</w:t>
      </w:r>
      <w:r w:rsidR="00577BEE">
        <w:t>transport</w:t>
      </w:r>
      <w:r w:rsidR="00334C58">
        <w:t>)</w:t>
      </w:r>
      <w:r w:rsidR="00577BEE">
        <w:t xml:space="preserve"> packaging or configuration</w:t>
      </w:r>
      <w:r w:rsidRPr="00470360">
        <w:t>.</w:t>
      </w:r>
      <w:r w:rsidR="00B77788">
        <w:rPr>
          <w:rStyle w:val="FootnoteReference"/>
        </w:rPr>
        <w:footnoteReference w:customMarkFollows="1" w:id="5"/>
        <w:t>3</w:t>
      </w:r>
      <w:r w:rsidR="00900D57">
        <w:t xml:space="preserve"> The </w:t>
      </w:r>
      <w:r w:rsidR="0072592A">
        <w:t>d</w:t>
      </w:r>
      <w:r w:rsidR="00900D57">
        <w:t xml:space="preserve">ivisions thus remain in the system, which ensures consistency with the transport sector and other sectors where the </w:t>
      </w:r>
      <w:r w:rsidR="0072592A">
        <w:t>d</w:t>
      </w:r>
      <w:r w:rsidR="00900D57">
        <w:t xml:space="preserve">ivisions constitute the </w:t>
      </w:r>
      <w:r w:rsidR="00645B57">
        <w:t>basis</w:t>
      </w:r>
      <w:r w:rsidR="002B1F5C">
        <w:t>,</w:t>
      </w:r>
      <w:r w:rsidR="00900D57">
        <w:t xml:space="preserve"> such as</w:t>
      </w:r>
      <w:r w:rsidR="002B1F5C">
        <w:t xml:space="preserve"> </w:t>
      </w:r>
      <w:r w:rsidR="00900D57">
        <w:t>storage.</w:t>
      </w:r>
    </w:p>
    <w:p w14:paraId="75FED93E" w14:textId="32ED8B3D" w:rsidR="006564B0" w:rsidRDefault="00900D57" w:rsidP="00A81AE9">
      <w:pPr>
        <w:pStyle w:val="SingleTxtG"/>
      </w:pPr>
      <w:r>
        <w:t>4.</w:t>
      </w:r>
      <w:r>
        <w:tab/>
      </w:r>
      <w:r w:rsidR="00470360" w:rsidRPr="00470360">
        <w:t xml:space="preserve">At the category-level, Category 2 of the amended system would be identical in scope to Class 1 of </w:t>
      </w:r>
      <w:r>
        <w:t>the Model Regulations</w:t>
      </w:r>
      <w:r w:rsidR="0072592A">
        <w:t>, and the d</w:t>
      </w:r>
      <w:r w:rsidR="00470360" w:rsidRPr="00470360">
        <w:t xml:space="preserve">ivisions within this category </w:t>
      </w:r>
      <w:r w:rsidR="000C4EF6">
        <w:t>remain</w:t>
      </w:r>
      <w:r w:rsidR="000C4EF6" w:rsidRPr="00470360">
        <w:t xml:space="preserve"> </w:t>
      </w:r>
      <w:r w:rsidR="00C944E4">
        <w:t>the same as</w:t>
      </w:r>
      <w:r w:rsidR="00470360" w:rsidRPr="00470360">
        <w:t xml:space="preserve"> those within this transport class. Categ</w:t>
      </w:r>
      <w:r w:rsidR="0072592A">
        <w:t>ory 1 would comprise all other e</w:t>
      </w:r>
      <w:r w:rsidR="00470360" w:rsidRPr="00470360">
        <w:t xml:space="preserve">xplosives </w:t>
      </w:r>
      <w:r w:rsidR="000C4EF6">
        <w:t>so that</w:t>
      </w:r>
      <w:r w:rsidR="000C4EF6" w:rsidRPr="00470360">
        <w:t xml:space="preserve"> </w:t>
      </w:r>
      <w:r w:rsidR="00470360" w:rsidRPr="00470360">
        <w:t xml:space="preserve">the two categories </w:t>
      </w:r>
      <w:r w:rsidR="000C4EF6">
        <w:t>combined</w:t>
      </w:r>
      <w:r w:rsidR="00470360" w:rsidRPr="00470360">
        <w:t xml:space="preserve"> span </w:t>
      </w:r>
      <w:r w:rsidR="007E4B38">
        <w:t xml:space="preserve">exactly </w:t>
      </w:r>
      <w:r w:rsidR="00470360" w:rsidRPr="00470360">
        <w:t xml:space="preserve">the </w:t>
      </w:r>
      <w:r w:rsidR="003104E5">
        <w:t xml:space="preserve">current </w:t>
      </w:r>
      <w:r w:rsidR="00470360" w:rsidRPr="00470360">
        <w:t xml:space="preserve">scope of the hazard class Explosives in the GHS. </w:t>
      </w:r>
      <w:r w:rsidR="00750798">
        <w:t>At the sub-cate</w:t>
      </w:r>
      <w:r w:rsidR="007F7940">
        <w:t>gory level, s</w:t>
      </w:r>
      <w:r w:rsidR="00470360" w:rsidRPr="00470360">
        <w:t>ub-categor</w:t>
      </w:r>
      <w:r w:rsidR="00750798">
        <w:t>y</w:t>
      </w:r>
      <w:r w:rsidR="00470360" w:rsidRPr="00470360">
        <w:t xml:space="preserve"> 2A, 2B and 2C would sort </w:t>
      </w:r>
      <w:r w:rsidR="0072592A">
        <w:t>e</w:t>
      </w:r>
      <w:r w:rsidR="00470360" w:rsidRPr="00470360">
        <w:t>xplosives within Category 2 into high, medium and low hazard, respectively.</w:t>
      </w:r>
    </w:p>
    <w:p w14:paraId="5615B8FB" w14:textId="1A666AE6" w:rsidR="00470360" w:rsidRDefault="00470360" w:rsidP="000E64F9">
      <w:pPr>
        <w:ind w:left="1134" w:right="283"/>
      </w:pPr>
    </w:p>
    <w:tbl>
      <w:tblPr>
        <w:tblStyle w:val="TableGrid"/>
        <w:tblW w:w="0" w:type="auto"/>
        <w:tblInd w:w="1129" w:type="dxa"/>
        <w:tblLook w:val="04A0" w:firstRow="1" w:lastRow="0" w:firstColumn="1" w:lastColumn="0" w:noHBand="0" w:noVBand="1"/>
      </w:tblPr>
      <w:tblGrid>
        <w:gridCol w:w="1418"/>
        <w:gridCol w:w="1559"/>
        <w:gridCol w:w="1701"/>
        <w:gridCol w:w="1701"/>
        <w:gridCol w:w="982"/>
      </w:tblGrid>
      <w:tr w:rsidR="00470360" w:rsidRPr="007A5835" w14:paraId="18E3D7F8" w14:textId="77777777" w:rsidTr="00A81AE9">
        <w:trPr>
          <w:trHeight w:val="329"/>
        </w:trPr>
        <w:tc>
          <w:tcPr>
            <w:tcW w:w="1418" w:type="dxa"/>
            <w:tcBorders>
              <w:left w:val="single" w:sz="12" w:space="0" w:color="auto"/>
              <w:right w:val="single" w:sz="12" w:space="0" w:color="auto"/>
            </w:tcBorders>
            <w:vAlign w:val="center"/>
          </w:tcPr>
          <w:p w14:paraId="4C6A3E53" w14:textId="77777777" w:rsidR="00470360" w:rsidRPr="007A5835" w:rsidRDefault="00470360" w:rsidP="0082795F">
            <w:pPr>
              <w:ind w:left="126"/>
              <w:rPr>
                <w:b/>
              </w:rPr>
            </w:pPr>
            <w:r>
              <w:rPr>
                <w:b/>
              </w:rPr>
              <w:t>Category</w:t>
            </w:r>
          </w:p>
        </w:tc>
        <w:tc>
          <w:tcPr>
            <w:tcW w:w="1559" w:type="dxa"/>
            <w:tcBorders>
              <w:left w:val="single" w:sz="12" w:space="0" w:color="auto"/>
              <w:right w:val="single" w:sz="12" w:space="0" w:color="auto"/>
            </w:tcBorders>
            <w:vAlign w:val="center"/>
          </w:tcPr>
          <w:p w14:paraId="22E5D922" w14:textId="03220768" w:rsidR="00470360" w:rsidRPr="007B2452" w:rsidRDefault="007B2452" w:rsidP="007B2452">
            <w:pPr>
              <w:jc w:val="center"/>
              <w:rPr>
                <w:b/>
              </w:rPr>
            </w:pPr>
            <w:r>
              <w:rPr>
                <w:b/>
              </w:rPr>
              <w:t>1</w:t>
            </w:r>
          </w:p>
        </w:tc>
        <w:tc>
          <w:tcPr>
            <w:tcW w:w="4384" w:type="dxa"/>
            <w:gridSpan w:val="3"/>
            <w:tcBorders>
              <w:left w:val="single" w:sz="12" w:space="0" w:color="auto"/>
              <w:right w:val="single" w:sz="12" w:space="0" w:color="auto"/>
            </w:tcBorders>
            <w:vAlign w:val="center"/>
          </w:tcPr>
          <w:p w14:paraId="66C7C52A" w14:textId="77777777" w:rsidR="00470360" w:rsidRPr="007B2452" w:rsidRDefault="00470360" w:rsidP="007B2452">
            <w:pPr>
              <w:jc w:val="center"/>
              <w:rPr>
                <w:b/>
              </w:rPr>
            </w:pPr>
            <w:r w:rsidRPr="007B2452">
              <w:rPr>
                <w:b/>
              </w:rPr>
              <w:t>2</w:t>
            </w:r>
          </w:p>
        </w:tc>
      </w:tr>
      <w:tr w:rsidR="00470360" w:rsidRPr="007A5835" w14:paraId="6C1F2AC3" w14:textId="77777777" w:rsidTr="00A81AE9">
        <w:trPr>
          <w:trHeight w:val="362"/>
        </w:trPr>
        <w:tc>
          <w:tcPr>
            <w:tcW w:w="1418" w:type="dxa"/>
            <w:tcBorders>
              <w:left w:val="single" w:sz="12" w:space="0" w:color="auto"/>
              <w:right w:val="single" w:sz="12" w:space="0" w:color="auto"/>
            </w:tcBorders>
            <w:vAlign w:val="center"/>
          </w:tcPr>
          <w:p w14:paraId="77E0F44C" w14:textId="77777777" w:rsidR="00470360" w:rsidRPr="007A5835" w:rsidRDefault="00470360" w:rsidP="0082795F">
            <w:pPr>
              <w:ind w:left="126"/>
              <w:rPr>
                <w:b/>
              </w:rPr>
            </w:pPr>
            <w:r>
              <w:rPr>
                <w:b/>
              </w:rPr>
              <w:t>Division*</w:t>
            </w:r>
          </w:p>
        </w:tc>
        <w:tc>
          <w:tcPr>
            <w:tcW w:w="1559" w:type="dxa"/>
            <w:tcBorders>
              <w:left w:val="single" w:sz="12" w:space="0" w:color="auto"/>
              <w:right w:val="single" w:sz="12" w:space="0" w:color="auto"/>
            </w:tcBorders>
            <w:vAlign w:val="center"/>
          </w:tcPr>
          <w:p w14:paraId="0C08F216" w14:textId="522B4C66" w:rsidR="00470360" w:rsidRPr="007B2452" w:rsidRDefault="007B2452" w:rsidP="007B2452">
            <w:pPr>
              <w:jc w:val="center"/>
              <w:rPr>
                <w:i/>
              </w:rPr>
            </w:pPr>
            <w:r w:rsidRPr="007B2452">
              <w:rPr>
                <w:i/>
              </w:rPr>
              <w:t>not applicable</w:t>
            </w:r>
          </w:p>
        </w:tc>
        <w:tc>
          <w:tcPr>
            <w:tcW w:w="4384" w:type="dxa"/>
            <w:gridSpan w:val="3"/>
            <w:tcBorders>
              <w:left w:val="single" w:sz="12" w:space="0" w:color="auto"/>
              <w:right w:val="single" w:sz="12" w:space="0" w:color="auto"/>
            </w:tcBorders>
            <w:vAlign w:val="center"/>
          </w:tcPr>
          <w:p w14:paraId="4E3BEDD0" w14:textId="24E7BF63" w:rsidR="00470360" w:rsidRPr="007A5835" w:rsidRDefault="00470360" w:rsidP="007B2452">
            <w:pPr>
              <w:jc w:val="center"/>
            </w:pPr>
            <w:r w:rsidRPr="007A5835">
              <w:t>1.1, 1.2, 1.3, 1.4, 1.5 and 1.6</w:t>
            </w:r>
          </w:p>
        </w:tc>
      </w:tr>
      <w:tr w:rsidR="00470360" w:rsidRPr="007A5835" w14:paraId="6ACBC77B" w14:textId="77777777" w:rsidTr="00A81AE9">
        <w:trPr>
          <w:trHeight w:val="393"/>
        </w:trPr>
        <w:tc>
          <w:tcPr>
            <w:tcW w:w="1418" w:type="dxa"/>
            <w:tcBorders>
              <w:left w:val="single" w:sz="12" w:space="0" w:color="auto"/>
              <w:right w:val="single" w:sz="12" w:space="0" w:color="auto"/>
            </w:tcBorders>
            <w:vAlign w:val="center"/>
          </w:tcPr>
          <w:p w14:paraId="02B871C1" w14:textId="77777777" w:rsidR="00470360" w:rsidRPr="007A5835" w:rsidRDefault="00470360" w:rsidP="0082795F">
            <w:pPr>
              <w:ind w:left="126"/>
              <w:rPr>
                <w:b/>
              </w:rPr>
            </w:pPr>
            <w:r w:rsidRPr="007A5835">
              <w:rPr>
                <w:b/>
              </w:rPr>
              <w:t>Sub-category</w:t>
            </w:r>
          </w:p>
        </w:tc>
        <w:tc>
          <w:tcPr>
            <w:tcW w:w="1559" w:type="dxa"/>
            <w:tcBorders>
              <w:left w:val="single" w:sz="12" w:space="0" w:color="auto"/>
              <w:right w:val="single" w:sz="12" w:space="0" w:color="auto"/>
            </w:tcBorders>
            <w:vAlign w:val="center"/>
          </w:tcPr>
          <w:p w14:paraId="78F0B6C7" w14:textId="38BA198A" w:rsidR="00470360" w:rsidRPr="007B2452" w:rsidRDefault="007B2452" w:rsidP="007B2452">
            <w:pPr>
              <w:jc w:val="center"/>
              <w:rPr>
                <w:i/>
              </w:rPr>
            </w:pPr>
            <w:r w:rsidRPr="007B2452">
              <w:rPr>
                <w:i/>
              </w:rPr>
              <w:t>not applicable</w:t>
            </w:r>
          </w:p>
        </w:tc>
        <w:tc>
          <w:tcPr>
            <w:tcW w:w="1701" w:type="dxa"/>
            <w:tcBorders>
              <w:left w:val="single" w:sz="12" w:space="0" w:color="auto"/>
            </w:tcBorders>
            <w:vAlign w:val="center"/>
          </w:tcPr>
          <w:p w14:paraId="45A0DCF1" w14:textId="77777777" w:rsidR="00470360" w:rsidRPr="007A5835" w:rsidRDefault="00470360" w:rsidP="007B2452">
            <w:pPr>
              <w:jc w:val="center"/>
            </w:pPr>
            <w:r w:rsidRPr="007A5835">
              <w:t>2A</w:t>
            </w:r>
          </w:p>
        </w:tc>
        <w:tc>
          <w:tcPr>
            <w:tcW w:w="1701" w:type="dxa"/>
            <w:vAlign w:val="center"/>
          </w:tcPr>
          <w:p w14:paraId="4748E2A4" w14:textId="77777777" w:rsidR="00470360" w:rsidRPr="007A5835" w:rsidRDefault="00470360" w:rsidP="007B2452">
            <w:pPr>
              <w:jc w:val="center"/>
            </w:pPr>
            <w:r w:rsidRPr="007A5835">
              <w:t>2B</w:t>
            </w:r>
          </w:p>
        </w:tc>
        <w:tc>
          <w:tcPr>
            <w:tcW w:w="982" w:type="dxa"/>
            <w:tcBorders>
              <w:right w:val="single" w:sz="12" w:space="0" w:color="auto"/>
            </w:tcBorders>
            <w:vAlign w:val="center"/>
          </w:tcPr>
          <w:p w14:paraId="522B864B" w14:textId="77777777" w:rsidR="00470360" w:rsidRPr="007A5835" w:rsidRDefault="00470360" w:rsidP="007B2452">
            <w:pPr>
              <w:jc w:val="center"/>
            </w:pPr>
            <w:r w:rsidRPr="007A5835">
              <w:t>2C</w:t>
            </w:r>
          </w:p>
        </w:tc>
      </w:tr>
    </w:tbl>
    <w:p w14:paraId="661FBABE" w14:textId="26B0AA87" w:rsidR="00470360" w:rsidRDefault="00470360" w:rsidP="000E64F9">
      <w:pPr>
        <w:ind w:left="1134" w:right="283"/>
      </w:pPr>
    </w:p>
    <w:p w14:paraId="628AC5CC" w14:textId="01782327" w:rsidR="00470360" w:rsidRPr="00A931E6" w:rsidRDefault="00470360" w:rsidP="00A81AE9">
      <w:pPr>
        <w:pStyle w:val="SingleTxtG"/>
      </w:pPr>
      <w:r>
        <w:t>*</w:t>
      </w:r>
      <w:r w:rsidR="00A81AE9">
        <w:t xml:space="preserve"> </w:t>
      </w:r>
      <w:r w:rsidRPr="00A81AE9">
        <w:rPr>
          <w:i/>
          <w:iCs/>
        </w:rPr>
        <w:t>According to Part I of the Manual of Tests and Criteria, i.e.</w:t>
      </w:r>
      <w:r w:rsidR="009202F8" w:rsidRPr="00A81AE9">
        <w:rPr>
          <w:i/>
          <w:iCs/>
        </w:rPr>
        <w:t xml:space="preserve"> </w:t>
      </w:r>
      <w:r w:rsidR="00D85611" w:rsidRPr="00A81AE9">
        <w:rPr>
          <w:i/>
          <w:iCs/>
        </w:rPr>
        <w:t>normally</w:t>
      </w:r>
      <w:r w:rsidRPr="00A81AE9">
        <w:rPr>
          <w:i/>
          <w:iCs/>
        </w:rPr>
        <w:t xml:space="preserve"> as packaged or configured for transport.</w:t>
      </w:r>
    </w:p>
    <w:p w14:paraId="7C2953FB" w14:textId="48998EEC" w:rsidR="00A81AE9" w:rsidRDefault="00900D57" w:rsidP="00A81AE9">
      <w:pPr>
        <w:pStyle w:val="SingleTxtG"/>
      </w:pPr>
      <w:r>
        <w:t>5</w:t>
      </w:r>
      <w:r w:rsidR="006564B0" w:rsidRPr="00A931E6">
        <w:t>.</w:t>
      </w:r>
      <w:r w:rsidR="006564B0" w:rsidRPr="00A931E6">
        <w:tab/>
      </w:r>
      <w:r w:rsidR="00470360" w:rsidRPr="00470360">
        <w:t>The point of the amended system is that the categories and sub</w:t>
      </w:r>
      <w:r w:rsidR="00470360">
        <w:t>-</w:t>
      </w:r>
      <w:r w:rsidR="00470360" w:rsidRPr="00470360">
        <w:t xml:space="preserve">categories would not be dependent on </w:t>
      </w:r>
      <w:r w:rsidR="00713EFC">
        <w:t xml:space="preserve">the </w:t>
      </w:r>
      <w:proofErr w:type="gramStart"/>
      <w:r w:rsidR="00B75975">
        <w:t>particular</w:t>
      </w:r>
      <w:r w:rsidR="00470360" w:rsidRPr="00470360">
        <w:t xml:space="preserve"> packaging</w:t>
      </w:r>
      <w:proofErr w:type="gramEnd"/>
      <w:r w:rsidR="00470360" w:rsidRPr="00470360">
        <w:t xml:space="preserve"> or configuration</w:t>
      </w:r>
      <w:r w:rsidR="00713EFC">
        <w:t xml:space="preserve"> in</w:t>
      </w:r>
      <w:r w:rsidR="00713EFC" w:rsidRPr="00470360">
        <w:t xml:space="preserve"> </w:t>
      </w:r>
      <w:r w:rsidR="0072592A">
        <w:t>which the d</w:t>
      </w:r>
      <w:r w:rsidR="00470360" w:rsidRPr="00470360">
        <w:t>ivisions are</w:t>
      </w:r>
      <w:r w:rsidR="00713EFC">
        <w:t xml:space="preserve"> assigned,</w:t>
      </w:r>
      <w:r w:rsidR="00B75975">
        <w:t xml:space="preserve"> which is usually that for transportation purposes</w:t>
      </w:r>
      <w:r w:rsidR="00470360" w:rsidRPr="00470360">
        <w:t>. In this way it is made possible to classify explosives that are not packaged/configured for transport and to provide</w:t>
      </w:r>
      <w:r w:rsidR="00A15028">
        <w:t xml:space="preserve"> GHS</w:t>
      </w:r>
      <w:r w:rsidR="00470360" w:rsidRPr="00470360">
        <w:t xml:space="preserve"> hazard communication that describes the effect of the explosive when not in the</w:t>
      </w:r>
      <w:r w:rsidR="00A15028">
        <w:t xml:space="preserve"> particular</w:t>
      </w:r>
      <w:r w:rsidR="00470360" w:rsidRPr="00470360">
        <w:t xml:space="preserve"> </w:t>
      </w:r>
      <w:r w:rsidR="00A15028">
        <w:t>(</w:t>
      </w:r>
      <w:r w:rsidR="00470360" w:rsidRPr="00470360">
        <w:t>transport</w:t>
      </w:r>
      <w:r w:rsidR="00A15028">
        <w:t>)</w:t>
      </w:r>
      <w:r w:rsidR="00470360" w:rsidRPr="00470360">
        <w:t xml:space="preserve"> package/configuration</w:t>
      </w:r>
      <w:r w:rsidR="00A15028">
        <w:t xml:space="preserve"> i</w:t>
      </w:r>
      <w:r w:rsidR="0072592A">
        <w:t>n which they were assigned the d</w:t>
      </w:r>
      <w:r w:rsidR="00A15028">
        <w:t>ivision</w:t>
      </w:r>
      <w:r w:rsidR="00470360" w:rsidRPr="00470360">
        <w:t>, e.g. for the supply and use sectors.</w:t>
      </w:r>
      <w:r w:rsidR="00B77788">
        <w:rPr>
          <w:rStyle w:val="FootnoteReference"/>
        </w:rPr>
        <w:footnoteReference w:customMarkFollows="1" w:id="6"/>
        <w:t>4</w:t>
      </w:r>
      <w:r w:rsidR="00470360" w:rsidRPr="00470360">
        <w:t xml:space="preserve"> This would solve the two major problems of the current Chapter 2.1</w:t>
      </w:r>
      <w:r w:rsidR="00B8748A">
        <w:t>, namely that</w:t>
      </w:r>
      <w:r w:rsidR="00B77788">
        <w:rPr>
          <w:rStyle w:val="FootnoteReference"/>
        </w:rPr>
        <w:footnoteReference w:customMarkFollows="1" w:id="7"/>
        <w:t>5</w:t>
      </w:r>
      <w:r w:rsidR="00B8748A">
        <w:t>:</w:t>
      </w:r>
      <w:r w:rsidR="00B8748A" w:rsidRPr="00470360">
        <w:t xml:space="preserve"> </w:t>
      </w:r>
    </w:p>
    <w:p w14:paraId="676988EB" w14:textId="50B6A1B8" w:rsidR="000C4EF6" w:rsidRDefault="00A81AE9" w:rsidP="00A81AE9">
      <w:pPr>
        <w:pStyle w:val="SingleTxtG"/>
        <w:ind w:left="1701"/>
      </w:pPr>
      <w:r>
        <w:t>(</w:t>
      </w:r>
      <w:proofErr w:type="spellStart"/>
      <w:r>
        <w:t>i</w:t>
      </w:r>
      <w:proofErr w:type="spellEnd"/>
      <w:r>
        <w:t>)</w:t>
      </w:r>
      <w:r>
        <w:tab/>
      </w:r>
      <w:r w:rsidR="00713EFC">
        <w:t xml:space="preserve">In practice, </w:t>
      </w:r>
      <w:r w:rsidR="0072592A">
        <w:t>d</w:t>
      </w:r>
      <w:r w:rsidR="00470360" w:rsidRPr="00470360">
        <w:t>ivisions cannot be assigned to explosives</w:t>
      </w:r>
      <w:r w:rsidR="000C4EF6">
        <w:t xml:space="preserve"> outside of their transport packaging/</w:t>
      </w:r>
      <w:r w:rsidR="000955F4">
        <w:t xml:space="preserve"> </w:t>
      </w:r>
      <w:r w:rsidR="000C4EF6">
        <w:t>configuration</w:t>
      </w:r>
      <w:r w:rsidR="00577BEE">
        <w:t xml:space="preserve">, so classification of these </w:t>
      </w:r>
      <w:r w:rsidR="00713EFC">
        <w:t xml:space="preserve">according to the GHS </w:t>
      </w:r>
      <w:r w:rsidR="00577BEE">
        <w:t>is</w:t>
      </w:r>
      <w:r w:rsidR="000955F4">
        <w:t>, strictly speaking,</w:t>
      </w:r>
      <w:r w:rsidR="00577BEE">
        <w:t xml:space="preserve"> not possible (e.g. in manufacturing and processing).</w:t>
      </w:r>
      <w:r w:rsidR="00470360" w:rsidRPr="00470360">
        <w:t xml:space="preserve"> </w:t>
      </w:r>
    </w:p>
    <w:p w14:paraId="7E089C7F" w14:textId="77777777" w:rsidR="00185157" w:rsidRDefault="00185157">
      <w:pPr>
        <w:suppressAutoHyphens w:val="0"/>
        <w:spacing w:line="240" w:lineRule="auto"/>
      </w:pPr>
      <w:r>
        <w:br w:type="page"/>
      </w:r>
    </w:p>
    <w:p w14:paraId="30502889" w14:textId="4AC18B44" w:rsidR="006564B0" w:rsidRDefault="00A81AE9" w:rsidP="00A81AE9">
      <w:pPr>
        <w:pStyle w:val="SingleTxtG"/>
        <w:ind w:left="1701"/>
      </w:pPr>
      <w:r>
        <w:lastRenderedPageBreak/>
        <w:t>(ii)</w:t>
      </w:r>
      <w:r>
        <w:tab/>
      </w:r>
      <w:r w:rsidR="00470360" w:rsidRPr="00470360">
        <w:t>GHS hazar</w:t>
      </w:r>
      <w:r w:rsidR="0072592A">
        <w:t>d communication is tied to the d</w:t>
      </w:r>
      <w:r w:rsidR="00470360" w:rsidRPr="00470360">
        <w:t>ivision as assigned in the transport packaging/</w:t>
      </w:r>
      <w:r w:rsidR="000955F4">
        <w:t xml:space="preserve"> </w:t>
      </w:r>
      <w:r w:rsidR="00470360" w:rsidRPr="00470360">
        <w:t>configuration</w:t>
      </w:r>
      <w:r w:rsidR="00B8748A">
        <w:t>,</w:t>
      </w:r>
      <w:r w:rsidR="00470360" w:rsidRPr="00470360">
        <w:t xml:space="preserve"> which is often </w:t>
      </w:r>
      <w:r w:rsidR="000C4EF6">
        <w:t>designed to provide</w:t>
      </w:r>
      <w:r w:rsidR="00470360" w:rsidRPr="00470360">
        <w:t xml:space="preserve"> mit</w:t>
      </w:r>
      <w:r w:rsidR="00470360">
        <w:t>igation of the explosive hazard</w:t>
      </w:r>
      <w:r w:rsidR="000C4EF6">
        <w:t xml:space="preserve"> and </w:t>
      </w:r>
      <w:r w:rsidR="00B8748A">
        <w:t>hence</w:t>
      </w:r>
      <w:r w:rsidR="000C4EF6">
        <w:t xml:space="preserve"> leads to understatement of the hazard</w:t>
      </w:r>
      <w:r w:rsidR="00B8748A">
        <w:t xml:space="preserve"> for inner packages and articles as such</w:t>
      </w:r>
      <w:r w:rsidR="006564B0" w:rsidRPr="00A931E6">
        <w:t>.</w:t>
      </w:r>
    </w:p>
    <w:p w14:paraId="22E78AD7" w14:textId="0C9EEA93" w:rsidR="00470360" w:rsidRDefault="00900D57" w:rsidP="00A81AE9">
      <w:pPr>
        <w:pStyle w:val="SingleTxtG"/>
      </w:pPr>
      <w:r>
        <w:t>6</w:t>
      </w:r>
      <w:r w:rsidR="00470360">
        <w:t>.</w:t>
      </w:r>
      <w:r w:rsidR="00470360">
        <w:tab/>
      </w:r>
      <w:r w:rsidR="008E7EB4">
        <w:t xml:space="preserve">Naturally, the </w:t>
      </w:r>
      <w:r w:rsidR="00470360">
        <w:t>ame</w:t>
      </w:r>
      <w:r w:rsidR="0072592A">
        <w:t>nded system needs criteria for the c</w:t>
      </w:r>
      <w:r w:rsidR="00470360">
        <w:t xml:space="preserve">ategories </w:t>
      </w:r>
      <w:r w:rsidR="0072592A">
        <w:t>and</w:t>
      </w:r>
      <w:r w:rsidR="00470360">
        <w:t xml:space="preserve"> </w:t>
      </w:r>
      <w:r w:rsidR="0072592A">
        <w:t>s</w:t>
      </w:r>
      <w:r w:rsidR="00470360">
        <w:t>ub-categories</w:t>
      </w:r>
      <w:r w:rsidR="0072592A">
        <w:t xml:space="preserve"> introduced</w:t>
      </w:r>
      <w:r w:rsidR="00470360">
        <w:t>.</w:t>
      </w:r>
      <w:r w:rsidR="0072592A">
        <w:t xml:space="preserve"> The</w:t>
      </w:r>
      <w:r w:rsidR="008E7EB4">
        <w:t xml:space="preserve"> </w:t>
      </w:r>
      <w:r w:rsidR="0072592A">
        <w:t>b</w:t>
      </w:r>
      <w:r w:rsidR="008E7EB4">
        <w:t xml:space="preserve">oundaries are that the </w:t>
      </w:r>
      <w:r w:rsidR="0072592A">
        <w:t xml:space="preserve">current </w:t>
      </w:r>
      <w:r w:rsidR="008E7EB4">
        <w:t>scope of the hazard class</w:t>
      </w:r>
      <w:r w:rsidR="0072592A">
        <w:t xml:space="preserve"> Explosives</w:t>
      </w:r>
      <w:r w:rsidR="00470360">
        <w:t xml:space="preserve"> </w:t>
      </w:r>
      <w:r w:rsidR="008E7EB4">
        <w:t>remains intact</w:t>
      </w:r>
      <w:r w:rsidR="0072592A">
        <w:t>, that there is consistency with the Model Regulations (i.e. the transport sector) and</w:t>
      </w:r>
      <w:r w:rsidR="008E7EB4">
        <w:t xml:space="preserve"> that no new testing requirements are </w:t>
      </w:r>
      <w:r w:rsidR="0072592A">
        <w:t>imposed</w:t>
      </w:r>
      <w:r w:rsidR="008E7EB4">
        <w:t xml:space="preserve">. </w:t>
      </w:r>
      <w:r w:rsidR="00470360">
        <w:t xml:space="preserve">Tentatively agreed criteria </w:t>
      </w:r>
      <w:r w:rsidR="008E7EB4">
        <w:t xml:space="preserve">for the amended system </w:t>
      </w:r>
      <w:r w:rsidR="002266FE">
        <w:t xml:space="preserve">fulfilling </w:t>
      </w:r>
      <w:proofErr w:type="gramStart"/>
      <w:r w:rsidR="002266FE">
        <w:t>these requirement</w:t>
      </w:r>
      <w:proofErr w:type="gramEnd"/>
      <w:r w:rsidR="002266FE">
        <w:t xml:space="preserve"> </w:t>
      </w:r>
      <w:r w:rsidR="007F7940">
        <w:t xml:space="preserve">were set at the ICG </w:t>
      </w:r>
      <w:r w:rsidR="00470360">
        <w:t>meeting that took place in November 2017</w:t>
      </w:r>
      <w:r w:rsidR="00B8748A">
        <w:t>.</w:t>
      </w:r>
      <w:r w:rsidR="00B77788">
        <w:rPr>
          <w:rStyle w:val="FootnoteReference"/>
        </w:rPr>
        <w:footnoteReference w:customMarkFollows="1" w:id="8"/>
        <w:t>6</w:t>
      </w:r>
      <w:r w:rsidR="00470360">
        <w:t xml:space="preserve"> At the joint meeting of the EWG and ICG in late June 2018, the criteria for </w:t>
      </w:r>
      <w:r w:rsidR="002266FE">
        <w:t>the s</w:t>
      </w:r>
      <w:r w:rsidR="00470360">
        <w:t xml:space="preserve">ub-categories were further discussed and agreed </w:t>
      </w:r>
      <w:r w:rsidR="002266FE">
        <w:t xml:space="preserve">in principle </w:t>
      </w:r>
      <w:r w:rsidR="00470360">
        <w:t>amongst the attendees</w:t>
      </w:r>
      <w:r w:rsidR="002266FE">
        <w:t xml:space="preserve">, recognising that some further </w:t>
      </w:r>
      <w:r w:rsidR="006571E2">
        <w:t>work</w:t>
      </w:r>
      <w:r w:rsidR="002266FE">
        <w:t xml:space="preserve"> would be needed</w:t>
      </w:r>
      <w:r w:rsidR="00B8748A">
        <w:t>.</w:t>
      </w:r>
      <w:r w:rsidR="00B77788">
        <w:rPr>
          <w:rStyle w:val="FootnoteReference"/>
        </w:rPr>
        <w:footnoteReference w:customMarkFollows="1" w:id="9"/>
        <w:t>7</w:t>
      </w:r>
    </w:p>
    <w:p w14:paraId="410BEBCA" w14:textId="166E4EA0" w:rsidR="00470360" w:rsidRDefault="00900D57" w:rsidP="00A81AE9">
      <w:pPr>
        <w:pStyle w:val="SingleTxtG"/>
      </w:pPr>
      <w:r>
        <w:t>7</w:t>
      </w:r>
      <w:r w:rsidR="00470360">
        <w:t>.</w:t>
      </w:r>
      <w:r w:rsidR="00470360">
        <w:tab/>
      </w:r>
      <w:r w:rsidR="008E7EB4">
        <w:t xml:space="preserve">The outcome of the joint meeting of the ICG and EWG was subsequently presented and discussed at </w:t>
      </w:r>
      <w:r w:rsidR="00470360">
        <w:t xml:space="preserve">the joint </w:t>
      </w:r>
      <w:r w:rsidR="008E7EB4">
        <w:t xml:space="preserve">session </w:t>
      </w:r>
      <w:r w:rsidR="00470360">
        <w:t>of the SCETDG and the SCEGHS on 3 July</w:t>
      </w:r>
      <w:r w:rsidR="007E4B38">
        <w:t xml:space="preserve"> 2018</w:t>
      </w:r>
      <w:r w:rsidR="008E7EB4">
        <w:t>. In that session</w:t>
      </w:r>
      <w:r w:rsidR="00470360">
        <w:t>, as well as in the ICG-meeting that same evening, it was suggested that an attempt be made to settle on the fina</w:t>
      </w:r>
      <w:r w:rsidR="007F7940">
        <w:t>l criteria within the current</w:t>
      </w:r>
      <w:r w:rsidR="00470360">
        <w:t xml:space="preserve"> biennium</w:t>
      </w:r>
      <w:r w:rsidR="00CE31F9">
        <w:t xml:space="preserve"> - a</w:t>
      </w:r>
      <w:r w:rsidR="008E7EB4">
        <w:t xml:space="preserve"> suggestion</w:t>
      </w:r>
      <w:r w:rsidR="00CC6328">
        <w:t xml:space="preserve"> that</w:t>
      </w:r>
      <w:r w:rsidR="008E7EB4">
        <w:t xml:space="preserve"> </w:t>
      </w:r>
      <w:r w:rsidR="00E74511">
        <w:t xml:space="preserve">was </w:t>
      </w:r>
      <w:r w:rsidR="008E7EB4">
        <w:t xml:space="preserve">subsequently </w:t>
      </w:r>
      <w:r w:rsidR="00E74511">
        <w:t>endorsed by the SCEGHS</w:t>
      </w:r>
      <w:r w:rsidR="00CE31F9">
        <w:t>.</w:t>
      </w:r>
      <w:r w:rsidR="00B77788">
        <w:rPr>
          <w:rStyle w:val="FootnoteReference"/>
        </w:rPr>
        <w:footnoteReference w:customMarkFollows="1" w:id="10"/>
        <w:t>8</w:t>
      </w:r>
      <w:r w:rsidR="008E7EB4">
        <w:t xml:space="preserve"> </w:t>
      </w:r>
      <w:r w:rsidR="00CE31F9">
        <w:t>T</w:t>
      </w:r>
      <w:r w:rsidR="008E7EB4">
        <w:t xml:space="preserve">his </w:t>
      </w:r>
      <w:r w:rsidR="00470360">
        <w:t xml:space="preserve">working document </w:t>
      </w:r>
      <w:r w:rsidR="008E7EB4">
        <w:t>cons</w:t>
      </w:r>
      <w:r w:rsidR="00CE31F9">
        <w:t>t</w:t>
      </w:r>
      <w:r w:rsidR="008E7EB4">
        <w:t xml:space="preserve">itutes </w:t>
      </w:r>
      <w:r w:rsidR="00470360">
        <w:t>the foundation of that attempt.</w:t>
      </w:r>
    </w:p>
    <w:p w14:paraId="1D4BEB89" w14:textId="77E6DAA9" w:rsidR="00037276" w:rsidRPr="00A931E6" w:rsidRDefault="00900D57" w:rsidP="00A81AE9">
      <w:pPr>
        <w:pStyle w:val="SingleTxtG"/>
      </w:pPr>
      <w:r>
        <w:t>8</w:t>
      </w:r>
      <w:r w:rsidR="00037276">
        <w:t>.</w:t>
      </w:r>
      <w:r w:rsidR="00037276">
        <w:tab/>
        <w:t xml:space="preserve">There was also an explicit wish from the SCEGHS that examples be provided to illustrate what the amended system would mean in practice, in particular </w:t>
      </w:r>
      <w:r w:rsidR="00AC30E3">
        <w:t xml:space="preserve">regarding </w:t>
      </w:r>
      <w:r w:rsidR="00037276">
        <w:t>which kinds of explosives would end up in the various sub-categories within Category 2.</w:t>
      </w:r>
      <w:r w:rsidR="00B77788">
        <w:rPr>
          <w:rStyle w:val="FootnoteReference"/>
        </w:rPr>
        <w:footnoteReference w:customMarkFollows="1" w:id="11"/>
        <w:t>9</w:t>
      </w:r>
      <w:r w:rsidR="00037276">
        <w:t xml:space="preserve"> The intention is that such examples will be provided in </w:t>
      </w:r>
      <w:proofErr w:type="gramStart"/>
      <w:r w:rsidR="00037276">
        <w:t>an</w:t>
      </w:r>
      <w:proofErr w:type="gramEnd"/>
      <w:r w:rsidR="00037276">
        <w:t xml:space="preserve"> </w:t>
      </w:r>
      <w:r w:rsidR="00577BEE">
        <w:t xml:space="preserve">forthcoming </w:t>
      </w:r>
      <w:r w:rsidR="00037276">
        <w:t xml:space="preserve">document that will supplement this working document. The expert from Sweden reminds that a draft of </w:t>
      </w:r>
      <w:r w:rsidR="00AC30E3">
        <w:t xml:space="preserve">his view of </w:t>
      </w:r>
      <w:r w:rsidR="00037276">
        <w:t xml:space="preserve">a potential new Chapter 2.1 with examples of new GHS labels was presented to the Sub-Committees for their June/July 2018 sessions, which may aid further in illustrating the </w:t>
      </w:r>
      <w:r w:rsidR="002317EE">
        <w:t xml:space="preserve">potential </w:t>
      </w:r>
      <w:r w:rsidR="00037276">
        <w:t>effects in practice.</w:t>
      </w:r>
      <w:r w:rsidR="00B77788">
        <w:rPr>
          <w:rStyle w:val="FootnoteReference"/>
        </w:rPr>
        <w:footnoteReference w:customMarkFollows="1" w:id="12"/>
        <w:t>10</w:t>
      </w:r>
    </w:p>
    <w:p w14:paraId="42BA27C4" w14:textId="786526E2" w:rsidR="00A931E6" w:rsidRDefault="00A81AE9" w:rsidP="00185157">
      <w:pPr>
        <w:pStyle w:val="HChG"/>
      </w:pPr>
      <w:r>
        <w:tab/>
      </w:r>
      <w:r>
        <w:tab/>
      </w:r>
      <w:r w:rsidR="00470360" w:rsidRPr="00470360">
        <w:t>State of play</w:t>
      </w:r>
    </w:p>
    <w:p w14:paraId="052397F6" w14:textId="0551797E" w:rsidR="00917DC3" w:rsidRDefault="00900D57" w:rsidP="00A81AE9">
      <w:pPr>
        <w:pStyle w:val="SingleTxtG"/>
      </w:pPr>
      <w:r>
        <w:t>9</w:t>
      </w:r>
      <w:r w:rsidR="00470360" w:rsidRPr="00470360">
        <w:t>.</w:t>
      </w:r>
      <w:r w:rsidR="00470360" w:rsidRPr="00470360">
        <w:tab/>
        <w:t xml:space="preserve">The deadline for submission of </w:t>
      </w:r>
      <w:r w:rsidR="007F7940">
        <w:t>documents</w:t>
      </w:r>
      <w:r w:rsidR="00470360" w:rsidRPr="00470360">
        <w:t xml:space="preserve"> to the Sub</w:t>
      </w:r>
      <w:r w:rsidR="002266FE">
        <w:t>-C</w:t>
      </w:r>
      <w:r w:rsidR="00470360" w:rsidRPr="00470360">
        <w:t xml:space="preserve">ommittees for their December 2018 sessions </w:t>
      </w:r>
      <w:r w:rsidR="005D3879">
        <w:t>meant</w:t>
      </w:r>
      <w:r w:rsidR="00470360" w:rsidRPr="00470360">
        <w:t xml:space="preserve"> that there were only two months </w:t>
      </w:r>
      <w:r w:rsidR="005D3879">
        <w:t xml:space="preserve">for the ICG </w:t>
      </w:r>
      <w:r w:rsidR="00470360" w:rsidRPr="00470360">
        <w:t xml:space="preserve">to work </w:t>
      </w:r>
      <w:r w:rsidR="00483C91">
        <w:t xml:space="preserve">on </w:t>
      </w:r>
      <w:r w:rsidR="005D3879">
        <w:t xml:space="preserve">refining </w:t>
      </w:r>
      <w:r w:rsidR="00B163CC">
        <w:t>and agreeing on</w:t>
      </w:r>
      <w:r w:rsidR="00CE31F9">
        <w:t xml:space="preserve"> </w:t>
      </w:r>
      <w:r w:rsidR="00483C91">
        <w:t>criteria</w:t>
      </w:r>
      <w:r w:rsidR="00B163CC">
        <w:t xml:space="preserve">, </w:t>
      </w:r>
      <w:r w:rsidR="00B163CC" w:rsidRPr="00470360">
        <w:t xml:space="preserve">which in addition are the </w:t>
      </w:r>
      <w:r w:rsidR="00B163CC">
        <w:t xml:space="preserve">summer </w:t>
      </w:r>
      <w:r w:rsidR="00B163CC" w:rsidRPr="00470360">
        <w:t>vacation months for most members.</w:t>
      </w:r>
      <w:r w:rsidR="00B163CC">
        <w:t xml:space="preserve"> </w:t>
      </w:r>
      <w:r w:rsidR="00B163CC" w:rsidRPr="00470360">
        <w:t xml:space="preserve">Despite this fact an effort </w:t>
      </w:r>
      <w:r w:rsidR="00B163CC">
        <w:t>was</w:t>
      </w:r>
      <w:r w:rsidR="00B163CC" w:rsidRPr="00470360">
        <w:t xml:space="preserve"> made </w:t>
      </w:r>
      <w:r w:rsidR="00B163CC">
        <w:t xml:space="preserve">to improve the criteria for </w:t>
      </w:r>
      <w:r w:rsidR="002266FE">
        <w:t xml:space="preserve">the two </w:t>
      </w:r>
      <w:r w:rsidR="00B163CC">
        <w:t>categories by the expert from Sweden with the aid of</w:t>
      </w:r>
      <w:r w:rsidR="00AC30E3">
        <w:t xml:space="preserve"> the Chairman of the EWG and</w:t>
      </w:r>
      <w:r w:rsidR="007F7940">
        <w:t xml:space="preserve"> a few other ICG </w:t>
      </w:r>
      <w:r w:rsidR="00B163CC">
        <w:t xml:space="preserve">members, and to put them into a flowchart form </w:t>
      </w:r>
      <w:proofErr w:type="gramStart"/>
      <w:r w:rsidR="00B163CC">
        <w:t>in order to</w:t>
      </w:r>
      <w:proofErr w:type="gramEnd"/>
      <w:r w:rsidR="00B163CC">
        <w:t xml:space="preserve"> provid</w:t>
      </w:r>
      <w:r w:rsidR="007F7940">
        <w:t xml:space="preserve">e clarity. A group of other ICG </w:t>
      </w:r>
      <w:r w:rsidR="00B163CC">
        <w:t xml:space="preserve">members </w:t>
      </w:r>
      <w:r w:rsidR="002266FE">
        <w:t xml:space="preserve">have </w:t>
      </w:r>
      <w:proofErr w:type="gramStart"/>
      <w:r w:rsidR="002266FE">
        <w:t>made an effort</w:t>
      </w:r>
      <w:proofErr w:type="gramEnd"/>
      <w:r w:rsidR="002266FE">
        <w:t xml:space="preserve"> to</w:t>
      </w:r>
      <w:r w:rsidR="00B163CC">
        <w:t xml:space="preserve"> </w:t>
      </w:r>
      <w:r w:rsidR="0004617D">
        <w:t xml:space="preserve">further specify </w:t>
      </w:r>
      <w:r w:rsidR="00B163CC">
        <w:t xml:space="preserve">the </w:t>
      </w:r>
      <w:r w:rsidR="002266FE">
        <w:t xml:space="preserve">principally </w:t>
      </w:r>
      <w:r w:rsidR="00B163CC">
        <w:t xml:space="preserve">agreed criteria for </w:t>
      </w:r>
      <w:r w:rsidR="002266FE">
        <w:t>the s</w:t>
      </w:r>
      <w:r w:rsidR="00B163CC">
        <w:t>ub-categories</w:t>
      </w:r>
      <w:r w:rsidR="002266FE">
        <w:t>, and a</w:t>
      </w:r>
      <w:r w:rsidR="00B163CC">
        <w:t xml:space="preserve"> forthcoming document </w:t>
      </w:r>
      <w:r w:rsidR="002266FE">
        <w:t>on</w:t>
      </w:r>
      <w:r w:rsidR="00B163CC">
        <w:t xml:space="preserve"> this is expected.</w:t>
      </w:r>
      <w:r w:rsidR="00B77788">
        <w:rPr>
          <w:rStyle w:val="FootnoteReference"/>
        </w:rPr>
        <w:footnoteReference w:customMarkFollows="1" w:id="13"/>
        <w:t>11</w:t>
      </w:r>
    </w:p>
    <w:p w14:paraId="402D92EB" w14:textId="7AE5D66C" w:rsidR="00470360" w:rsidRDefault="00900D57" w:rsidP="00A81AE9">
      <w:pPr>
        <w:pStyle w:val="SingleTxtG"/>
      </w:pPr>
      <w:r>
        <w:t>10</w:t>
      </w:r>
      <w:r w:rsidR="00917DC3">
        <w:t>.</w:t>
      </w:r>
      <w:r w:rsidR="00917DC3">
        <w:tab/>
      </w:r>
      <w:r w:rsidR="00483C91">
        <w:t>Although</w:t>
      </w:r>
      <w:r w:rsidR="00470360" w:rsidRPr="00470360">
        <w:t xml:space="preserve"> </w:t>
      </w:r>
      <w:r w:rsidR="004355C6">
        <w:t xml:space="preserve">time constraints </w:t>
      </w:r>
      <w:r w:rsidR="00F17EFF">
        <w:t xml:space="preserve">and many member’s vacations </w:t>
      </w:r>
      <w:r w:rsidR="004355C6">
        <w:t>have not made it</w:t>
      </w:r>
      <w:r w:rsidR="00470360" w:rsidRPr="00470360">
        <w:t xml:space="preserve"> possible to agree on </w:t>
      </w:r>
      <w:r w:rsidR="004355C6">
        <w:t>the criteria</w:t>
      </w:r>
      <w:r w:rsidR="004355C6" w:rsidRPr="00470360">
        <w:t xml:space="preserve"> </w:t>
      </w:r>
      <w:r w:rsidR="00470360" w:rsidRPr="00470360">
        <w:t>within the ICG before submission of this document</w:t>
      </w:r>
      <w:r w:rsidR="00483C91">
        <w:t xml:space="preserve">, </w:t>
      </w:r>
      <w:r w:rsidR="00F17EFF">
        <w:t>the expert from Sweden and the Chairman of the EWG believe</w:t>
      </w:r>
      <w:r w:rsidR="00483C91">
        <w:t xml:space="preserve"> that </w:t>
      </w:r>
      <w:r w:rsidR="00AC30E3">
        <w:t xml:space="preserve">criteria based on those presented </w:t>
      </w:r>
      <w:r w:rsidR="002266FE">
        <w:t>herein</w:t>
      </w:r>
      <w:r w:rsidR="006571E2">
        <w:t xml:space="preserve">, </w:t>
      </w:r>
      <w:r w:rsidR="006571E2">
        <w:lastRenderedPageBreak/>
        <w:t>together with the further input expected,</w:t>
      </w:r>
      <w:r w:rsidR="002266FE">
        <w:t xml:space="preserve"> </w:t>
      </w:r>
      <w:r w:rsidR="00ED79D3">
        <w:t xml:space="preserve">could </w:t>
      </w:r>
      <w:r w:rsidR="00F17EFF">
        <w:t xml:space="preserve">potentially </w:t>
      </w:r>
      <w:r w:rsidR="00ED79D3">
        <w:t xml:space="preserve">be </w:t>
      </w:r>
      <w:r w:rsidR="002266FE">
        <w:t xml:space="preserve">fixed </w:t>
      </w:r>
      <w:r w:rsidR="00ED79D3">
        <w:t>with some further discussion and possible fine-tuning.</w:t>
      </w:r>
      <w:r w:rsidR="00483C91">
        <w:t xml:space="preserve"> </w:t>
      </w:r>
      <w:proofErr w:type="gramStart"/>
      <w:r w:rsidR="00ED79D3">
        <w:t>This being said</w:t>
      </w:r>
      <w:r w:rsidR="00483C91">
        <w:t>, the</w:t>
      </w:r>
      <w:proofErr w:type="gramEnd"/>
      <w:r w:rsidR="009578A2">
        <w:t xml:space="preserve"> long-standing</w:t>
      </w:r>
      <w:r w:rsidR="00483C91">
        <w:t xml:space="preserve"> fundamental</w:t>
      </w:r>
      <w:r w:rsidR="00470360" w:rsidRPr="00470360">
        <w:t xml:space="preserve"> issue </w:t>
      </w:r>
      <w:r w:rsidR="00483C91">
        <w:t xml:space="preserve">of whether </w:t>
      </w:r>
      <w:r w:rsidR="00470360" w:rsidRPr="00470360">
        <w:t>Category 1 should be spli</w:t>
      </w:r>
      <w:r w:rsidR="00483C91">
        <w:t xml:space="preserve">t into </w:t>
      </w:r>
      <w:r w:rsidR="009578A2">
        <w:t>two s</w:t>
      </w:r>
      <w:r w:rsidR="00483C91">
        <w:t xml:space="preserve">ub-categories </w:t>
      </w:r>
      <w:r w:rsidR="009578A2">
        <w:t>(</w:t>
      </w:r>
      <w:r w:rsidR="00483C91">
        <w:t>1A and 1B</w:t>
      </w:r>
      <w:r w:rsidR="009578A2">
        <w:t>)</w:t>
      </w:r>
      <w:r w:rsidR="00483C91">
        <w:t xml:space="preserve"> is</w:t>
      </w:r>
      <w:r w:rsidR="001A0DE5">
        <w:t xml:space="preserve"> </w:t>
      </w:r>
      <w:r w:rsidR="00483C91">
        <w:t xml:space="preserve">still pending (see </w:t>
      </w:r>
      <w:r w:rsidR="00ED79D3">
        <w:t>paragraph</w:t>
      </w:r>
      <w:r w:rsidR="00621B5B">
        <w:t>s</w:t>
      </w:r>
      <w:r w:rsidR="00ED79D3">
        <w:t xml:space="preserve"> </w:t>
      </w:r>
      <w:r w:rsidR="00621B5B">
        <w:t>13-14</w:t>
      </w:r>
      <w:r w:rsidR="00ED79D3">
        <w:t xml:space="preserve"> </w:t>
      </w:r>
      <w:r w:rsidR="00483C91">
        <w:t>below).</w:t>
      </w:r>
    </w:p>
    <w:p w14:paraId="59F78B47" w14:textId="2526B587" w:rsidR="00470360" w:rsidRPr="00470360" w:rsidRDefault="00A81AE9" w:rsidP="007F7940">
      <w:pPr>
        <w:pStyle w:val="HChG"/>
      </w:pPr>
      <w:r>
        <w:tab/>
      </w:r>
      <w:r>
        <w:tab/>
      </w:r>
      <w:r w:rsidR="00470360" w:rsidRPr="00470360">
        <w:t>Proposal</w:t>
      </w:r>
    </w:p>
    <w:p w14:paraId="63F86FFF" w14:textId="4F59A5A0" w:rsidR="00A81AE9" w:rsidRDefault="00900D57" w:rsidP="00A81AE9">
      <w:pPr>
        <w:pStyle w:val="SingleTxtG"/>
      </w:pPr>
      <w:r>
        <w:t>11</w:t>
      </w:r>
      <w:r w:rsidR="007F7940">
        <w:t>.</w:t>
      </w:r>
      <w:r w:rsidR="007F7940">
        <w:tab/>
        <w:t>In a</w:t>
      </w:r>
      <w:r w:rsidR="00470360" w:rsidRPr="00470360">
        <w:t>nnex</w:t>
      </w:r>
      <w:r w:rsidR="007F7940">
        <w:t>es</w:t>
      </w:r>
      <w:r w:rsidR="00470360" w:rsidRPr="00470360">
        <w:t xml:space="preserve"> 1 and 2 to this </w:t>
      </w:r>
      <w:r w:rsidR="007F7940">
        <w:t>document</w:t>
      </w:r>
      <w:r w:rsidR="00470360" w:rsidRPr="00470360">
        <w:t>, two flowcharts are presented which contain suggested criteria for the categories</w:t>
      </w:r>
      <w:r w:rsidR="00020FED">
        <w:t xml:space="preserve"> (Annex 1)</w:t>
      </w:r>
      <w:r w:rsidR="00470360" w:rsidRPr="00470360">
        <w:t xml:space="preserve"> and </w:t>
      </w:r>
      <w:r w:rsidR="007C494B">
        <w:t xml:space="preserve">the </w:t>
      </w:r>
      <w:r w:rsidR="00470360" w:rsidRPr="00470360">
        <w:t xml:space="preserve">sub-categories </w:t>
      </w:r>
      <w:r w:rsidR="00020FED">
        <w:t xml:space="preserve">(Annex 2) </w:t>
      </w:r>
      <w:r w:rsidR="00470360" w:rsidRPr="00470360">
        <w:t>of the amended classification system.</w:t>
      </w:r>
      <w:r w:rsidR="001A0DE5">
        <w:t xml:space="preserve"> The flowchart of Annex 1 is</w:t>
      </w:r>
      <w:r w:rsidR="00B171B8">
        <w:t xml:space="preserve"> </w:t>
      </w:r>
      <w:r w:rsidR="00AC30E3">
        <w:t xml:space="preserve">based on </w:t>
      </w:r>
      <w:r w:rsidR="00B171B8">
        <w:t xml:space="preserve">the </w:t>
      </w:r>
      <w:r w:rsidR="001A0DE5">
        <w:t xml:space="preserve">tentatively agreed </w:t>
      </w:r>
      <w:r w:rsidR="00B171B8">
        <w:t xml:space="preserve">criteria </w:t>
      </w:r>
      <w:r w:rsidR="00F8671D">
        <w:t>in</w:t>
      </w:r>
      <w:r w:rsidR="00B171B8">
        <w:t xml:space="preserve"> November 2017.</w:t>
      </w:r>
      <w:r w:rsidR="00B77788">
        <w:rPr>
          <w:rStyle w:val="FootnoteReference"/>
        </w:rPr>
        <w:footnoteReference w:customMarkFollows="1" w:id="14"/>
        <w:t>12</w:t>
      </w:r>
      <w:r w:rsidR="00B171B8">
        <w:t xml:space="preserve"> The flowchart of Annex 2 contains the criteria which were agreed at the joint meeting of the ICG and EWG in June 2018, which were stated</w:t>
      </w:r>
      <w:r w:rsidR="00D72400">
        <w:t xml:space="preserve"> in the report</w:t>
      </w:r>
      <w:r w:rsidR="00B171B8">
        <w:t xml:space="preserve"> to need some</w:t>
      </w:r>
      <w:r w:rsidR="001A0DE5">
        <w:t xml:space="preserve"> further clarification</w:t>
      </w:r>
      <w:r w:rsidR="00B171B8">
        <w:t>.</w:t>
      </w:r>
      <w:r w:rsidR="00B77788">
        <w:rPr>
          <w:rStyle w:val="FootnoteReference"/>
        </w:rPr>
        <w:footnoteReference w:customMarkFollows="1" w:id="15"/>
        <w:t>13</w:t>
      </w:r>
      <w:r w:rsidR="005056A4">
        <w:t xml:space="preserve"> The flowchart form of representing the criteria is chosen herein for clarity and does not mean that this is necessarily the form </w:t>
      </w:r>
      <w:r w:rsidR="0030134A">
        <w:t xml:space="preserve">to be </w:t>
      </w:r>
      <w:r w:rsidR="005056A4">
        <w:t>used in a future new Chapter 2.1 of the GHS.</w:t>
      </w:r>
    </w:p>
    <w:p w14:paraId="08A6FC69" w14:textId="561407EC" w:rsidR="00470360" w:rsidRPr="00470360" w:rsidRDefault="00621B5B" w:rsidP="00A81AE9">
      <w:pPr>
        <w:pStyle w:val="SingleTxtG"/>
      </w:pPr>
      <w:r>
        <w:t>12</w:t>
      </w:r>
      <w:r w:rsidR="00B171B8">
        <w:t>.</w:t>
      </w:r>
      <w:r w:rsidR="00B171B8">
        <w:tab/>
      </w:r>
      <w:r w:rsidR="00470360" w:rsidRPr="00470360">
        <w:t>It is proposed that the</w:t>
      </w:r>
      <w:r w:rsidR="009936CA">
        <w:t xml:space="preserve"> criteria</w:t>
      </w:r>
      <w:r w:rsidR="00470360" w:rsidRPr="00470360">
        <w:t xml:space="preserve"> be further discussed by the ICG and the EWG in December 2018, for possible </w:t>
      </w:r>
      <w:r w:rsidR="007C494B">
        <w:t xml:space="preserve">agreement and </w:t>
      </w:r>
      <w:r w:rsidR="00470360" w:rsidRPr="00470360">
        <w:t xml:space="preserve">subsequent adoption by the SCEGHS. It is expected that discussions will continue within the ICG </w:t>
      </w:r>
      <w:r w:rsidR="0004617D">
        <w:t xml:space="preserve">through correspondence </w:t>
      </w:r>
      <w:r w:rsidR="00470360" w:rsidRPr="00470360">
        <w:t>also befor</w:t>
      </w:r>
      <w:r w:rsidR="00F8671D">
        <w:t>e the December sessions of the sub-c</w:t>
      </w:r>
      <w:r w:rsidR="00470360" w:rsidRPr="00470360">
        <w:t>ommittees, and</w:t>
      </w:r>
      <w:r w:rsidR="0004617D">
        <w:t xml:space="preserve"> that</w:t>
      </w:r>
      <w:r w:rsidR="00470360" w:rsidRPr="00470360">
        <w:t xml:space="preserve"> further </w:t>
      </w:r>
      <w:r w:rsidR="00F8671D">
        <w:t>documents</w:t>
      </w:r>
      <w:r w:rsidR="00470360" w:rsidRPr="00470360">
        <w:t xml:space="preserve"> </w:t>
      </w:r>
      <w:r w:rsidR="0004617D">
        <w:t xml:space="preserve">will </w:t>
      </w:r>
      <w:r w:rsidR="00B171B8">
        <w:t xml:space="preserve">be put forward </w:t>
      </w:r>
      <w:r w:rsidR="00202DC3">
        <w:t xml:space="preserve">on the subject </w:t>
      </w:r>
      <w:proofErr w:type="gramStart"/>
      <w:r w:rsidR="00202DC3">
        <w:t xml:space="preserve">in particular </w:t>
      </w:r>
      <w:r w:rsidR="00B171B8">
        <w:t>reg</w:t>
      </w:r>
      <w:r w:rsidR="00202DC3">
        <w:t>arding</w:t>
      </w:r>
      <w:proofErr w:type="gramEnd"/>
      <w:r w:rsidR="00B171B8">
        <w:t xml:space="preserve"> further specification of the criteria for </w:t>
      </w:r>
      <w:r w:rsidR="009F620E">
        <w:t>the sub</w:t>
      </w:r>
      <w:r w:rsidR="00B171B8">
        <w:t xml:space="preserve">-categories </w:t>
      </w:r>
      <w:r w:rsidR="009F620E">
        <w:t>within Category 2</w:t>
      </w:r>
      <w:r w:rsidR="00202DC3">
        <w:t xml:space="preserve"> and regarding examples of products and their resulting classifications.</w:t>
      </w:r>
      <w:r w:rsidR="00B77788">
        <w:rPr>
          <w:rStyle w:val="FootnoteReference"/>
        </w:rPr>
        <w:footnoteReference w:customMarkFollows="1" w:id="16"/>
        <w:t>14</w:t>
      </w:r>
    </w:p>
    <w:p w14:paraId="092E04EA" w14:textId="0D625605" w:rsidR="00470360" w:rsidRPr="00470360" w:rsidRDefault="00A81AE9" w:rsidP="00185157">
      <w:pPr>
        <w:pStyle w:val="HChG"/>
      </w:pPr>
      <w:r>
        <w:tab/>
      </w:r>
      <w:r>
        <w:tab/>
      </w:r>
      <w:r w:rsidR="00470360" w:rsidRPr="00470360">
        <w:t>Additional option</w:t>
      </w:r>
      <w:r w:rsidR="008F5026">
        <w:t xml:space="preserve"> for Category 1</w:t>
      </w:r>
    </w:p>
    <w:p w14:paraId="49C1D5F5" w14:textId="1153A515" w:rsidR="0004617D" w:rsidRDefault="00900D57" w:rsidP="00A81AE9">
      <w:pPr>
        <w:pStyle w:val="SingleTxtG"/>
      </w:pPr>
      <w:r>
        <w:t>1</w:t>
      </w:r>
      <w:r w:rsidR="00621B5B">
        <w:t>3</w:t>
      </w:r>
      <w:r w:rsidR="00470360" w:rsidRPr="00470360">
        <w:t>.</w:t>
      </w:r>
      <w:r w:rsidR="00470360" w:rsidRPr="00470360">
        <w:tab/>
      </w:r>
      <w:r w:rsidR="0053629F">
        <w:t>Some</w:t>
      </w:r>
      <w:r w:rsidR="00F8671D">
        <w:t xml:space="preserve"> ICG </w:t>
      </w:r>
      <w:r w:rsidR="005C2C8B">
        <w:t>members are of the opinion</w:t>
      </w:r>
      <w:r w:rsidR="00470360" w:rsidRPr="00470360">
        <w:t xml:space="preserve"> that Category 1 should be split into two sub-categories (1A and 1B)</w:t>
      </w:r>
      <w:r w:rsidR="000E25D3">
        <w:t xml:space="preserve">, </w:t>
      </w:r>
      <w:r w:rsidR="00F8671D">
        <w:t>where s</w:t>
      </w:r>
      <w:r w:rsidR="000E25D3" w:rsidRPr="00470360">
        <w:t xml:space="preserve">ub-category 1A </w:t>
      </w:r>
      <w:r w:rsidR="006571E2">
        <w:t xml:space="preserve">would </w:t>
      </w:r>
      <w:r w:rsidR="000E25D3" w:rsidRPr="00470360">
        <w:t>correspond to the current classification “Unstable explosives”</w:t>
      </w:r>
      <w:r w:rsidR="009578A2">
        <w:t>,</w:t>
      </w:r>
      <w:r w:rsidR="000E25D3">
        <w:t xml:space="preserve"> which are explosives that are mechanically sensitive or thermally unstable.</w:t>
      </w:r>
      <w:r w:rsidR="00B77788">
        <w:rPr>
          <w:rStyle w:val="FootnoteReference"/>
        </w:rPr>
        <w:footnoteReference w:customMarkFollows="1" w:id="17"/>
        <w:t>15</w:t>
      </w:r>
      <w:r w:rsidR="0004617D">
        <w:t xml:space="preserve"> </w:t>
      </w:r>
      <w:r w:rsidR="000E25D3">
        <w:t>In this way it would be possible to assign separate hazard communication elements to these explosives</w:t>
      </w:r>
      <w:r w:rsidR="00E3622F">
        <w:t>, so that those handling them are informed</w:t>
      </w:r>
      <w:r w:rsidR="000E25D3">
        <w:t>.</w:t>
      </w:r>
      <w:r w:rsidR="00B77788">
        <w:rPr>
          <w:rStyle w:val="FootnoteReference"/>
        </w:rPr>
        <w:footnoteReference w:customMarkFollows="1" w:id="18"/>
        <w:t>16</w:t>
      </w:r>
    </w:p>
    <w:p w14:paraId="001FC9AF" w14:textId="77777777" w:rsidR="00BB2778" w:rsidRDefault="00BB2778" w:rsidP="00470360">
      <w:pPr>
        <w:ind w:left="1134" w:right="283"/>
      </w:pPr>
    </w:p>
    <w:tbl>
      <w:tblPr>
        <w:tblStyle w:val="TableGrid"/>
        <w:tblW w:w="0" w:type="auto"/>
        <w:tblInd w:w="1129" w:type="dxa"/>
        <w:tblLook w:val="04A0" w:firstRow="1" w:lastRow="0" w:firstColumn="1" w:lastColumn="0" w:noHBand="0" w:noVBand="1"/>
      </w:tblPr>
      <w:tblGrid>
        <w:gridCol w:w="1408"/>
        <w:gridCol w:w="1134"/>
        <w:gridCol w:w="1134"/>
        <w:gridCol w:w="1559"/>
        <w:gridCol w:w="1701"/>
        <w:gridCol w:w="1544"/>
      </w:tblGrid>
      <w:tr w:rsidR="00BB2778" w:rsidRPr="007A5835" w14:paraId="0350FC74" w14:textId="77777777" w:rsidTr="00404FEA">
        <w:trPr>
          <w:trHeight w:val="329"/>
        </w:trPr>
        <w:tc>
          <w:tcPr>
            <w:tcW w:w="1408" w:type="dxa"/>
            <w:tcBorders>
              <w:left w:val="single" w:sz="12" w:space="0" w:color="auto"/>
              <w:right w:val="single" w:sz="12" w:space="0" w:color="auto"/>
            </w:tcBorders>
            <w:vAlign w:val="center"/>
          </w:tcPr>
          <w:p w14:paraId="6E459D15" w14:textId="77777777" w:rsidR="00BB2778" w:rsidRPr="007A5835" w:rsidRDefault="00BB2778" w:rsidP="002C3856">
            <w:pPr>
              <w:ind w:left="126"/>
              <w:rPr>
                <w:b/>
              </w:rPr>
            </w:pPr>
            <w:r>
              <w:rPr>
                <w:b/>
              </w:rPr>
              <w:t>Category</w:t>
            </w:r>
          </w:p>
        </w:tc>
        <w:tc>
          <w:tcPr>
            <w:tcW w:w="2268" w:type="dxa"/>
            <w:gridSpan w:val="2"/>
            <w:tcBorders>
              <w:left w:val="single" w:sz="12" w:space="0" w:color="auto"/>
              <w:right w:val="single" w:sz="12" w:space="0" w:color="auto"/>
            </w:tcBorders>
            <w:vAlign w:val="center"/>
          </w:tcPr>
          <w:p w14:paraId="1E27E69E" w14:textId="16723BC7" w:rsidR="00BB2778" w:rsidRPr="007B2452" w:rsidRDefault="00BB2778" w:rsidP="002C3856">
            <w:pPr>
              <w:jc w:val="center"/>
              <w:rPr>
                <w:b/>
              </w:rPr>
            </w:pPr>
            <w:r>
              <w:rPr>
                <w:b/>
              </w:rPr>
              <w:t>1</w:t>
            </w:r>
          </w:p>
        </w:tc>
        <w:tc>
          <w:tcPr>
            <w:tcW w:w="4804" w:type="dxa"/>
            <w:gridSpan w:val="3"/>
            <w:tcBorders>
              <w:left w:val="single" w:sz="12" w:space="0" w:color="auto"/>
              <w:right w:val="single" w:sz="12" w:space="0" w:color="auto"/>
            </w:tcBorders>
            <w:vAlign w:val="center"/>
          </w:tcPr>
          <w:p w14:paraId="6E425F5A" w14:textId="609062B7" w:rsidR="00BB2778" w:rsidRPr="007B2452" w:rsidRDefault="00BB2778" w:rsidP="002C3856">
            <w:pPr>
              <w:jc w:val="center"/>
              <w:rPr>
                <w:b/>
              </w:rPr>
            </w:pPr>
            <w:r w:rsidRPr="007B2452">
              <w:rPr>
                <w:b/>
              </w:rPr>
              <w:t>2</w:t>
            </w:r>
          </w:p>
        </w:tc>
      </w:tr>
      <w:tr w:rsidR="00BB2778" w:rsidRPr="007A5835" w14:paraId="4202D8FF" w14:textId="77777777" w:rsidTr="00404FEA">
        <w:trPr>
          <w:trHeight w:val="362"/>
        </w:trPr>
        <w:tc>
          <w:tcPr>
            <w:tcW w:w="1408" w:type="dxa"/>
            <w:tcBorders>
              <w:left w:val="single" w:sz="12" w:space="0" w:color="auto"/>
              <w:right w:val="single" w:sz="12" w:space="0" w:color="auto"/>
            </w:tcBorders>
            <w:vAlign w:val="center"/>
          </w:tcPr>
          <w:p w14:paraId="54F1B240" w14:textId="21409680" w:rsidR="00BB2778" w:rsidRPr="007A5835" w:rsidRDefault="00A377DB" w:rsidP="002C3856">
            <w:pPr>
              <w:ind w:left="126"/>
              <w:rPr>
                <w:b/>
              </w:rPr>
            </w:pPr>
            <w:r>
              <w:rPr>
                <w:b/>
              </w:rPr>
              <w:t>Division</w:t>
            </w:r>
          </w:p>
        </w:tc>
        <w:tc>
          <w:tcPr>
            <w:tcW w:w="2268" w:type="dxa"/>
            <w:gridSpan w:val="2"/>
            <w:tcBorders>
              <w:left w:val="single" w:sz="12" w:space="0" w:color="auto"/>
              <w:right w:val="single" w:sz="12" w:space="0" w:color="auto"/>
            </w:tcBorders>
            <w:vAlign w:val="center"/>
          </w:tcPr>
          <w:p w14:paraId="1A08F613" w14:textId="709C3F21" w:rsidR="00BB2778" w:rsidRPr="007A5835" w:rsidRDefault="00BB2778" w:rsidP="002C3856">
            <w:pPr>
              <w:jc w:val="center"/>
            </w:pPr>
            <w:r w:rsidRPr="007B2452">
              <w:rPr>
                <w:i/>
              </w:rPr>
              <w:t>not applicable</w:t>
            </w:r>
          </w:p>
        </w:tc>
        <w:tc>
          <w:tcPr>
            <w:tcW w:w="4804" w:type="dxa"/>
            <w:gridSpan w:val="3"/>
            <w:tcBorders>
              <w:left w:val="single" w:sz="12" w:space="0" w:color="auto"/>
              <w:right w:val="single" w:sz="12" w:space="0" w:color="auto"/>
            </w:tcBorders>
            <w:vAlign w:val="center"/>
          </w:tcPr>
          <w:p w14:paraId="37D002A9" w14:textId="7BC6F098" w:rsidR="00BB2778" w:rsidRPr="007A5835" w:rsidRDefault="00BB2778" w:rsidP="002C3856">
            <w:pPr>
              <w:jc w:val="center"/>
            </w:pPr>
            <w:r w:rsidRPr="007A5835">
              <w:t>1.1, 1.2, 1.3, 1.4, 1.5 and 1.6</w:t>
            </w:r>
          </w:p>
        </w:tc>
      </w:tr>
      <w:tr w:rsidR="00BB2778" w:rsidRPr="007A5835" w14:paraId="5132BC31" w14:textId="77777777" w:rsidTr="00404FEA">
        <w:trPr>
          <w:trHeight w:val="393"/>
        </w:trPr>
        <w:tc>
          <w:tcPr>
            <w:tcW w:w="1408" w:type="dxa"/>
            <w:tcBorders>
              <w:left w:val="single" w:sz="12" w:space="0" w:color="auto"/>
              <w:right w:val="single" w:sz="12" w:space="0" w:color="auto"/>
            </w:tcBorders>
            <w:vAlign w:val="center"/>
          </w:tcPr>
          <w:p w14:paraId="024B930B" w14:textId="77777777" w:rsidR="00BB2778" w:rsidRPr="007A5835" w:rsidRDefault="00BB2778" w:rsidP="002C3856">
            <w:pPr>
              <w:ind w:left="126"/>
              <w:rPr>
                <w:b/>
              </w:rPr>
            </w:pPr>
            <w:r w:rsidRPr="007A5835">
              <w:rPr>
                <w:b/>
              </w:rPr>
              <w:t>Sub-category</w:t>
            </w:r>
          </w:p>
        </w:tc>
        <w:tc>
          <w:tcPr>
            <w:tcW w:w="1134" w:type="dxa"/>
            <w:tcBorders>
              <w:left w:val="single" w:sz="12" w:space="0" w:color="auto"/>
              <w:right w:val="single" w:sz="4" w:space="0" w:color="auto"/>
            </w:tcBorders>
            <w:vAlign w:val="center"/>
          </w:tcPr>
          <w:p w14:paraId="2854CFC2" w14:textId="284F88E2" w:rsidR="00BB2778" w:rsidRPr="00BB2778" w:rsidRDefault="00BB2778" w:rsidP="002C3856">
            <w:pPr>
              <w:jc w:val="center"/>
            </w:pPr>
            <w:r w:rsidRPr="00BB2778">
              <w:t>1A</w:t>
            </w:r>
          </w:p>
        </w:tc>
        <w:tc>
          <w:tcPr>
            <w:tcW w:w="1134" w:type="dxa"/>
            <w:tcBorders>
              <w:left w:val="single" w:sz="4" w:space="0" w:color="auto"/>
              <w:right w:val="single" w:sz="12" w:space="0" w:color="auto"/>
            </w:tcBorders>
            <w:vAlign w:val="center"/>
          </w:tcPr>
          <w:p w14:paraId="5A2CFA82" w14:textId="6AF0CF09" w:rsidR="00BB2778" w:rsidRPr="007A5835" w:rsidRDefault="00BB2778" w:rsidP="00BB2778">
            <w:pPr>
              <w:jc w:val="center"/>
            </w:pPr>
            <w:r>
              <w:t>1B</w:t>
            </w:r>
          </w:p>
        </w:tc>
        <w:tc>
          <w:tcPr>
            <w:tcW w:w="1559" w:type="dxa"/>
            <w:tcBorders>
              <w:left w:val="single" w:sz="12" w:space="0" w:color="auto"/>
            </w:tcBorders>
            <w:vAlign w:val="center"/>
          </w:tcPr>
          <w:p w14:paraId="58B3193F" w14:textId="64D4FE4F" w:rsidR="00BB2778" w:rsidRPr="007A5835" w:rsidRDefault="00BB2778" w:rsidP="002C3856">
            <w:pPr>
              <w:jc w:val="center"/>
            </w:pPr>
            <w:r w:rsidRPr="007A5835">
              <w:t>2A</w:t>
            </w:r>
          </w:p>
        </w:tc>
        <w:tc>
          <w:tcPr>
            <w:tcW w:w="1701" w:type="dxa"/>
            <w:vAlign w:val="center"/>
          </w:tcPr>
          <w:p w14:paraId="69DC7993" w14:textId="77777777" w:rsidR="00BB2778" w:rsidRPr="007A5835" w:rsidRDefault="00BB2778" w:rsidP="002C3856">
            <w:pPr>
              <w:jc w:val="center"/>
            </w:pPr>
            <w:r w:rsidRPr="007A5835">
              <w:t>2B</w:t>
            </w:r>
          </w:p>
        </w:tc>
        <w:tc>
          <w:tcPr>
            <w:tcW w:w="1544" w:type="dxa"/>
            <w:tcBorders>
              <w:right w:val="single" w:sz="12" w:space="0" w:color="auto"/>
            </w:tcBorders>
            <w:vAlign w:val="center"/>
          </w:tcPr>
          <w:p w14:paraId="4A30E7A0" w14:textId="77777777" w:rsidR="00BB2778" w:rsidRPr="007A5835" w:rsidRDefault="00BB2778" w:rsidP="002C3856">
            <w:pPr>
              <w:jc w:val="center"/>
            </w:pPr>
            <w:r w:rsidRPr="007A5835">
              <w:t>2C</w:t>
            </w:r>
          </w:p>
        </w:tc>
      </w:tr>
    </w:tbl>
    <w:p w14:paraId="2C12F4C9" w14:textId="6AC489DA" w:rsidR="00BB2778" w:rsidRDefault="00BB2778" w:rsidP="00BB2778">
      <w:pPr>
        <w:ind w:right="283"/>
      </w:pPr>
    </w:p>
    <w:p w14:paraId="09BFFFFB" w14:textId="629C970F" w:rsidR="00726335" w:rsidRDefault="00621B5B" w:rsidP="00A81AE9">
      <w:pPr>
        <w:pStyle w:val="SingleTxtG"/>
      </w:pPr>
      <w:r>
        <w:t>14</w:t>
      </w:r>
      <w:r w:rsidR="000D5B8C">
        <w:t>.</w:t>
      </w:r>
      <w:r w:rsidR="000D5B8C">
        <w:tab/>
      </w:r>
      <w:r w:rsidR="0004617D">
        <w:t xml:space="preserve">While </w:t>
      </w:r>
      <w:proofErr w:type="gramStart"/>
      <w:r w:rsidR="009578A2">
        <w:t>the majority of</w:t>
      </w:r>
      <w:proofErr w:type="gramEnd"/>
      <w:r w:rsidR="009578A2">
        <w:t xml:space="preserve"> </w:t>
      </w:r>
      <w:r w:rsidR="0004617D">
        <w:t>ICG-members appear not to see the need for</w:t>
      </w:r>
      <w:r w:rsidR="004E6BE7">
        <w:t xml:space="preserve"> or usefulness of</w:t>
      </w:r>
      <w:r w:rsidR="0004617D">
        <w:t xml:space="preserve"> this split, </w:t>
      </w:r>
      <w:r w:rsidR="00470360" w:rsidRPr="00470360">
        <w:t>Annex 3 of this document contains a flowchart with criteria for this option</w:t>
      </w:r>
      <w:r w:rsidR="0004617D">
        <w:t xml:space="preserve"> in order to </w:t>
      </w:r>
      <w:r w:rsidR="009578A2">
        <w:t>bring</w:t>
      </w:r>
      <w:r w:rsidR="0004617D">
        <w:t xml:space="preserve"> this issue</w:t>
      </w:r>
      <w:r w:rsidR="003808A5">
        <w:t xml:space="preserve"> up on the table for </w:t>
      </w:r>
      <w:r w:rsidR="009578A2">
        <w:t>resolution</w:t>
      </w:r>
      <w:r w:rsidR="0004617D">
        <w:t>. The criteria for Sub-category</w:t>
      </w:r>
      <w:r w:rsidR="00327DB7">
        <w:t xml:space="preserve"> </w:t>
      </w:r>
      <w:r w:rsidR="0004617D">
        <w:t xml:space="preserve">1A </w:t>
      </w:r>
      <w:r w:rsidR="00327DB7">
        <w:t xml:space="preserve">are assumed </w:t>
      </w:r>
      <w:r w:rsidR="00327DB7">
        <w:lastRenderedPageBreak/>
        <w:t>to be straight</w:t>
      </w:r>
      <w:r w:rsidR="004E6BE7">
        <w:t xml:space="preserve"> </w:t>
      </w:r>
      <w:r w:rsidR="00327DB7">
        <w:t>forward and need no in-depth discussion</w:t>
      </w:r>
      <w:r w:rsidR="0004617D">
        <w:t>, as they would simply reflect the current classification “Unstable explosives”</w:t>
      </w:r>
      <w:r w:rsidR="00470360" w:rsidRPr="00470360">
        <w:t>. It is suggested that the ICG discuss and</w:t>
      </w:r>
      <w:r w:rsidR="003105A9">
        <w:t xml:space="preserve"> </w:t>
      </w:r>
      <w:r w:rsidR="00327DB7">
        <w:t>try to</w:t>
      </w:r>
      <w:r w:rsidR="00470360" w:rsidRPr="00470360">
        <w:t xml:space="preserve"> conclude on</w:t>
      </w:r>
      <w:r w:rsidR="00327DB7">
        <w:t xml:space="preserve"> the principle matter of</w:t>
      </w:r>
      <w:r w:rsidR="00470360" w:rsidRPr="00470360">
        <w:t xml:space="preserve"> whether </w:t>
      </w:r>
      <w:r w:rsidR="00397923">
        <w:t>C</w:t>
      </w:r>
      <w:r w:rsidR="00470360" w:rsidRPr="00470360">
        <w:t xml:space="preserve">ategory </w:t>
      </w:r>
      <w:r w:rsidR="00397923">
        <w:t xml:space="preserve">1 </w:t>
      </w:r>
      <w:r w:rsidR="00470360" w:rsidRPr="00470360">
        <w:t>should be split.</w:t>
      </w:r>
    </w:p>
    <w:p w14:paraId="7B821CC8" w14:textId="65823380" w:rsidR="00E40076" w:rsidRPr="00726335" w:rsidRDefault="00A81AE9" w:rsidP="00185157">
      <w:pPr>
        <w:pStyle w:val="HChG"/>
      </w:pPr>
      <w:r>
        <w:tab/>
      </w:r>
      <w:r>
        <w:tab/>
      </w:r>
      <w:r w:rsidR="00E40076">
        <w:t>Comment on re-assessment of classifications</w:t>
      </w:r>
    </w:p>
    <w:p w14:paraId="25C65B60" w14:textId="7D3BB950" w:rsidR="00E74511" w:rsidRPr="00397923" w:rsidRDefault="00011DCE" w:rsidP="00A81AE9">
      <w:pPr>
        <w:pStyle w:val="SingleTxtG"/>
      </w:pPr>
      <w:r>
        <w:t>15</w:t>
      </w:r>
      <w:r w:rsidR="00726335">
        <w:t>.</w:t>
      </w:r>
      <w:r w:rsidR="00726335">
        <w:tab/>
        <w:t>It is recognised that the degree and type of explosion hazard is largely dependent on external (i.e. non-intrinsic) factors such as amount, confinement, configuration, packaging etc. Any change in such factors may result in a changed explosion hazard and hence require a new assessment of the clas</w:t>
      </w:r>
      <w:r w:rsidR="00397923">
        <w:t xml:space="preserve">sification. </w:t>
      </w:r>
      <w:proofErr w:type="gramStart"/>
      <w:r w:rsidR="00397923">
        <w:t>In particular, the</w:t>
      </w:r>
      <w:proofErr w:type="gramEnd"/>
      <w:r w:rsidR="00397923">
        <w:t xml:space="preserve"> d</w:t>
      </w:r>
      <w:r w:rsidR="00F8671D">
        <w:t xml:space="preserve">ivision </w:t>
      </w:r>
      <w:r w:rsidR="00726335">
        <w:t>level of classification is intimately tied to the particular packaging and/or configuration in which the explosive was tested</w:t>
      </w:r>
      <w:r w:rsidR="0048177D">
        <w:t xml:space="preserve"> (usually th</w:t>
      </w:r>
      <w:r w:rsidR="00397923">
        <w:t>at for</w:t>
      </w:r>
      <w:r w:rsidR="0048177D">
        <w:t xml:space="preserve"> transport)</w:t>
      </w:r>
      <w:r w:rsidR="00726335">
        <w:t xml:space="preserve"> and is, in general, not valid when that packaging and/or configuration is broken, changed or removed. It should be considered to emphasize this in a future Chapter 2.1.</w:t>
      </w:r>
    </w:p>
    <w:p w14:paraId="78F0B60D" w14:textId="105AAB51" w:rsidR="00E74511" w:rsidRDefault="00E74511">
      <w:pPr>
        <w:suppressAutoHyphens w:val="0"/>
        <w:spacing w:line="240" w:lineRule="auto"/>
        <w:rPr>
          <w:b/>
        </w:rPr>
      </w:pPr>
      <w:r>
        <w:rPr>
          <w:b/>
        </w:rPr>
        <w:br w:type="page"/>
      </w:r>
    </w:p>
    <w:p w14:paraId="016B0BB6" w14:textId="0F09C68C" w:rsidR="00751D49" w:rsidRPr="00751D49" w:rsidRDefault="00064713" w:rsidP="00185157">
      <w:pPr>
        <w:pStyle w:val="HChG"/>
        <w:spacing w:before="480"/>
      </w:pPr>
      <w:r>
        <w:lastRenderedPageBreak/>
        <w:t>Annex I</w:t>
      </w:r>
    </w:p>
    <w:p w14:paraId="6B9C3B48" w14:textId="7E93AD25" w:rsidR="00751D49" w:rsidRDefault="00A81AE9" w:rsidP="00A81AE9">
      <w:pPr>
        <w:pStyle w:val="H1G"/>
      </w:pPr>
      <w:r>
        <w:tab/>
      </w:r>
      <w:r>
        <w:tab/>
      </w:r>
      <w:r w:rsidR="00751D49" w:rsidRPr="00751D49">
        <w:t xml:space="preserve">Proposed </w:t>
      </w:r>
      <w:r w:rsidR="00C231B7">
        <w:t>criteria</w:t>
      </w:r>
      <w:r w:rsidR="00C231B7" w:rsidRPr="00751D49">
        <w:t xml:space="preserve"> </w:t>
      </w:r>
      <w:r w:rsidR="00751D49" w:rsidRPr="00751D49">
        <w:t>for assigning Categories 1 and 2 in amended</w:t>
      </w:r>
      <w:r w:rsidR="00F8671D">
        <w:t xml:space="preserve"> GHS classification system for e</w:t>
      </w:r>
      <w:r w:rsidR="00751D49" w:rsidRPr="00751D49">
        <w:t>xplosives</w:t>
      </w:r>
    </w:p>
    <w:p w14:paraId="51C81A5A" w14:textId="63E30AC4" w:rsidR="00751D49" w:rsidRPr="00751D49" w:rsidRDefault="007C0D73" w:rsidP="007C0D73">
      <w:pPr>
        <w:pStyle w:val="Body"/>
        <w:jc w:val="center"/>
        <w:rPr>
          <w:rFonts w:ascii="Times New Roman" w:hAnsi="Times New Roman" w:cs="Times New Roman"/>
          <w:b/>
          <w:color w:val="auto"/>
          <w:szCs w:val="20"/>
          <w:lang w:val="en-GB"/>
        </w:rPr>
      </w:pPr>
      <w:r>
        <w:rPr>
          <w:noProof/>
        </w:rPr>
        <w:drawing>
          <wp:inline distT="0" distB="0" distL="0" distR="0" wp14:anchorId="10154FC6" wp14:editId="2539107E">
            <wp:extent cx="4771390" cy="4128448"/>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4039" cy="4191308"/>
                    </a:xfrm>
                    <a:prstGeom prst="rect">
                      <a:avLst/>
                    </a:prstGeom>
                  </pic:spPr>
                </pic:pic>
              </a:graphicData>
            </a:graphic>
          </wp:inline>
        </w:drawing>
      </w:r>
    </w:p>
    <w:p w14:paraId="008C93FC" w14:textId="51BFFF55" w:rsidR="00751D49" w:rsidRDefault="007C0D73" w:rsidP="007C0D73">
      <w:pPr>
        <w:suppressAutoHyphens w:val="0"/>
        <w:spacing w:line="240" w:lineRule="auto"/>
        <w:jc w:val="center"/>
        <w:rPr>
          <w:b/>
        </w:rPr>
      </w:pPr>
      <w:r w:rsidRPr="007C0D73">
        <w:rPr>
          <w:b/>
          <w:noProof/>
          <w:lang w:val="sv-SE" w:eastAsia="sv-SE"/>
        </w:rPr>
        <w:drawing>
          <wp:inline distT="0" distB="0" distL="0" distR="0" wp14:anchorId="465BA748" wp14:editId="47CC6B7E">
            <wp:extent cx="4834754" cy="2894448"/>
            <wp:effectExtent l="0" t="0" r="4445" b="127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4499" cy="2918242"/>
                    </a:xfrm>
                    <a:prstGeom prst="rect">
                      <a:avLst/>
                    </a:prstGeom>
                    <a:noFill/>
                    <a:ln>
                      <a:noFill/>
                    </a:ln>
                  </pic:spPr>
                </pic:pic>
              </a:graphicData>
            </a:graphic>
          </wp:inline>
        </w:drawing>
      </w:r>
    </w:p>
    <w:p w14:paraId="37658A4C" w14:textId="5204015E" w:rsidR="00DB4289" w:rsidRDefault="00A81AE9" w:rsidP="00185157">
      <w:pPr>
        <w:pStyle w:val="HChG"/>
      </w:pPr>
      <w:r>
        <w:lastRenderedPageBreak/>
        <w:tab/>
      </w:r>
      <w:r>
        <w:tab/>
      </w:r>
      <w:r w:rsidR="00751D49" w:rsidRPr="00CE3735">
        <w:t>C</w:t>
      </w:r>
      <w:r w:rsidR="00B21574">
        <w:t>omments</w:t>
      </w:r>
      <w:r w:rsidR="00064713">
        <w:t xml:space="preserve"> to the flowchart of Annex I</w:t>
      </w:r>
      <w:bookmarkStart w:id="0" w:name="_GoBack"/>
      <w:bookmarkEnd w:id="0"/>
    </w:p>
    <w:p w14:paraId="4C235219" w14:textId="10442900" w:rsidR="00A81AE9" w:rsidRPr="00A81AE9" w:rsidRDefault="00932735" w:rsidP="00A81AE9">
      <w:pPr>
        <w:pStyle w:val="Bullet1G"/>
        <w:rPr>
          <w:b/>
        </w:rPr>
      </w:pPr>
      <w:r w:rsidRPr="00A81AE9">
        <w:rPr>
          <w:b/>
        </w:rPr>
        <w:t>Box 2 and 9:</w:t>
      </w:r>
      <w:r w:rsidRPr="00064954">
        <w:t xml:space="preserve"> </w:t>
      </w:r>
      <w:r w:rsidR="00F8671D">
        <w:t>ANE</w:t>
      </w:r>
      <w:r>
        <w:t xml:space="preserve">s are ammonium </w:t>
      </w:r>
      <w:proofErr w:type="gramStart"/>
      <w:r>
        <w:t>nitrate based</w:t>
      </w:r>
      <w:proofErr w:type="gramEnd"/>
      <w:r>
        <w:t xml:space="preserve"> emulsions, suspensions and gels that are intermediates for blasting </w:t>
      </w:r>
      <w:r w:rsidR="000353A6">
        <w:t>explosives</w:t>
      </w:r>
      <w:r>
        <w:t>. Tests 8(a), (b) and (c) are currently used in the GHS (and in transport) to determine whether candidates for ANE are insensitive enough for e</w:t>
      </w:r>
      <w:r w:rsidR="00F8671D">
        <w:t>xclusion from the hazard class e</w:t>
      </w:r>
      <w:r>
        <w:t>xplosives (Class 1 for transport). The tests, which</w:t>
      </w:r>
      <w:r w:rsidRPr="00064954">
        <w:t xml:space="preserve"> </w:t>
      </w:r>
      <w:r>
        <w:t xml:space="preserve">are specific for candidates for ANE, are found in Part I, Section 18, of the Manual of Tests and Criteria. If all three tests are negative the product </w:t>
      </w:r>
      <w:r w:rsidR="00F8671D">
        <w:t>is an ANE and classified as an oxidizing solid or o</w:t>
      </w:r>
      <w:r>
        <w:t>xidizing liquid (Class 5, Division 5.1 for transport)</w:t>
      </w:r>
    </w:p>
    <w:p w14:paraId="61F59BBB" w14:textId="07653EBF" w:rsidR="00932735" w:rsidRPr="00A81AE9" w:rsidRDefault="00932735" w:rsidP="00A81AE9">
      <w:pPr>
        <w:pStyle w:val="Bullet1G"/>
        <w:rPr>
          <w:b/>
        </w:rPr>
      </w:pPr>
      <w:r w:rsidRPr="00A81AE9">
        <w:rPr>
          <w:b/>
        </w:rPr>
        <w:t>Box 3:</w:t>
      </w:r>
      <w:r w:rsidR="00061F79" w:rsidRPr="00061F79">
        <w:t xml:space="preserve"> De</w:t>
      </w:r>
      <w:r w:rsidR="00061F79">
        <w:t xml:space="preserve">sensitized explosives are explosives that have been wetted, diluted, dissolved or suspended to supress the explosive properties, and have a dedicated GHS hazard class (Chapter 2.17). They are currently exempted from </w:t>
      </w:r>
      <w:r w:rsidR="007551DC">
        <w:t xml:space="preserve">classification as Explosives </w:t>
      </w:r>
      <w:proofErr w:type="gramStart"/>
      <w:r w:rsidR="00061F79">
        <w:t>by virtue of</w:t>
      </w:r>
      <w:proofErr w:type="gramEnd"/>
      <w:r w:rsidR="00061F79">
        <w:t xml:space="preserve"> NOTE 2 in Section 2.1.2.2</w:t>
      </w:r>
      <w:r w:rsidR="007551DC">
        <w:t xml:space="preserve"> of </w:t>
      </w:r>
      <w:r w:rsidR="007F0775">
        <w:t>Chapter 2.1</w:t>
      </w:r>
      <w:r w:rsidR="00061F79">
        <w:t>.</w:t>
      </w:r>
    </w:p>
    <w:p w14:paraId="75E1C3FE" w14:textId="16A844CC" w:rsidR="00B95730" w:rsidRDefault="00DB4289" w:rsidP="00A81AE9">
      <w:pPr>
        <w:pStyle w:val="Bullet1G"/>
      </w:pPr>
      <w:r w:rsidRPr="00726335">
        <w:rPr>
          <w:b/>
        </w:rPr>
        <w:t>Box 5:</w:t>
      </w:r>
      <w:r w:rsidR="00F8671D">
        <w:t xml:space="preserve"> The GHS hazard classes s</w:t>
      </w:r>
      <w:r>
        <w:t xml:space="preserve">elf-reactive substances and mixtures (Chapter 2.8) and Organic peroxides (Chapter 2.15) include the possibility that the substance/mixture is explosive (Types A and B). They are therefore not </w:t>
      </w:r>
      <w:r w:rsidR="00F8671D">
        <w:t xml:space="preserve">considered in the hazard class </w:t>
      </w:r>
      <w:proofErr w:type="gramStart"/>
      <w:r w:rsidR="00F8671D">
        <w:t>e</w:t>
      </w:r>
      <w:r>
        <w:t>xplosives, unless</w:t>
      </w:r>
      <w:proofErr w:type="gramEnd"/>
      <w:r>
        <w:t xml:space="preserve"> the explosive effect is intentional (which in practice is </w:t>
      </w:r>
      <w:r w:rsidR="00035994">
        <w:t>not</w:t>
      </w:r>
      <w:r>
        <w:t xml:space="preserve"> the case).</w:t>
      </w:r>
      <w:r w:rsidR="00D3070D">
        <w:t xml:space="preserve"> </w:t>
      </w:r>
      <w:r w:rsidR="0053629F">
        <w:t>Some</w:t>
      </w:r>
      <w:r w:rsidR="00D854D0">
        <w:t xml:space="preserve"> experts</w:t>
      </w:r>
      <w:r w:rsidR="00D3070D">
        <w:t xml:space="preserve"> are of the view that this box should be moved </w:t>
      </w:r>
      <w:r w:rsidR="00870103">
        <w:t>upwards</w:t>
      </w:r>
      <w:r w:rsidR="00D3070D">
        <w:t>.</w:t>
      </w:r>
    </w:p>
    <w:p w14:paraId="0C8ED10A" w14:textId="623103EB" w:rsidR="00751D49" w:rsidRDefault="00751D49" w:rsidP="00A81AE9">
      <w:pPr>
        <w:pStyle w:val="Bullet1G"/>
      </w:pPr>
      <w:r w:rsidRPr="00726335">
        <w:rPr>
          <w:b/>
        </w:rPr>
        <w:t>Box 6 and 7:</w:t>
      </w:r>
      <w:r>
        <w:t xml:space="preserve"> Test series 2 currently determines whether a substance or mixture </w:t>
      </w:r>
      <w:r w:rsidR="008B52A9">
        <w:t xml:space="preserve">that is not intended to be explosive/pyrotechnic </w:t>
      </w:r>
      <w:r>
        <w:t xml:space="preserve">is sensitive enough for </w:t>
      </w:r>
      <w:r w:rsidR="008B52A9">
        <w:t xml:space="preserve">provisional </w:t>
      </w:r>
      <w:r>
        <w:t xml:space="preserve">inclusion in the hazard class Explosives in the GHS (and for </w:t>
      </w:r>
      <w:r w:rsidR="008B52A9">
        <w:t xml:space="preserve">provisional </w:t>
      </w:r>
      <w:r>
        <w:t>inclusion in Class 1 for transport).</w:t>
      </w:r>
      <w:r w:rsidR="00AA681B">
        <w:t xml:space="preserve"> Before doing these </w:t>
      </w:r>
      <w:proofErr w:type="gramStart"/>
      <w:r w:rsidR="00AA681B">
        <w:t>tests</w:t>
      </w:r>
      <w:proofErr w:type="gramEnd"/>
      <w:r w:rsidR="00AA681B">
        <w:t xml:space="preserve"> the </w:t>
      </w:r>
      <w:r w:rsidR="00F8671D">
        <w:t>screening methods contained in s</w:t>
      </w:r>
      <w:r w:rsidR="00AA681B">
        <w:t xml:space="preserve">ub-section 2.1.4.2 of GHS Chapter 2.1 </w:t>
      </w:r>
      <w:r w:rsidR="00893D6F">
        <w:t>can be applied, which avoids unn</w:t>
      </w:r>
      <w:r w:rsidR="00AA681B">
        <w:t>ecessary testing, and it is intended that these are retained.</w:t>
      </w:r>
    </w:p>
    <w:p w14:paraId="0C6B4754" w14:textId="48F492BD" w:rsidR="00A81AE9" w:rsidRDefault="00751D49" w:rsidP="00A81AE9">
      <w:pPr>
        <w:pStyle w:val="Bullet1G"/>
      </w:pPr>
      <w:r w:rsidRPr="00726335">
        <w:rPr>
          <w:b/>
        </w:rPr>
        <w:t>Box 7:</w:t>
      </w:r>
      <w:r>
        <w:t xml:space="preserve"> Some experts believe that articles that are </w:t>
      </w:r>
      <w:r w:rsidR="007F0775">
        <w:t>explosive</w:t>
      </w:r>
      <w:r>
        <w:t xml:space="preserve"> but have not been manufactured with the view of producing an explosive or pyrotechnic effect do not exist (and will never exist)</w:t>
      </w:r>
      <w:r w:rsidR="00E039D5">
        <w:t>, while other experts think that they may (come to) exist</w:t>
      </w:r>
      <w:r>
        <w:t xml:space="preserve">. If </w:t>
      </w:r>
      <w:r w:rsidR="00E039D5">
        <w:t xml:space="preserve">the former </w:t>
      </w:r>
      <w:r>
        <w:t xml:space="preserve">is </w:t>
      </w:r>
      <w:r w:rsidR="00E039D5">
        <w:t>true</w:t>
      </w:r>
      <w:r>
        <w:t>, Box 7, and hence also Box 17 and 18, can</w:t>
      </w:r>
      <w:r w:rsidR="00932735">
        <w:t xml:space="preserve"> be removed from the flowchart.</w:t>
      </w:r>
      <w:r w:rsidR="00E039D5">
        <w:t xml:space="preserve"> However, </w:t>
      </w:r>
      <w:r w:rsidR="00BA464D">
        <w:t>it c</w:t>
      </w:r>
      <w:r w:rsidR="00E039D5">
        <w:t>ould be considered to keep them in as a precaution so that such articles are included in the hazard class of Explosives, should they (come to) exist.</w:t>
      </w:r>
    </w:p>
    <w:p w14:paraId="2FA3BD78" w14:textId="5C2E3581" w:rsidR="003F7757" w:rsidRDefault="00751D49" w:rsidP="00A81AE9">
      <w:pPr>
        <w:pStyle w:val="Bullet1G"/>
      </w:pPr>
      <w:r w:rsidRPr="00726335">
        <w:rPr>
          <w:b/>
        </w:rPr>
        <w:t>Box 12 and 17:</w:t>
      </w:r>
      <w:r>
        <w:t xml:space="preserve"> While the GHS currently does not provide criteria for exemption of certain explosive articles in 2.1.1.2(b), the Model Regulations do so in the corresponding definition 2.1.1.1(b) in Chapter 2.1. The criteria for exclusion of articles from Class 1 are found in Sub-section 2.1.3.6.4 of this chapter in the Model Regulations.</w:t>
      </w:r>
    </w:p>
    <w:p w14:paraId="7605EC57" w14:textId="4DD6E392" w:rsidR="00751D49" w:rsidRDefault="003F7757" w:rsidP="00A81AE9">
      <w:pPr>
        <w:pStyle w:val="Bullet1G"/>
      </w:pPr>
      <w:r w:rsidRPr="00764422">
        <w:rPr>
          <w:b/>
        </w:rPr>
        <w:t>Box 19:</w:t>
      </w:r>
      <w:r>
        <w:t xml:space="preserve"> It needs to be discussed how </w:t>
      </w:r>
      <w:r w:rsidR="0035290D">
        <w:t xml:space="preserve">to </w:t>
      </w:r>
      <w:r w:rsidR="00176A8F">
        <w:t>appropriately</w:t>
      </w:r>
      <w:r>
        <w:t xml:space="preserve"> word the reference to</w:t>
      </w:r>
      <w:r w:rsidR="00764422">
        <w:t xml:space="preserve"> the d</w:t>
      </w:r>
      <w:r>
        <w:t xml:space="preserve">ivisions, i.e. whether reference should be to Part I of the Manual (as written), to Class 1 of the Model Regulations or </w:t>
      </w:r>
      <w:r w:rsidR="00764422">
        <w:t>worded in some other way</w:t>
      </w:r>
      <w:r w:rsidR="00F8671D">
        <w:t xml:space="preserve"> (e.g. “transport d</w:t>
      </w:r>
      <w:r>
        <w:t>ivisions”).</w:t>
      </w:r>
      <w:r w:rsidR="00D3070D">
        <w:br/>
      </w:r>
    </w:p>
    <w:p w14:paraId="1FDDB070" w14:textId="655D2CA1" w:rsidR="00751D49" w:rsidRDefault="00751D49">
      <w:pPr>
        <w:suppressAutoHyphens w:val="0"/>
        <w:spacing w:line="240" w:lineRule="auto"/>
      </w:pPr>
      <w:r>
        <w:br w:type="page"/>
      </w:r>
    </w:p>
    <w:p w14:paraId="27F0A5D7" w14:textId="606D0927" w:rsidR="00A81AE9" w:rsidRDefault="00751D49" w:rsidP="00A81AE9">
      <w:pPr>
        <w:pStyle w:val="HChG"/>
        <w:rPr>
          <w:sz w:val="22"/>
        </w:rPr>
      </w:pPr>
      <w:r w:rsidRPr="00A81AE9">
        <w:lastRenderedPageBreak/>
        <w:t>Annex</w:t>
      </w:r>
      <w:r w:rsidR="00064713">
        <w:rPr>
          <w:sz w:val="22"/>
        </w:rPr>
        <w:t xml:space="preserve"> II</w:t>
      </w:r>
    </w:p>
    <w:p w14:paraId="5654F4CE" w14:textId="4FF9B5C0" w:rsidR="00547952" w:rsidRPr="00063873" w:rsidRDefault="00A81AE9" w:rsidP="00A81AE9">
      <w:pPr>
        <w:pStyle w:val="H1G"/>
        <w:rPr>
          <w:sz w:val="22"/>
        </w:rPr>
      </w:pPr>
      <w:r>
        <w:tab/>
      </w:r>
      <w:r>
        <w:tab/>
      </w:r>
      <w:r w:rsidR="00547952">
        <w:t xml:space="preserve">Proposed </w:t>
      </w:r>
      <w:r w:rsidR="00C231B7">
        <w:t xml:space="preserve">criteria </w:t>
      </w:r>
      <w:r w:rsidR="00F8671D">
        <w:t>for assigning s</w:t>
      </w:r>
      <w:r w:rsidR="00547952">
        <w:t xml:space="preserve">ub-categories 2A, 2B and 2C in </w:t>
      </w:r>
      <w:r w:rsidR="00063873">
        <w:t>new</w:t>
      </w:r>
      <w:r w:rsidR="00F8671D">
        <w:t xml:space="preserve"> GHS classification system for e</w:t>
      </w:r>
      <w:r w:rsidR="00547952">
        <w:t>xplosives</w:t>
      </w:r>
    </w:p>
    <w:p w14:paraId="42860CA8" w14:textId="71244D08" w:rsidR="00751D49" w:rsidRPr="007C0D73" w:rsidRDefault="007C0D73" w:rsidP="00A1657A">
      <w:pPr>
        <w:tabs>
          <w:tab w:val="left" w:pos="1304"/>
          <w:tab w:val="left" w:pos="2680"/>
        </w:tabs>
        <w:suppressAutoHyphens w:val="0"/>
        <w:spacing w:after="160" w:line="259" w:lineRule="auto"/>
        <w:jc w:val="center"/>
        <w:rPr>
          <w:b/>
        </w:rPr>
      </w:pPr>
      <w:r w:rsidRPr="007C0D73">
        <w:rPr>
          <w:b/>
        </w:rPr>
        <w:t xml:space="preserve"> </w:t>
      </w:r>
      <w:r w:rsidRPr="007C0D73">
        <w:rPr>
          <w:b/>
          <w:noProof/>
          <w:lang w:val="sv-SE" w:eastAsia="sv-SE"/>
        </w:rPr>
        <w:drawing>
          <wp:inline distT="0" distB="0" distL="0" distR="0" wp14:anchorId="60794184" wp14:editId="24754EFF">
            <wp:extent cx="4149725" cy="5548809"/>
            <wp:effectExtent l="0" t="0" r="3175"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5051" cy="5596046"/>
                    </a:xfrm>
                    <a:prstGeom prst="rect">
                      <a:avLst/>
                    </a:prstGeom>
                    <a:noFill/>
                    <a:ln>
                      <a:noFill/>
                    </a:ln>
                  </pic:spPr>
                </pic:pic>
              </a:graphicData>
            </a:graphic>
          </wp:inline>
        </w:drawing>
      </w:r>
    </w:p>
    <w:p w14:paraId="643B8672" w14:textId="77777777" w:rsidR="00A81AE9" w:rsidRDefault="00A81AE9">
      <w:pPr>
        <w:suppressAutoHyphens w:val="0"/>
        <w:spacing w:line="240" w:lineRule="auto"/>
        <w:rPr>
          <w:b/>
        </w:rPr>
      </w:pPr>
      <w:r>
        <w:rPr>
          <w:b/>
        </w:rPr>
        <w:br w:type="page"/>
      </w:r>
    </w:p>
    <w:p w14:paraId="7E0E1E12" w14:textId="5FFE8761" w:rsidR="00A1657A" w:rsidRDefault="00A81AE9" w:rsidP="00185157">
      <w:pPr>
        <w:pStyle w:val="HChG"/>
      </w:pPr>
      <w:r>
        <w:lastRenderedPageBreak/>
        <w:tab/>
      </w:r>
      <w:r>
        <w:tab/>
      </w:r>
      <w:r w:rsidR="00B21574">
        <w:t>Comments</w:t>
      </w:r>
      <w:r w:rsidR="00A1657A">
        <w:t xml:space="preserve"> to</w:t>
      </w:r>
      <w:r w:rsidR="00D36E95">
        <w:t xml:space="preserve"> the</w:t>
      </w:r>
      <w:r w:rsidR="00D85E9A">
        <w:t xml:space="preserve"> flowchart of Annex II</w:t>
      </w:r>
    </w:p>
    <w:p w14:paraId="16DF083F" w14:textId="40823A0B" w:rsidR="00751D49" w:rsidRPr="0002103B" w:rsidRDefault="0033766D" w:rsidP="00A81AE9">
      <w:pPr>
        <w:pStyle w:val="Bullet1G"/>
        <w:rPr>
          <w:rFonts w:eastAsia="Arial Unicode MS"/>
          <w:b/>
          <w:bdr w:val="nil"/>
          <w:lang w:eastAsia="sv-SE"/>
        </w:rPr>
      </w:pPr>
      <w:r w:rsidRPr="0033766D">
        <w:rPr>
          <w:rFonts w:eastAsia="Arial Unicode MS"/>
          <w:b/>
          <w:bdr w:val="nil"/>
          <w:lang w:eastAsia="sv-SE"/>
        </w:rPr>
        <w:t xml:space="preserve">Box </w:t>
      </w:r>
      <w:r w:rsidR="0002103B">
        <w:rPr>
          <w:rFonts w:eastAsia="Arial Unicode MS"/>
          <w:b/>
          <w:bdr w:val="nil"/>
          <w:lang w:eastAsia="sv-SE"/>
        </w:rPr>
        <w:t>3:</w:t>
      </w:r>
      <w:r w:rsidR="00063873">
        <w:rPr>
          <w:rFonts w:eastAsia="Arial Unicode MS"/>
          <w:bdr w:val="nil"/>
          <w:lang w:eastAsia="sv-SE"/>
        </w:rPr>
        <w:t xml:space="preserve"> Use of dividers and spacers are examples of </w:t>
      </w:r>
      <w:r w:rsidR="009D202F">
        <w:rPr>
          <w:rFonts w:eastAsia="Arial Unicode MS"/>
          <w:bdr w:val="nil"/>
          <w:lang w:eastAsia="sv-SE"/>
        </w:rPr>
        <w:t xml:space="preserve">commonly used </w:t>
      </w:r>
      <w:r w:rsidR="00063873">
        <w:rPr>
          <w:rFonts w:eastAsia="Arial Unicode MS"/>
          <w:bdr w:val="nil"/>
          <w:lang w:eastAsia="sv-SE"/>
        </w:rPr>
        <w:t>methods intended to mitigate the explosive effect</w:t>
      </w:r>
      <w:r w:rsidR="00992B91">
        <w:rPr>
          <w:rFonts w:eastAsia="Arial Unicode MS"/>
          <w:bdr w:val="nil"/>
          <w:lang w:eastAsia="sv-SE"/>
        </w:rPr>
        <w:t>, as is s</w:t>
      </w:r>
      <w:r w:rsidR="00063873">
        <w:rPr>
          <w:rFonts w:eastAsia="Arial Unicode MS"/>
          <w:bdr w:val="nil"/>
          <w:lang w:eastAsia="sv-SE"/>
        </w:rPr>
        <w:t xml:space="preserve">pecial placing of articles to </w:t>
      </w:r>
      <w:r w:rsidR="00E23920">
        <w:rPr>
          <w:rFonts w:eastAsia="Arial Unicode MS"/>
          <w:bdr w:val="nil"/>
          <w:lang w:eastAsia="sv-SE"/>
        </w:rPr>
        <w:t xml:space="preserve">partly </w:t>
      </w:r>
      <w:r w:rsidR="00063873">
        <w:rPr>
          <w:rFonts w:eastAsia="Arial Unicode MS"/>
          <w:bdr w:val="nil"/>
          <w:lang w:eastAsia="sv-SE"/>
        </w:rPr>
        <w:t xml:space="preserve">cancel out </w:t>
      </w:r>
      <w:r w:rsidR="00E23920">
        <w:rPr>
          <w:rFonts w:eastAsia="Arial Unicode MS"/>
          <w:bdr w:val="nil"/>
          <w:lang w:eastAsia="sv-SE"/>
        </w:rPr>
        <w:t xml:space="preserve">an </w:t>
      </w:r>
      <w:r w:rsidR="00063873">
        <w:rPr>
          <w:rFonts w:eastAsia="Arial Unicode MS"/>
          <w:bdr w:val="nil"/>
          <w:lang w:eastAsia="sv-SE"/>
        </w:rPr>
        <w:t>explosive effect.</w:t>
      </w:r>
      <w:r w:rsidR="00D3070D">
        <w:rPr>
          <w:rFonts w:eastAsia="Arial Unicode MS"/>
          <w:bdr w:val="nil"/>
          <w:lang w:eastAsia="sv-SE"/>
        </w:rPr>
        <w:t xml:space="preserve"> It could be discussed whether the intention of mitigating the explosive effect needs to be added as a criterion.</w:t>
      </w:r>
    </w:p>
    <w:p w14:paraId="17986BF8" w14:textId="5EF98E76" w:rsidR="0002103B" w:rsidRPr="0002103B" w:rsidRDefault="0002103B" w:rsidP="00A81AE9">
      <w:pPr>
        <w:pStyle w:val="Bullet1G"/>
        <w:rPr>
          <w:rFonts w:eastAsia="Arial Unicode MS"/>
          <w:b/>
          <w:bdr w:val="nil"/>
          <w:lang w:eastAsia="sv-SE"/>
        </w:rPr>
      </w:pPr>
      <w:r w:rsidRPr="0002103B">
        <w:rPr>
          <w:rFonts w:eastAsia="Arial Unicode MS"/>
          <w:b/>
          <w:bdr w:val="nil"/>
          <w:lang w:eastAsia="sv-SE"/>
        </w:rPr>
        <w:t>Box 4:</w:t>
      </w:r>
      <w:r>
        <w:rPr>
          <w:rFonts w:eastAsia="Arial Unicode MS"/>
          <w:bdr w:val="nil"/>
          <w:lang w:eastAsia="sv-SE"/>
        </w:rPr>
        <w:t xml:space="preserve"> It needs to be clarified what a “violent” reaction mea</w:t>
      </w:r>
      <w:r w:rsidR="00687456">
        <w:rPr>
          <w:rFonts w:eastAsia="Arial Unicode MS"/>
          <w:bdr w:val="nil"/>
          <w:lang w:eastAsia="sv-SE"/>
        </w:rPr>
        <w:t>ns in t</w:t>
      </w:r>
      <w:r w:rsidR="001A3BFA">
        <w:rPr>
          <w:rFonts w:eastAsia="Arial Unicode MS"/>
          <w:bdr w:val="nil"/>
          <w:lang w:eastAsia="sv-SE"/>
        </w:rPr>
        <w:t>he three tests mentioned, and a</w:t>
      </w:r>
      <w:r w:rsidR="00687456">
        <w:rPr>
          <w:rFonts w:eastAsia="Arial Unicode MS"/>
          <w:bdr w:val="nil"/>
          <w:lang w:eastAsia="sv-SE"/>
        </w:rPr>
        <w:t xml:space="preserve"> forthcoming </w:t>
      </w:r>
      <w:r w:rsidR="0006118A">
        <w:rPr>
          <w:rFonts w:eastAsia="Arial Unicode MS"/>
          <w:bdr w:val="nil"/>
          <w:lang w:eastAsia="sv-SE"/>
        </w:rPr>
        <w:t>paper</w:t>
      </w:r>
      <w:r w:rsidR="00687456">
        <w:rPr>
          <w:rFonts w:eastAsia="Arial Unicode MS"/>
          <w:bdr w:val="nil"/>
          <w:lang w:eastAsia="sv-SE"/>
        </w:rPr>
        <w:t xml:space="preserve"> is expected to address this</w:t>
      </w:r>
      <w:r w:rsidR="00035994">
        <w:rPr>
          <w:rFonts w:eastAsia="Arial Unicode MS"/>
          <w:bdr w:val="nil"/>
          <w:lang w:eastAsia="sv-SE"/>
        </w:rPr>
        <w:t xml:space="preserve"> in more detail</w:t>
      </w:r>
      <w:r w:rsidR="00687456">
        <w:rPr>
          <w:rFonts w:eastAsia="Arial Unicode MS"/>
          <w:bdr w:val="nil"/>
          <w:lang w:eastAsia="sv-SE"/>
        </w:rPr>
        <w:t>.</w:t>
      </w:r>
    </w:p>
    <w:p w14:paraId="01FBFE3D" w14:textId="17ECCE27" w:rsidR="0002103B" w:rsidRPr="0002103B" w:rsidRDefault="0002103B" w:rsidP="00A81AE9">
      <w:pPr>
        <w:pStyle w:val="Bullet1G"/>
        <w:rPr>
          <w:rFonts w:eastAsia="Arial Unicode MS"/>
          <w:b/>
          <w:bdr w:val="nil"/>
          <w:lang w:eastAsia="sv-SE"/>
        </w:rPr>
      </w:pPr>
      <w:r>
        <w:rPr>
          <w:rFonts w:eastAsia="Arial Unicode MS"/>
          <w:b/>
          <w:bdr w:val="nil"/>
          <w:lang w:eastAsia="sv-SE"/>
        </w:rPr>
        <w:t>Box 5:</w:t>
      </w:r>
      <w:r>
        <w:rPr>
          <w:rFonts w:eastAsia="Arial Unicode MS"/>
          <w:bdr w:val="nil"/>
          <w:lang w:eastAsia="sv-SE"/>
        </w:rPr>
        <w:t xml:space="preserve"> Compatibility group</w:t>
      </w:r>
      <w:r w:rsidR="0011392D">
        <w:rPr>
          <w:rFonts w:eastAsia="Arial Unicode MS"/>
          <w:bdr w:val="nil"/>
          <w:lang w:eastAsia="sv-SE"/>
        </w:rPr>
        <w:t xml:space="preserve">s are assigned according to </w:t>
      </w:r>
      <w:r w:rsidR="0030458D">
        <w:rPr>
          <w:rFonts w:eastAsia="Arial Unicode MS"/>
          <w:bdr w:val="nil"/>
          <w:lang w:eastAsia="sv-SE"/>
        </w:rPr>
        <w:t xml:space="preserve">Section 2.1.2 in Chapter 2.1 of the </w:t>
      </w:r>
      <w:r>
        <w:rPr>
          <w:rFonts w:eastAsia="Arial Unicode MS"/>
          <w:bdr w:val="nil"/>
          <w:lang w:eastAsia="sv-SE"/>
        </w:rPr>
        <w:t>Model Regulations and are intended to indicate how explosives can be transported together.</w:t>
      </w:r>
      <w:r w:rsidR="00063873">
        <w:rPr>
          <w:rFonts w:eastAsia="Arial Unicode MS"/>
          <w:bdr w:val="nil"/>
          <w:lang w:eastAsia="sv-SE"/>
        </w:rPr>
        <w:t xml:space="preserve"> While t</w:t>
      </w:r>
      <w:r>
        <w:rPr>
          <w:rFonts w:eastAsia="Arial Unicode MS"/>
          <w:bdr w:val="nil"/>
          <w:lang w:eastAsia="sv-SE"/>
        </w:rPr>
        <w:t>hey ar</w:t>
      </w:r>
      <w:r w:rsidR="00063873">
        <w:rPr>
          <w:rFonts w:eastAsia="Arial Unicode MS"/>
          <w:bdr w:val="nil"/>
          <w:lang w:eastAsia="sv-SE"/>
        </w:rPr>
        <w:t xml:space="preserve">e not used in the GHS, </w:t>
      </w:r>
      <w:r w:rsidR="00F8671D">
        <w:rPr>
          <w:rFonts w:eastAsia="Arial Unicode MS"/>
          <w:bdr w:val="nil"/>
          <w:lang w:eastAsia="sv-SE"/>
        </w:rPr>
        <w:t>c</w:t>
      </w:r>
      <w:r>
        <w:rPr>
          <w:rFonts w:eastAsia="Arial Unicode MS"/>
          <w:bdr w:val="nil"/>
          <w:lang w:eastAsia="sv-SE"/>
        </w:rPr>
        <w:t xml:space="preserve">ompatibility group S does appear in </w:t>
      </w:r>
      <w:r w:rsidR="00063873">
        <w:rPr>
          <w:rFonts w:eastAsia="Arial Unicode MS"/>
          <w:bdr w:val="nil"/>
          <w:lang w:eastAsia="sv-SE"/>
        </w:rPr>
        <w:t>Figure 2.1.2 of</w:t>
      </w:r>
      <w:r>
        <w:rPr>
          <w:rFonts w:eastAsia="Arial Unicode MS"/>
          <w:bdr w:val="nil"/>
          <w:lang w:eastAsia="sv-SE"/>
        </w:rPr>
        <w:t xml:space="preserve"> </w:t>
      </w:r>
      <w:r w:rsidR="00F50E0C">
        <w:rPr>
          <w:rFonts w:eastAsia="Arial Unicode MS"/>
          <w:bdr w:val="nil"/>
          <w:lang w:eastAsia="sv-SE"/>
        </w:rPr>
        <w:t xml:space="preserve">GHS </w:t>
      </w:r>
      <w:r>
        <w:rPr>
          <w:rFonts w:eastAsia="Arial Unicode MS"/>
          <w:bdr w:val="nil"/>
          <w:lang w:eastAsia="sv-SE"/>
        </w:rPr>
        <w:t xml:space="preserve">Chapter 2.1. Compatibility group S </w:t>
      </w:r>
      <w:r w:rsidR="00B20C1A">
        <w:rPr>
          <w:rFonts w:eastAsia="Arial Unicode MS"/>
          <w:bdr w:val="nil"/>
          <w:lang w:eastAsia="sv-SE"/>
        </w:rPr>
        <w:t>can only be</w:t>
      </w:r>
      <w:r w:rsidR="00406FAA">
        <w:rPr>
          <w:rFonts w:eastAsia="Arial Unicode MS"/>
          <w:bdr w:val="nil"/>
          <w:lang w:eastAsia="sv-SE"/>
        </w:rPr>
        <w:t xml:space="preserve"> assigned when</w:t>
      </w:r>
      <w:r>
        <w:rPr>
          <w:rFonts w:eastAsia="Arial Unicode MS"/>
          <w:bdr w:val="nil"/>
          <w:lang w:eastAsia="sv-SE"/>
        </w:rPr>
        <w:t xml:space="preserve"> there </w:t>
      </w:r>
      <w:r w:rsidR="00406FAA">
        <w:rPr>
          <w:rFonts w:eastAsia="Arial Unicode MS"/>
          <w:bdr w:val="nil"/>
          <w:lang w:eastAsia="sv-SE"/>
        </w:rPr>
        <w:t>are</w:t>
      </w:r>
      <w:r>
        <w:rPr>
          <w:rFonts w:eastAsia="Arial Unicode MS"/>
          <w:bdr w:val="nil"/>
          <w:lang w:eastAsia="sv-SE"/>
        </w:rPr>
        <w:t xml:space="preserve"> no hazardous effect</w:t>
      </w:r>
      <w:r w:rsidR="00406FAA">
        <w:rPr>
          <w:rFonts w:eastAsia="Arial Unicode MS"/>
          <w:bdr w:val="nil"/>
          <w:lang w:eastAsia="sv-SE"/>
        </w:rPr>
        <w:t>s</w:t>
      </w:r>
      <w:r>
        <w:rPr>
          <w:rFonts w:eastAsia="Arial Unicode MS"/>
          <w:bdr w:val="nil"/>
          <w:lang w:eastAsia="sv-SE"/>
        </w:rPr>
        <w:t xml:space="preserve"> outside the package</w:t>
      </w:r>
      <w:r w:rsidR="001B4A30">
        <w:rPr>
          <w:rFonts w:eastAsia="Arial Unicode MS"/>
          <w:bdr w:val="nil"/>
          <w:lang w:eastAsia="sv-SE"/>
        </w:rPr>
        <w:t>, see</w:t>
      </w:r>
      <w:r w:rsidR="0041648C">
        <w:rPr>
          <w:rFonts w:eastAsia="Arial Unicode MS"/>
          <w:bdr w:val="nil"/>
          <w:lang w:eastAsia="sv-SE"/>
        </w:rPr>
        <w:t xml:space="preserve"> </w:t>
      </w:r>
      <w:r w:rsidR="000015F9">
        <w:rPr>
          <w:rFonts w:eastAsia="Arial Unicode MS"/>
          <w:bdr w:val="nil"/>
          <w:lang w:eastAsia="sv-SE"/>
        </w:rPr>
        <w:t xml:space="preserve">further </w:t>
      </w:r>
      <w:r w:rsidR="00C009F1">
        <w:rPr>
          <w:rFonts w:eastAsia="Arial Unicode MS"/>
          <w:bdr w:val="nil"/>
          <w:lang w:eastAsia="sv-SE"/>
        </w:rPr>
        <w:t>details</w:t>
      </w:r>
      <w:r w:rsidR="00C6139B">
        <w:rPr>
          <w:rFonts w:eastAsia="Arial Unicode MS"/>
          <w:bdr w:val="nil"/>
          <w:lang w:eastAsia="sv-SE"/>
        </w:rPr>
        <w:t xml:space="preserve"> in </w:t>
      </w:r>
      <w:r w:rsidR="001B4A30">
        <w:rPr>
          <w:rFonts w:eastAsia="Arial Unicode MS"/>
          <w:bdr w:val="nil"/>
          <w:lang w:eastAsia="sv-SE"/>
        </w:rPr>
        <w:t>the Model Regulations</w:t>
      </w:r>
      <w:r>
        <w:rPr>
          <w:rFonts w:eastAsia="Arial Unicode MS"/>
          <w:bdr w:val="nil"/>
          <w:lang w:eastAsia="sv-SE"/>
        </w:rPr>
        <w:t>.</w:t>
      </w:r>
    </w:p>
    <w:p w14:paraId="1B39D0E4" w14:textId="77777777" w:rsidR="0033766D" w:rsidRDefault="0033766D">
      <w:pPr>
        <w:suppressAutoHyphens w:val="0"/>
        <w:spacing w:line="240" w:lineRule="auto"/>
        <w:rPr>
          <w:rFonts w:eastAsia="Arial Unicode MS"/>
          <w:b/>
          <w:sz w:val="22"/>
          <w:bdr w:val="nil"/>
          <w:lang w:eastAsia="sv-SE"/>
        </w:rPr>
      </w:pPr>
      <w:r>
        <w:rPr>
          <w:b/>
        </w:rPr>
        <w:br w:type="page"/>
      </w:r>
    </w:p>
    <w:p w14:paraId="3E0CAB1F" w14:textId="1AD82612" w:rsidR="00751D49" w:rsidRDefault="00D85E9A" w:rsidP="00A81AE9">
      <w:pPr>
        <w:pStyle w:val="HChG"/>
      </w:pPr>
      <w:r>
        <w:lastRenderedPageBreak/>
        <w:t>Annex III</w:t>
      </w:r>
    </w:p>
    <w:p w14:paraId="62E36F87" w14:textId="0197620F" w:rsidR="00547952" w:rsidRDefault="00A81AE9" w:rsidP="00A81AE9">
      <w:pPr>
        <w:pStyle w:val="H1G"/>
      </w:pPr>
      <w:r>
        <w:tab/>
      </w:r>
      <w:r>
        <w:tab/>
      </w:r>
      <w:r w:rsidR="00C231B7">
        <w:t xml:space="preserve">Criteria </w:t>
      </w:r>
      <w:r w:rsidR="00547952">
        <w:t>for the additional option of splitting Category 1 into sub-categories 1A and 1B in amended</w:t>
      </w:r>
      <w:r w:rsidR="00F8671D">
        <w:t xml:space="preserve"> GHS classification system for e</w:t>
      </w:r>
      <w:r w:rsidR="00547952">
        <w:t>xplosives</w:t>
      </w:r>
    </w:p>
    <w:p w14:paraId="2AFD89A6" w14:textId="35C273B2" w:rsidR="00547952" w:rsidRDefault="007C0D73" w:rsidP="00547952">
      <w:pPr>
        <w:pStyle w:val="Body"/>
        <w:ind w:right="283"/>
        <w:jc w:val="center"/>
        <w:rPr>
          <w:rFonts w:ascii="Times New Roman" w:hAnsi="Times New Roman" w:cs="Times New Roman"/>
          <w:b/>
          <w:color w:val="auto"/>
          <w:szCs w:val="20"/>
          <w:lang w:val="en-GB"/>
        </w:rPr>
      </w:pPr>
      <w:r w:rsidRPr="007C0D73">
        <w:rPr>
          <w:b/>
          <w:lang w:val="en-GB"/>
        </w:rPr>
        <w:t xml:space="preserve"> </w:t>
      </w:r>
      <w:r w:rsidR="00391B8A">
        <w:rPr>
          <w:rFonts w:ascii="Times New Roman" w:hAnsi="Times New Roman" w:cs="Times New Roman"/>
          <w:b/>
          <w:noProof/>
          <w:color w:val="auto"/>
          <w:szCs w:val="20"/>
        </w:rPr>
        <w:drawing>
          <wp:inline distT="0" distB="0" distL="0" distR="0" wp14:anchorId="7FDD5717" wp14:editId="0D4EAD57">
            <wp:extent cx="4323860" cy="3854450"/>
            <wp:effectExtent l="0" t="0" r="63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chartExplosivesCat1AB_LvD180827.jpg"/>
                    <pic:cNvPicPr/>
                  </pic:nvPicPr>
                  <pic:blipFill rotWithShape="1">
                    <a:blip r:embed="rId12">
                      <a:extLst>
                        <a:ext uri="{28A0092B-C50C-407E-A947-70E740481C1C}">
                          <a14:useLocalDpi xmlns:a14="http://schemas.microsoft.com/office/drawing/2010/main" val="0"/>
                        </a:ext>
                      </a:extLst>
                    </a:blip>
                    <a:srcRect l="11435" t="25438" r="15964" b="29757"/>
                    <a:stretch/>
                  </pic:blipFill>
                  <pic:spPr bwMode="auto">
                    <a:xfrm>
                      <a:off x="0" y="0"/>
                      <a:ext cx="4327552" cy="3857741"/>
                    </a:xfrm>
                    <a:prstGeom prst="rect">
                      <a:avLst/>
                    </a:prstGeom>
                    <a:ln>
                      <a:noFill/>
                    </a:ln>
                    <a:extLst>
                      <a:ext uri="{53640926-AAD7-44D8-BBD7-CCE9431645EC}">
                        <a14:shadowObscured xmlns:a14="http://schemas.microsoft.com/office/drawing/2010/main"/>
                      </a:ext>
                    </a:extLst>
                  </pic:spPr>
                </pic:pic>
              </a:graphicData>
            </a:graphic>
          </wp:inline>
        </w:drawing>
      </w:r>
    </w:p>
    <w:p w14:paraId="282A4086" w14:textId="5874A014" w:rsidR="00F74196" w:rsidRDefault="00A81AE9" w:rsidP="00A81AE9">
      <w:pPr>
        <w:pStyle w:val="H1G"/>
      </w:pPr>
      <w:r>
        <w:tab/>
      </w:r>
      <w:r>
        <w:tab/>
      </w:r>
      <w:r w:rsidR="00B21574">
        <w:t>Comments</w:t>
      </w:r>
      <w:r w:rsidR="00F74196">
        <w:t xml:space="preserve"> to </w:t>
      </w:r>
      <w:r w:rsidR="005F4488">
        <w:t xml:space="preserve">the </w:t>
      </w:r>
      <w:r w:rsidR="00D85E9A">
        <w:t>flowchart in Annex III</w:t>
      </w:r>
    </w:p>
    <w:p w14:paraId="45A29FF0" w14:textId="082BF542" w:rsidR="00F74196" w:rsidRDefault="00132D22" w:rsidP="00A81AE9">
      <w:pPr>
        <w:pStyle w:val="Bullet1G"/>
      </w:pPr>
      <w:r w:rsidRPr="005F4488">
        <w:rPr>
          <w:b/>
        </w:rPr>
        <w:t>Box 2</w:t>
      </w:r>
      <w:r w:rsidR="00F74196" w:rsidRPr="005F4488">
        <w:rPr>
          <w:b/>
        </w:rPr>
        <w:t>:</w:t>
      </w:r>
      <w:r w:rsidR="00F74196">
        <w:t xml:space="preserve"> Test series 3 is currently used</w:t>
      </w:r>
      <w:r w:rsidR="00C62D51">
        <w:t xml:space="preserve"> in the GHS</w:t>
      </w:r>
      <w:r w:rsidR="00F74196">
        <w:t xml:space="preserve"> to distinguish</w:t>
      </w:r>
      <w:r w:rsidR="00F74196" w:rsidRPr="00F74196">
        <w:t xml:space="preserve"> </w:t>
      </w:r>
      <w:r w:rsidR="00F74196">
        <w:t>su</w:t>
      </w:r>
      <w:r w:rsidR="00F8671D">
        <w:t>bstances and mixtures that are u</w:t>
      </w:r>
      <w:r w:rsidR="00F74196">
        <w:t>nstable explosives, which are</w:t>
      </w:r>
      <w:r w:rsidR="00D06B22" w:rsidRPr="00D06B22">
        <w:t xml:space="preserve"> </w:t>
      </w:r>
      <w:r w:rsidR="00F74196">
        <w:t>positive in this test series (rejected from Class 1 of transport because they are too dangerous to transport).</w:t>
      </w:r>
    </w:p>
    <w:p w14:paraId="6E0E4102" w14:textId="243A9F42" w:rsidR="00D06B22" w:rsidRDefault="00132D22" w:rsidP="00A81AE9">
      <w:pPr>
        <w:pStyle w:val="Bullet1G"/>
      </w:pPr>
      <w:r w:rsidRPr="005F4488">
        <w:rPr>
          <w:b/>
        </w:rPr>
        <w:t>Box 3</w:t>
      </w:r>
      <w:r w:rsidR="00F74196" w:rsidRPr="005F4488">
        <w:rPr>
          <w:b/>
        </w:rPr>
        <w:t>:</w:t>
      </w:r>
      <w:r w:rsidR="00F74196" w:rsidRPr="00F74196">
        <w:t xml:space="preserve"> </w:t>
      </w:r>
      <w:r w:rsidR="00F74196">
        <w:t>Test series 4</w:t>
      </w:r>
      <w:r w:rsidR="00F74196" w:rsidRPr="00F74196">
        <w:t xml:space="preserve"> is currently used </w:t>
      </w:r>
      <w:r w:rsidR="00C62D51">
        <w:t xml:space="preserve">in the GHS </w:t>
      </w:r>
      <w:r w:rsidR="00F74196" w:rsidRPr="00F74196">
        <w:t>to distinguish</w:t>
      </w:r>
      <w:r w:rsidR="00D06B22">
        <w:t xml:space="preserve"> articles</w:t>
      </w:r>
      <w:r w:rsidR="00F8671D">
        <w:t xml:space="preserve"> that are u</w:t>
      </w:r>
      <w:r w:rsidR="00F74196" w:rsidRPr="00F74196">
        <w:t>nstable explosives, which are positive in this test series (rejected from Class 1 of transport because they are too dangerous to transport).</w:t>
      </w:r>
    </w:p>
    <w:p w14:paraId="27A8C86C" w14:textId="63779855" w:rsidR="00A81AE9" w:rsidRPr="00A81AE9" w:rsidRDefault="00A81AE9" w:rsidP="00A81AE9">
      <w:pPr>
        <w:pStyle w:val="Bullet1G"/>
        <w:numPr>
          <w:ilvl w:val="0"/>
          <w:numId w:val="0"/>
        </w:numPr>
        <w:spacing w:before="240" w:after="0"/>
        <w:ind w:left="1134"/>
        <w:jc w:val="center"/>
        <w:rPr>
          <w:u w:val="single"/>
        </w:rPr>
      </w:pPr>
      <w:r>
        <w:rPr>
          <w:u w:val="single"/>
        </w:rPr>
        <w:tab/>
      </w:r>
      <w:r>
        <w:rPr>
          <w:u w:val="single"/>
        </w:rPr>
        <w:tab/>
      </w:r>
      <w:r>
        <w:rPr>
          <w:u w:val="single"/>
        </w:rPr>
        <w:tab/>
      </w:r>
    </w:p>
    <w:p w14:paraId="39A0A8C6" w14:textId="77777777" w:rsidR="00A81AE9" w:rsidRPr="006859EF" w:rsidRDefault="00A81AE9" w:rsidP="00A81AE9">
      <w:pPr>
        <w:pStyle w:val="Bullet1G"/>
        <w:numPr>
          <w:ilvl w:val="0"/>
          <w:numId w:val="0"/>
        </w:numPr>
        <w:ind w:left="1701" w:hanging="170"/>
      </w:pPr>
    </w:p>
    <w:sectPr w:rsidR="00A81AE9" w:rsidRPr="006859EF" w:rsidSect="00185157">
      <w:headerReference w:type="even" r:id="rId13"/>
      <w:headerReference w:type="default" r:id="rId14"/>
      <w:footerReference w:type="even" r:id="rId15"/>
      <w:footerReference w:type="default" r:id="rId16"/>
      <w:headerReference w:type="first" r:id="rId17"/>
      <w:endnotePr>
        <w:numFmt w:val="decimal"/>
      </w:endnotePr>
      <w:pgSz w:w="11907" w:h="16840" w:code="9"/>
      <w:pgMar w:top="1985"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5C0DB" w14:textId="77777777" w:rsidR="00E14DF9" w:rsidRDefault="00E14DF9"/>
  </w:endnote>
  <w:endnote w:type="continuationSeparator" w:id="0">
    <w:p w14:paraId="0C147310" w14:textId="77777777" w:rsidR="00E14DF9" w:rsidRDefault="00E14DF9"/>
  </w:endnote>
  <w:endnote w:type="continuationNotice" w:id="1">
    <w:p w14:paraId="0E7EB139" w14:textId="77777777" w:rsidR="00E14DF9" w:rsidRDefault="00E14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883760739"/>
      <w:docPartObj>
        <w:docPartGallery w:val="Page Numbers (Bottom of Page)"/>
        <w:docPartUnique/>
      </w:docPartObj>
    </w:sdtPr>
    <w:sdtEndPr>
      <w:rPr>
        <w:noProof/>
      </w:rPr>
    </w:sdtEndPr>
    <w:sdtContent>
      <w:p w14:paraId="54150D08" w14:textId="49C6E40E" w:rsidR="00FB1F93" w:rsidRPr="00FB1F93" w:rsidRDefault="00FB1F93">
        <w:pPr>
          <w:pStyle w:val="Footer"/>
          <w:rPr>
            <w:b/>
            <w:bCs/>
          </w:rPr>
        </w:pPr>
        <w:r w:rsidRPr="00FB1F93">
          <w:rPr>
            <w:b/>
            <w:bCs/>
          </w:rPr>
          <w:fldChar w:fldCharType="begin"/>
        </w:r>
        <w:r w:rsidRPr="00FB1F93">
          <w:rPr>
            <w:b/>
            <w:bCs/>
          </w:rPr>
          <w:instrText xml:space="preserve"> PAGE   \* MERGEFORMAT </w:instrText>
        </w:r>
        <w:r w:rsidRPr="00FB1F93">
          <w:rPr>
            <w:b/>
            <w:bCs/>
          </w:rPr>
          <w:fldChar w:fldCharType="separate"/>
        </w:r>
        <w:r w:rsidRPr="00FB1F93">
          <w:rPr>
            <w:b/>
            <w:bCs/>
            <w:noProof/>
          </w:rPr>
          <w:t>2</w:t>
        </w:r>
        <w:r w:rsidRPr="00FB1F93">
          <w:rPr>
            <w:b/>
            <w:bCs/>
            <w:noProof/>
          </w:rPr>
          <w:fldChar w:fldCharType="end"/>
        </w:r>
      </w:p>
    </w:sdtContent>
  </w:sdt>
  <w:p w14:paraId="37BA64C7" w14:textId="77777777" w:rsidR="00FB1F93" w:rsidRDefault="00FB1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82791818"/>
      <w:docPartObj>
        <w:docPartGallery w:val="Page Numbers (Bottom of Page)"/>
        <w:docPartUnique/>
      </w:docPartObj>
    </w:sdtPr>
    <w:sdtEndPr>
      <w:rPr>
        <w:noProof/>
      </w:rPr>
    </w:sdtEndPr>
    <w:sdtContent>
      <w:p w14:paraId="21FA3079" w14:textId="4038322C" w:rsidR="00FB1F93" w:rsidRPr="00FB1F93" w:rsidRDefault="00FB1F93">
        <w:pPr>
          <w:pStyle w:val="Footer"/>
          <w:jc w:val="right"/>
          <w:rPr>
            <w:b/>
            <w:bCs/>
            <w:sz w:val="18"/>
            <w:szCs w:val="18"/>
          </w:rPr>
        </w:pPr>
        <w:r w:rsidRPr="00FB1F93">
          <w:rPr>
            <w:b/>
            <w:bCs/>
            <w:sz w:val="18"/>
            <w:szCs w:val="18"/>
          </w:rPr>
          <w:fldChar w:fldCharType="begin"/>
        </w:r>
        <w:r w:rsidRPr="00FB1F93">
          <w:rPr>
            <w:b/>
            <w:bCs/>
            <w:sz w:val="18"/>
            <w:szCs w:val="18"/>
          </w:rPr>
          <w:instrText xml:space="preserve"> PAGE   \* MERGEFORMAT </w:instrText>
        </w:r>
        <w:r w:rsidRPr="00FB1F93">
          <w:rPr>
            <w:b/>
            <w:bCs/>
            <w:sz w:val="18"/>
            <w:szCs w:val="18"/>
          </w:rPr>
          <w:fldChar w:fldCharType="separate"/>
        </w:r>
        <w:r w:rsidRPr="00FB1F93">
          <w:rPr>
            <w:b/>
            <w:bCs/>
            <w:noProof/>
            <w:sz w:val="18"/>
            <w:szCs w:val="18"/>
          </w:rPr>
          <w:t>2</w:t>
        </w:r>
        <w:r w:rsidRPr="00FB1F93">
          <w:rPr>
            <w:b/>
            <w:bCs/>
            <w:noProof/>
            <w:sz w:val="18"/>
            <w:szCs w:val="18"/>
          </w:rPr>
          <w:fldChar w:fldCharType="end"/>
        </w:r>
      </w:p>
    </w:sdtContent>
  </w:sdt>
  <w:p w14:paraId="452AADD9" w14:textId="77777777" w:rsidR="00FB1F93" w:rsidRDefault="00FB1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03545" w14:textId="77777777" w:rsidR="00E14DF9" w:rsidRPr="000B175B" w:rsidRDefault="00E14DF9" w:rsidP="000B175B">
      <w:pPr>
        <w:tabs>
          <w:tab w:val="right" w:pos="2155"/>
        </w:tabs>
        <w:spacing w:after="80"/>
        <w:ind w:left="680"/>
        <w:rPr>
          <w:u w:val="single"/>
        </w:rPr>
      </w:pPr>
      <w:r>
        <w:rPr>
          <w:u w:val="single"/>
        </w:rPr>
        <w:tab/>
      </w:r>
    </w:p>
  </w:footnote>
  <w:footnote w:type="continuationSeparator" w:id="0">
    <w:p w14:paraId="660662A3" w14:textId="77777777" w:rsidR="00E14DF9" w:rsidRPr="00FC68B7" w:rsidRDefault="00E14DF9" w:rsidP="00FC68B7">
      <w:pPr>
        <w:tabs>
          <w:tab w:val="left" w:pos="2155"/>
        </w:tabs>
        <w:spacing w:after="80"/>
        <w:ind w:left="680"/>
        <w:rPr>
          <w:u w:val="single"/>
        </w:rPr>
      </w:pPr>
      <w:r>
        <w:rPr>
          <w:u w:val="single"/>
        </w:rPr>
        <w:tab/>
      </w:r>
    </w:p>
  </w:footnote>
  <w:footnote w:type="continuationNotice" w:id="1">
    <w:p w14:paraId="7143F373" w14:textId="77777777" w:rsidR="00E14DF9" w:rsidRDefault="00E14DF9"/>
  </w:footnote>
  <w:footnote w:id="2">
    <w:p w14:paraId="52D63AF8" w14:textId="0CAA65EF" w:rsidR="00B77788" w:rsidRPr="00B77788" w:rsidRDefault="00B77788" w:rsidP="00B77788">
      <w:pPr>
        <w:pStyle w:val="FootnoteText"/>
        <w:tabs>
          <w:tab w:val="left" w:pos="1418"/>
        </w:tabs>
        <w:ind w:firstLine="0"/>
        <w:rPr>
          <w:lang w:val="fr-CH"/>
        </w:rPr>
      </w:pPr>
      <w:r>
        <w:rPr>
          <w:rStyle w:val="FootnoteReference"/>
        </w:rPr>
        <w:t>*</w:t>
      </w:r>
      <w:r>
        <w:t xml:space="preserve"> </w:t>
      </w:r>
      <w:r>
        <w:tab/>
      </w:r>
      <w:r w:rsidRPr="00AB3462">
        <w:rPr>
          <w:szCs w:val="18"/>
        </w:rPr>
        <w:t>In accordance with the programme of work of the S</w:t>
      </w:r>
      <w:r>
        <w:rPr>
          <w:szCs w:val="18"/>
        </w:rPr>
        <w:t xml:space="preserve">CEGHS </w:t>
      </w:r>
      <w:r w:rsidRPr="00AB3462">
        <w:rPr>
          <w:szCs w:val="18"/>
        </w:rPr>
        <w:t>for 2017–2018 approved by the Committee at its eighth session (</w:t>
      </w:r>
      <w:r w:rsidRPr="009445DA">
        <w:rPr>
          <w:szCs w:val="18"/>
        </w:rPr>
        <w:t>ST/SG/AC.10/C.4/64</w:t>
      </w:r>
      <w:r>
        <w:rPr>
          <w:szCs w:val="18"/>
        </w:rPr>
        <w:t xml:space="preserve">, paragraph 67, and </w:t>
      </w:r>
      <w:r w:rsidRPr="00AB3462">
        <w:rPr>
          <w:szCs w:val="18"/>
        </w:rPr>
        <w:t>ST/SG/AC.10/44, paragraph 14).</w:t>
      </w:r>
    </w:p>
  </w:footnote>
  <w:footnote w:id="3">
    <w:p w14:paraId="41EFC1AA" w14:textId="2F78240A" w:rsidR="00B77788" w:rsidRPr="00B77788" w:rsidRDefault="00B77788" w:rsidP="00B77788">
      <w:pPr>
        <w:pStyle w:val="FootnoteText"/>
        <w:tabs>
          <w:tab w:val="left" w:pos="1418"/>
        </w:tabs>
        <w:ind w:firstLine="0"/>
        <w:rPr>
          <w:lang w:val="fr-CH"/>
        </w:rPr>
      </w:pPr>
      <w:r>
        <w:rPr>
          <w:rStyle w:val="FootnoteReference"/>
        </w:rPr>
        <w:t>1</w:t>
      </w:r>
      <w:r>
        <w:t xml:space="preserve"> </w:t>
      </w:r>
      <w:r>
        <w:tab/>
      </w:r>
      <w:r w:rsidRPr="00AB3462">
        <w:rPr>
          <w:szCs w:val="18"/>
        </w:rPr>
        <w:t>See</w:t>
      </w:r>
      <w:r>
        <w:rPr>
          <w:szCs w:val="18"/>
        </w:rPr>
        <w:t xml:space="preserve"> the latest status reports</w:t>
      </w:r>
      <w:r w:rsidRPr="00AB3462">
        <w:rPr>
          <w:szCs w:val="18"/>
        </w:rPr>
        <w:t xml:space="preserve"> </w:t>
      </w:r>
      <w:r w:rsidR="007F7940">
        <w:rPr>
          <w:szCs w:val="18"/>
        </w:rPr>
        <w:t>informal document INF.16 (GHS, thirty-fifth session)</w:t>
      </w:r>
      <w:r>
        <w:rPr>
          <w:szCs w:val="18"/>
        </w:rPr>
        <w:t xml:space="preserve"> - </w:t>
      </w:r>
      <w:r w:rsidR="007F7940">
        <w:rPr>
          <w:szCs w:val="18"/>
        </w:rPr>
        <w:t>IN</w:t>
      </w:r>
      <w:r w:rsidRPr="00AB3462">
        <w:rPr>
          <w:szCs w:val="18"/>
        </w:rPr>
        <w:t>F</w:t>
      </w:r>
      <w:r>
        <w:rPr>
          <w:szCs w:val="18"/>
        </w:rPr>
        <w:t>.46</w:t>
      </w:r>
      <w:r w:rsidR="007F7940">
        <w:rPr>
          <w:szCs w:val="18"/>
        </w:rPr>
        <w:t xml:space="preserve"> (TDG, fifty-third session)</w:t>
      </w:r>
      <w:r>
        <w:rPr>
          <w:szCs w:val="18"/>
        </w:rPr>
        <w:t xml:space="preserve">. All previous status reports are listed in footnote 2 of </w:t>
      </w:r>
      <w:r w:rsidRPr="00F25E08">
        <w:rPr>
          <w:szCs w:val="18"/>
        </w:rPr>
        <w:t>ST/SG/AC.10/C.3/2018/33−ST/SG/AC.10/C.4/2018/7</w:t>
      </w:r>
      <w:r>
        <w:rPr>
          <w:szCs w:val="18"/>
        </w:rPr>
        <w:t>.</w:t>
      </w:r>
    </w:p>
  </w:footnote>
  <w:footnote w:id="4">
    <w:p w14:paraId="01B58F4F" w14:textId="5BF6B752" w:rsidR="00B77788" w:rsidRPr="00B77788" w:rsidRDefault="00B77788" w:rsidP="00B77788">
      <w:pPr>
        <w:pStyle w:val="FootnoteText"/>
        <w:tabs>
          <w:tab w:val="left" w:pos="1418"/>
        </w:tabs>
        <w:ind w:firstLine="0"/>
        <w:rPr>
          <w:lang w:val="fr-CH"/>
        </w:rPr>
      </w:pPr>
      <w:r>
        <w:rPr>
          <w:rStyle w:val="FootnoteReference"/>
        </w:rPr>
        <w:t>2</w:t>
      </w:r>
      <w:r>
        <w:t xml:space="preserve"> </w:t>
      </w:r>
      <w:r>
        <w:tab/>
        <w:t xml:space="preserve">See the report from the </w:t>
      </w:r>
      <w:r w:rsidR="007F7940">
        <w:t>thirty-fifth</w:t>
      </w:r>
      <w:r>
        <w:t xml:space="preserve"> session of the SCEGHS (</w:t>
      </w:r>
      <w:r w:rsidRPr="00E74511">
        <w:t>ST/SG</w:t>
      </w:r>
      <w:r>
        <w:t>/AC.10/C.4/70), paragraphs 24-27.</w:t>
      </w:r>
    </w:p>
  </w:footnote>
  <w:footnote w:id="5">
    <w:p w14:paraId="1BC740F5" w14:textId="58889795" w:rsidR="00B77788" w:rsidRPr="00B77788" w:rsidRDefault="00B77788" w:rsidP="00B77788">
      <w:pPr>
        <w:pStyle w:val="FootnoteText"/>
        <w:tabs>
          <w:tab w:val="left" w:pos="1418"/>
        </w:tabs>
        <w:ind w:firstLine="0"/>
        <w:rPr>
          <w:lang w:val="fr-CH"/>
        </w:rPr>
      </w:pPr>
      <w:r>
        <w:rPr>
          <w:rStyle w:val="FootnoteReference"/>
        </w:rPr>
        <w:t>3</w:t>
      </w:r>
      <w:r>
        <w:t xml:space="preserve"> </w:t>
      </w:r>
      <w:r>
        <w:tab/>
        <w:t xml:space="preserve">See </w:t>
      </w:r>
      <w:r w:rsidRPr="00C211E9">
        <w:t>ST/SG/AC.10/C.3/2018/33−ST/SG/AC.10/C.4/2018/7</w:t>
      </w:r>
      <w:r>
        <w:t>.</w:t>
      </w:r>
    </w:p>
  </w:footnote>
  <w:footnote w:id="6">
    <w:p w14:paraId="7E55785E" w14:textId="0B2C04ED" w:rsidR="00B77788" w:rsidRPr="00B77788" w:rsidRDefault="00B77788" w:rsidP="00B77788">
      <w:pPr>
        <w:pStyle w:val="FootnoteText"/>
        <w:tabs>
          <w:tab w:val="left" w:pos="1418"/>
        </w:tabs>
        <w:ind w:firstLine="0"/>
        <w:rPr>
          <w:lang w:val="fr-CH"/>
        </w:rPr>
      </w:pPr>
      <w:r>
        <w:rPr>
          <w:rStyle w:val="FootnoteReference"/>
        </w:rPr>
        <w:t>4</w:t>
      </w:r>
      <w:r>
        <w:t xml:space="preserve"> </w:t>
      </w:r>
      <w:r>
        <w:tab/>
        <w:t xml:space="preserve">In many (if not most) cases, the (transport) packaging or configuration is decisive for the division assigned, as the packaging/configuration is designed to mitigate the explosive effect. Whenever the explosive is out of that </w:t>
      </w:r>
      <w:proofErr w:type="gramStart"/>
      <w:r>
        <w:t>particular packaging/configuration</w:t>
      </w:r>
      <w:proofErr w:type="gramEnd"/>
      <w:r>
        <w:t xml:space="preserve"> the division is, in general, no longer valid.</w:t>
      </w:r>
    </w:p>
  </w:footnote>
  <w:footnote w:id="7">
    <w:p w14:paraId="460CCB67" w14:textId="22E3AF90" w:rsidR="00B77788" w:rsidRPr="00B77788" w:rsidRDefault="00B77788" w:rsidP="00B77788">
      <w:pPr>
        <w:pStyle w:val="FootnoteText"/>
        <w:tabs>
          <w:tab w:val="left" w:pos="1418"/>
        </w:tabs>
        <w:ind w:firstLine="0"/>
        <w:rPr>
          <w:lang w:val="fr-CH"/>
        </w:rPr>
      </w:pPr>
      <w:r>
        <w:rPr>
          <w:rStyle w:val="FootnoteReference"/>
        </w:rPr>
        <w:t>5</w:t>
      </w:r>
      <w:r>
        <w:t xml:space="preserve"> </w:t>
      </w:r>
      <w:r>
        <w:tab/>
        <w:t xml:space="preserve">See </w:t>
      </w:r>
      <w:r w:rsidRPr="00C211E9">
        <w:t>ST/SG/AC.10/C.3/2018/33−ST/SG/AC.10/C.4/2018/7</w:t>
      </w:r>
      <w:r>
        <w:t xml:space="preserve"> for further elaboration on this</w:t>
      </w:r>
      <w:r w:rsidR="007F7940">
        <w:t>.</w:t>
      </w:r>
    </w:p>
  </w:footnote>
  <w:footnote w:id="8">
    <w:p w14:paraId="0C3CD41A" w14:textId="04E52FB6" w:rsidR="00B77788" w:rsidRPr="00B77788" w:rsidRDefault="00B77788" w:rsidP="00B77788">
      <w:pPr>
        <w:pStyle w:val="FootnoteText"/>
        <w:tabs>
          <w:tab w:val="left" w:pos="1418"/>
        </w:tabs>
        <w:ind w:firstLine="0"/>
        <w:rPr>
          <w:lang w:val="fr-CH"/>
        </w:rPr>
      </w:pPr>
      <w:r>
        <w:rPr>
          <w:rStyle w:val="FootnoteReference"/>
        </w:rPr>
        <w:t>6</w:t>
      </w:r>
      <w:r>
        <w:t xml:space="preserve"> </w:t>
      </w:r>
      <w:r>
        <w:tab/>
        <w:t xml:space="preserve">See </w:t>
      </w:r>
      <w:r w:rsidR="007F7940">
        <w:t>informal document INF.20 (GHS, thirty-fourth session)</w:t>
      </w:r>
      <w:r w:rsidRPr="00B8748A">
        <w:t xml:space="preserve"> - INF.57</w:t>
      </w:r>
      <w:r w:rsidR="007F7940">
        <w:t xml:space="preserve"> (TDG, fifty-second session)</w:t>
      </w:r>
      <w:r>
        <w:t>.</w:t>
      </w:r>
    </w:p>
  </w:footnote>
  <w:footnote w:id="9">
    <w:p w14:paraId="0F45815A" w14:textId="7F92AB38" w:rsidR="00B77788" w:rsidRPr="00B77788" w:rsidRDefault="00B77788" w:rsidP="00B77788">
      <w:pPr>
        <w:pStyle w:val="FootnoteText"/>
        <w:tabs>
          <w:tab w:val="left" w:pos="1418"/>
        </w:tabs>
        <w:ind w:firstLine="0"/>
        <w:rPr>
          <w:lang w:val="fr-CH"/>
        </w:rPr>
      </w:pPr>
      <w:r>
        <w:rPr>
          <w:rStyle w:val="FootnoteReference"/>
        </w:rPr>
        <w:t>7</w:t>
      </w:r>
      <w:r>
        <w:t xml:space="preserve"> </w:t>
      </w:r>
      <w:r>
        <w:tab/>
      </w:r>
      <w:r w:rsidR="007F7940">
        <w:t xml:space="preserve">Informal document </w:t>
      </w:r>
      <w:r w:rsidRPr="00B8748A">
        <w:t>INF.67</w:t>
      </w:r>
      <w:r w:rsidR="007F7940">
        <w:t xml:space="preserve"> (TDG, fifty-third session)</w:t>
      </w:r>
      <w:r>
        <w:t>, paragraph 18.</w:t>
      </w:r>
    </w:p>
  </w:footnote>
  <w:footnote w:id="10">
    <w:p w14:paraId="63EE616B" w14:textId="2B66F7D5" w:rsidR="00B77788" w:rsidRPr="00B77788" w:rsidRDefault="00B77788" w:rsidP="00B77788">
      <w:pPr>
        <w:pStyle w:val="FootnoteText"/>
        <w:tabs>
          <w:tab w:val="left" w:pos="1418"/>
        </w:tabs>
        <w:ind w:firstLine="0"/>
        <w:rPr>
          <w:lang w:val="fr-CH"/>
        </w:rPr>
      </w:pPr>
      <w:r>
        <w:rPr>
          <w:rStyle w:val="FootnoteReference"/>
        </w:rPr>
        <w:t>8</w:t>
      </w:r>
      <w:r>
        <w:t xml:space="preserve"> </w:t>
      </w:r>
      <w:r>
        <w:tab/>
      </w:r>
      <w:r w:rsidRPr="007E4B38">
        <w:t xml:space="preserve">See </w:t>
      </w:r>
      <w:r>
        <w:t>the report from the joint TDG/GHS-session (</w:t>
      </w:r>
      <w:r w:rsidRPr="007E4B38">
        <w:t>ST/SG/AC.10/C.3/106</w:t>
      </w:r>
      <w:r>
        <w:t>), paragraphs 163-165,</w:t>
      </w:r>
      <w:r w:rsidRPr="007E4B38">
        <w:t xml:space="preserve"> </w:t>
      </w:r>
      <w:r>
        <w:t>the report from the ICG-meeting (</w:t>
      </w:r>
      <w:r w:rsidR="007F7940">
        <w:t xml:space="preserve">informal document </w:t>
      </w:r>
      <w:r w:rsidRPr="007E4B38">
        <w:t>INF.30</w:t>
      </w:r>
      <w:r w:rsidR="007F7940">
        <w:t xml:space="preserve"> (GHS, thirty-fifth session)</w:t>
      </w:r>
      <w:r>
        <w:t xml:space="preserve"> as well as the report from the SCEGHS (</w:t>
      </w:r>
      <w:r w:rsidRPr="00E74511">
        <w:t>ST/SG</w:t>
      </w:r>
      <w:r>
        <w:t>/AC.10/C.4/70), paragraphs 24-27.</w:t>
      </w:r>
    </w:p>
  </w:footnote>
  <w:footnote w:id="11">
    <w:p w14:paraId="4A99A62B" w14:textId="55E65FA8" w:rsidR="00B77788" w:rsidRPr="00B77788" w:rsidRDefault="00B77788" w:rsidP="00B77788">
      <w:pPr>
        <w:pStyle w:val="FootnoteText"/>
        <w:tabs>
          <w:tab w:val="left" w:pos="1418"/>
        </w:tabs>
        <w:ind w:firstLine="0"/>
        <w:rPr>
          <w:lang w:val="fr-CH"/>
        </w:rPr>
      </w:pPr>
      <w:r>
        <w:rPr>
          <w:rStyle w:val="FootnoteReference"/>
        </w:rPr>
        <w:t>9</w:t>
      </w:r>
      <w:r>
        <w:t xml:space="preserve"> </w:t>
      </w:r>
      <w:r>
        <w:tab/>
        <w:t>See the report from the SCEGHS (</w:t>
      </w:r>
      <w:r w:rsidRPr="00E74511">
        <w:t>ST/SG</w:t>
      </w:r>
      <w:r>
        <w:t>/AC.10/C.4/70), paragraphs 24-27.</w:t>
      </w:r>
    </w:p>
  </w:footnote>
  <w:footnote w:id="12">
    <w:p w14:paraId="6E5F81FF" w14:textId="55F105C5" w:rsidR="00B77788" w:rsidRPr="00B77788" w:rsidRDefault="00B77788" w:rsidP="00B77788">
      <w:pPr>
        <w:pStyle w:val="FootnoteText"/>
        <w:tabs>
          <w:tab w:val="left" w:pos="1418"/>
        </w:tabs>
        <w:ind w:firstLine="0"/>
        <w:rPr>
          <w:lang w:val="fr-CH"/>
        </w:rPr>
      </w:pPr>
      <w:r>
        <w:rPr>
          <w:rStyle w:val="FootnoteReference"/>
        </w:rPr>
        <w:t>10</w:t>
      </w:r>
      <w:r>
        <w:t xml:space="preserve"> </w:t>
      </w:r>
      <w:r>
        <w:tab/>
        <w:t xml:space="preserve">See </w:t>
      </w:r>
      <w:r w:rsidR="007F7940">
        <w:t xml:space="preserve">informal documents </w:t>
      </w:r>
      <w:r w:rsidRPr="00AB3462">
        <w:rPr>
          <w:szCs w:val="18"/>
        </w:rPr>
        <w:t>INF.</w:t>
      </w:r>
      <w:r>
        <w:rPr>
          <w:szCs w:val="18"/>
        </w:rPr>
        <w:t xml:space="preserve">9 </w:t>
      </w:r>
      <w:r w:rsidR="007F7940">
        <w:rPr>
          <w:szCs w:val="18"/>
        </w:rPr>
        <w:t xml:space="preserve">(GHS, thirty-fifth session) </w:t>
      </w:r>
      <w:r>
        <w:rPr>
          <w:szCs w:val="18"/>
        </w:rPr>
        <w:t xml:space="preserve">- </w:t>
      </w:r>
      <w:r w:rsidRPr="00AB3462">
        <w:rPr>
          <w:szCs w:val="18"/>
        </w:rPr>
        <w:t>INF</w:t>
      </w:r>
      <w:r>
        <w:rPr>
          <w:szCs w:val="18"/>
        </w:rPr>
        <w:t>.10</w:t>
      </w:r>
      <w:r w:rsidR="007F7940">
        <w:rPr>
          <w:szCs w:val="18"/>
        </w:rPr>
        <w:t xml:space="preserve"> (TDG, fifty-third session)</w:t>
      </w:r>
      <w:r>
        <w:rPr>
          <w:szCs w:val="18"/>
        </w:rPr>
        <w:t>.</w:t>
      </w:r>
    </w:p>
  </w:footnote>
  <w:footnote w:id="13">
    <w:p w14:paraId="5D26AB59" w14:textId="575E8A2A" w:rsidR="00B77788" w:rsidRPr="00B77788" w:rsidRDefault="00B77788" w:rsidP="00B77788">
      <w:pPr>
        <w:pStyle w:val="FootnoteText"/>
        <w:tabs>
          <w:tab w:val="left" w:pos="1418"/>
        </w:tabs>
        <w:ind w:firstLine="0"/>
        <w:rPr>
          <w:lang w:val="fr-CH"/>
        </w:rPr>
      </w:pPr>
      <w:r>
        <w:rPr>
          <w:rStyle w:val="FootnoteReference"/>
        </w:rPr>
        <w:t>11</w:t>
      </w:r>
      <w:r>
        <w:t xml:space="preserve"> </w:t>
      </w:r>
      <w:r>
        <w:tab/>
        <w:t xml:space="preserve">Referring to those in the report from the EWG meeting, </w:t>
      </w:r>
      <w:r w:rsidR="007F7940">
        <w:t xml:space="preserve">informal document </w:t>
      </w:r>
      <w:r w:rsidRPr="00B8748A">
        <w:t>INF.67</w:t>
      </w:r>
      <w:r w:rsidR="007F7940">
        <w:t xml:space="preserve"> (TDG, fifty-third session)</w:t>
      </w:r>
      <w:r>
        <w:t>, paragraph 18.</w:t>
      </w:r>
    </w:p>
  </w:footnote>
  <w:footnote w:id="14">
    <w:p w14:paraId="76075681" w14:textId="52BABC7D" w:rsidR="00B77788" w:rsidRPr="00B77788" w:rsidRDefault="00B77788" w:rsidP="00B77788">
      <w:pPr>
        <w:pStyle w:val="FootnoteText"/>
        <w:tabs>
          <w:tab w:val="left" w:pos="1418"/>
        </w:tabs>
        <w:ind w:firstLine="0"/>
        <w:rPr>
          <w:lang w:val="fr-CH"/>
        </w:rPr>
      </w:pPr>
      <w:r>
        <w:rPr>
          <w:rStyle w:val="FootnoteReference"/>
        </w:rPr>
        <w:t>12</w:t>
      </w:r>
      <w:r>
        <w:t xml:space="preserve"> </w:t>
      </w:r>
      <w:r>
        <w:tab/>
        <w:t xml:space="preserve">See the Annex of </w:t>
      </w:r>
      <w:r w:rsidRPr="00C211E9">
        <w:t>ST/SG/AC.10/C.3/2018/33−ST/SG/AC.10/C.4/2018/7</w:t>
      </w:r>
      <w:r>
        <w:t>.</w:t>
      </w:r>
    </w:p>
  </w:footnote>
  <w:footnote w:id="15">
    <w:p w14:paraId="6AD7C680" w14:textId="5261DE9A" w:rsidR="00B77788" w:rsidRPr="00B77788" w:rsidRDefault="00B77788" w:rsidP="00B77788">
      <w:pPr>
        <w:pStyle w:val="FootnoteText"/>
        <w:tabs>
          <w:tab w:val="left" w:pos="1418"/>
        </w:tabs>
        <w:ind w:firstLine="0"/>
        <w:rPr>
          <w:lang w:val="fr-CH"/>
        </w:rPr>
      </w:pPr>
      <w:r>
        <w:rPr>
          <w:rStyle w:val="FootnoteReference"/>
        </w:rPr>
        <w:t>13</w:t>
      </w:r>
      <w:r>
        <w:t xml:space="preserve"> </w:t>
      </w:r>
      <w:r>
        <w:tab/>
        <w:t xml:space="preserve">See the report from the EWG meeting, </w:t>
      </w:r>
      <w:r w:rsidR="00F8671D">
        <w:t xml:space="preserve">informal document </w:t>
      </w:r>
      <w:r w:rsidRPr="00B8748A">
        <w:t>INF.67</w:t>
      </w:r>
      <w:r w:rsidR="00F8671D">
        <w:t xml:space="preserve"> (fifty-third session)</w:t>
      </w:r>
      <w:r>
        <w:t>,</w:t>
      </w:r>
      <w:r w:rsidR="00F8671D">
        <w:br/>
      </w:r>
      <w:r>
        <w:t xml:space="preserve"> paragraph 18.</w:t>
      </w:r>
    </w:p>
  </w:footnote>
  <w:footnote w:id="16">
    <w:p w14:paraId="5F61D7D4" w14:textId="3AD7E8C5" w:rsidR="00B77788" w:rsidRPr="00B77788" w:rsidRDefault="00B77788" w:rsidP="00B77788">
      <w:pPr>
        <w:pStyle w:val="FootnoteText"/>
        <w:tabs>
          <w:tab w:val="left" w:pos="1418"/>
        </w:tabs>
        <w:ind w:firstLine="0"/>
        <w:rPr>
          <w:lang w:val="fr-CH"/>
        </w:rPr>
      </w:pPr>
      <w:r>
        <w:rPr>
          <w:rStyle w:val="FootnoteReference"/>
        </w:rPr>
        <w:t>14</w:t>
      </w:r>
      <w:r>
        <w:t xml:space="preserve"> </w:t>
      </w:r>
      <w:r>
        <w:tab/>
        <w:t xml:space="preserve">It was also </w:t>
      </w:r>
      <w:r w:rsidRPr="007C4C94">
        <w:t>noted in the report from the EWG in June 2018</w:t>
      </w:r>
      <w:r>
        <w:t xml:space="preserve"> that </w:t>
      </w:r>
      <w:r w:rsidRPr="007C4C94">
        <w:t>some consideration may be required to categorise very small amounts of materials that have not yet been characterised.</w:t>
      </w:r>
    </w:p>
  </w:footnote>
  <w:footnote w:id="17">
    <w:p w14:paraId="5A8CEEF7" w14:textId="08098E88" w:rsidR="00B77788" w:rsidRPr="00B77788" w:rsidRDefault="00B77788" w:rsidP="00B77788">
      <w:pPr>
        <w:pStyle w:val="FootnoteText"/>
        <w:tabs>
          <w:tab w:val="left" w:pos="1418"/>
        </w:tabs>
        <w:ind w:firstLine="0"/>
        <w:rPr>
          <w:lang w:val="fr-CH"/>
        </w:rPr>
      </w:pPr>
      <w:r>
        <w:rPr>
          <w:rStyle w:val="FootnoteReference"/>
        </w:rPr>
        <w:t>15</w:t>
      </w:r>
      <w:r>
        <w:t xml:space="preserve"> </w:t>
      </w:r>
      <w:r>
        <w:tab/>
      </w:r>
      <w:r w:rsidRPr="00F12C2A">
        <w:t>According to the Model Regulations, these are rejected from Class 1 and not allowed for transport.</w:t>
      </w:r>
    </w:p>
  </w:footnote>
  <w:footnote w:id="18">
    <w:p w14:paraId="7AA773D7" w14:textId="4F3D8691" w:rsidR="00B77788" w:rsidRPr="00B77788" w:rsidRDefault="00B77788" w:rsidP="00B77788">
      <w:pPr>
        <w:pStyle w:val="FootnoteText"/>
        <w:tabs>
          <w:tab w:val="left" w:pos="1418"/>
        </w:tabs>
        <w:ind w:firstLine="0"/>
        <w:rPr>
          <w:lang w:val="fr-CH"/>
        </w:rPr>
      </w:pPr>
      <w:r>
        <w:rPr>
          <w:rStyle w:val="FootnoteReference"/>
        </w:rPr>
        <w:t>16</w:t>
      </w:r>
      <w:r>
        <w:t xml:space="preserve"> </w:t>
      </w:r>
      <w:r>
        <w:tab/>
      </w:r>
      <w:r w:rsidRPr="001B0C7B">
        <w:t>See</w:t>
      </w:r>
      <w:r>
        <w:t xml:space="preserve"> further discussion in the</w:t>
      </w:r>
      <w:r w:rsidR="00F8671D">
        <w:t xml:space="preserve"> report from the ICG </w:t>
      </w:r>
      <w:r w:rsidRPr="001B0C7B">
        <w:t xml:space="preserve">meeting in July 2018, </w:t>
      </w:r>
      <w:r w:rsidR="00F8671D">
        <w:t xml:space="preserve">informal document </w:t>
      </w:r>
      <w:r w:rsidRPr="007E4B38">
        <w:t>INF.30</w:t>
      </w:r>
      <w:r w:rsidR="00F8671D">
        <w:t xml:space="preserve"> (thirty-fifth session)</w:t>
      </w:r>
      <w:r>
        <w:t>. It was recognised that there are other ways of achieving the aim of informing on mechanical sensitivity/thermal instability that would not need splitting of the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179A" w14:textId="2DA847AC" w:rsidR="00A81AE9" w:rsidRPr="00A81AE9" w:rsidRDefault="00A81AE9" w:rsidP="00FB1F93">
    <w:pPr>
      <w:pStyle w:val="Header"/>
      <w:tabs>
        <w:tab w:val="left" w:pos="2560"/>
      </w:tabs>
      <w:rPr>
        <w:lang w:val="fr-CH"/>
      </w:rPr>
    </w:pPr>
    <w:r>
      <w:rPr>
        <w:lang w:val="fr-CH"/>
      </w:rPr>
      <w:t>ST/SG/AC.10/C.3/2018/85</w:t>
    </w:r>
    <w:r w:rsidR="00FB1F93">
      <w:rPr>
        <w:lang w:val="fr-CH"/>
      </w:rPr>
      <w:tab/>
    </w:r>
    <w:r>
      <w:rPr>
        <w:lang w:val="fr-CH"/>
      </w:rPr>
      <w:br/>
      <w:t>ST/SG/AC.10/C.4/2018/20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095D7" w14:textId="6E35C0C7" w:rsidR="00FB1F93" w:rsidRDefault="00FB1F93" w:rsidP="00FB1F93">
    <w:pPr>
      <w:pStyle w:val="Header"/>
      <w:jc w:val="right"/>
    </w:pPr>
    <w:r>
      <w:rPr>
        <w:lang w:val="fr-CH"/>
      </w:rPr>
      <w:t>ST/SG/AC.10/C.3/2018/85</w:t>
    </w:r>
    <w:r>
      <w:rPr>
        <w:lang w:val="fr-CH"/>
      </w:rPr>
      <w:br/>
      <w:t>ST/SG/AC.10/C.4/2018/20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5DF9" w14:textId="68C31758" w:rsidR="00D243EB" w:rsidRDefault="00D243EB" w:rsidP="00A81A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5BD7712"/>
    <w:multiLevelType w:val="hybridMultilevel"/>
    <w:tmpl w:val="6E1237B6"/>
    <w:lvl w:ilvl="0" w:tplc="B67A0E7E">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4" w15:restartNumberingAfterBreak="0">
    <w:nsid w:val="44594522"/>
    <w:multiLevelType w:val="hybridMultilevel"/>
    <w:tmpl w:val="3190CA8C"/>
    <w:lvl w:ilvl="0" w:tplc="973A014C">
      <w:start w:val="1"/>
      <w:numFmt w:val="lowerRoman"/>
      <w:lvlText w:val="(%1)"/>
      <w:lvlJc w:val="left"/>
      <w:pPr>
        <w:ind w:left="1854" w:hanging="72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5C3949EA"/>
    <w:multiLevelType w:val="hybridMultilevel"/>
    <w:tmpl w:val="7F9046A6"/>
    <w:lvl w:ilvl="0" w:tplc="932A557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3725E8E"/>
    <w:multiLevelType w:val="hybridMultilevel"/>
    <w:tmpl w:val="50123052"/>
    <w:lvl w:ilvl="0" w:tplc="932A557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E778FE"/>
    <w:multiLevelType w:val="hybridMultilevel"/>
    <w:tmpl w:val="6B62F0E4"/>
    <w:lvl w:ilvl="0" w:tplc="93BAF2A6">
      <w:start w:val="7"/>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22" w15:restartNumberingAfterBreak="0">
    <w:nsid w:val="7D626A48"/>
    <w:multiLevelType w:val="hybridMultilevel"/>
    <w:tmpl w:val="10B2FBD0"/>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8"/>
  </w:num>
  <w:num w:numId="15">
    <w:abstractNumId w:val="20"/>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1"/>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21"/>
  </w:num>
  <w:num w:numId="41">
    <w:abstractNumId w:val="15"/>
  </w:num>
  <w:num w:numId="42">
    <w:abstractNumId w:val="17"/>
  </w:num>
  <w:num w:numId="43">
    <w:abstractNumId w:val="13"/>
  </w:num>
  <w:num w:numId="44">
    <w:abstractNumId w:val="19"/>
  </w:num>
  <w:num w:numId="45">
    <w:abstractNumId w:val="22"/>
  </w:num>
  <w:num w:numId="4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5C"/>
    <w:rsid w:val="000015F9"/>
    <w:rsid w:val="00002487"/>
    <w:rsid w:val="00005982"/>
    <w:rsid w:val="00011DCE"/>
    <w:rsid w:val="00015809"/>
    <w:rsid w:val="00020FED"/>
    <w:rsid w:val="0002103B"/>
    <w:rsid w:val="000222F9"/>
    <w:rsid w:val="00023DBC"/>
    <w:rsid w:val="0002739F"/>
    <w:rsid w:val="00030B13"/>
    <w:rsid w:val="00034C3B"/>
    <w:rsid w:val="000353A6"/>
    <w:rsid w:val="00035656"/>
    <w:rsid w:val="00035994"/>
    <w:rsid w:val="00037276"/>
    <w:rsid w:val="00042E5C"/>
    <w:rsid w:val="00044C7A"/>
    <w:rsid w:val="00044EB7"/>
    <w:rsid w:val="0004617D"/>
    <w:rsid w:val="000500C8"/>
    <w:rsid w:val="0005042C"/>
    <w:rsid w:val="000504CE"/>
    <w:rsid w:val="00050F6B"/>
    <w:rsid w:val="00052A23"/>
    <w:rsid w:val="0006118A"/>
    <w:rsid w:val="00061F79"/>
    <w:rsid w:val="00063873"/>
    <w:rsid w:val="00064713"/>
    <w:rsid w:val="000654EE"/>
    <w:rsid w:val="000672E1"/>
    <w:rsid w:val="0007037A"/>
    <w:rsid w:val="000706B7"/>
    <w:rsid w:val="000729A1"/>
    <w:rsid w:val="00072C8C"/>
    <w:rsid w:val="00074D4E"/>
    <w:rsid w:val="000806D6"/>
    <w:rsid w:val="00085AFC"/>
    <w:rsid w:val="00087CE1"/>
    <w:rsid w:val="00091419"/>
    <w:rsid w:val="00092E33"/>
    <w:rsid w:val="000931C0"/>
    <w:rsid w:val="000955F4"/>
    <w:rsid w:val="00097EA0"/>
    <w:rsid w:val="000A004E"/>
    <w:rsid w:val="000A25D2"/>
    <w:rsid w:val="000A43BC"/>
    <w:rsid w:val="000A71D4"/>
    <w:rsid w:val="000B158D"/>
    <w:rsid w:val="000B175B"/>
    <w:rsid w:val="000B1B3B"/>
    <w:rsid w:val="000B28A5"/>
    <w:rsid w:val="000B2FC0"/>
    <w:rsid w:val="000B374C"/>
    <w:rsid w:val="000B3A0F"/>
    <w:rsid w:val="000B4310"/>
    <w:rsid w:val="000C0EC7"/>
    <w:rsid w:val="000C4EF6"/>
    <w:rsid w:val="000C5E7A"/>
    <w:rsid w:val="000C735D"/>
    <w:rsid w:val="000D0A97"/>
    <w:rsid w:val="000D3E84"/>
    <w:rsid w:val="000D4FD8"/>
    <w:rsid w:val="000D5982"/>
    <w:rsid w:val="000D5B8C"/>
    <w:rsid w:val="000D6B4A"/>
    <w:rsid w:val="000D6C67"/>
    <w:rsid w:val="000E0415"/>
    <w:rsid w:val="000E25D3"/>
    <w:rsid w:val="000E4A7B"/>
    <w:rsid w:val="000E64F9"/>
    <w:rsid w:val="000F3363"/>
    <w:rsid w:val="00103BFC"/>
    <w:rsid w:val="001102E5"/>
    <w:rsid w:val="00111978"/>
    <w:rsid w:val="0011392D"/>
    <w:rsid w:val="00115E7C"/>
    <w:rsid w:val="00117787"/>
    <w:rsid w:val="00120C46"/>
    <w:rsid w:val="00122EBB"/>
    <w:rsid w:val="00131B20"/>
    <w:rsid w:val="00131D42"/>
    <w:rsid w:val="00132D22"/>
    <w:rsid w:val="00133192"/>
    <w:rsid w:val="001344B8"/>
    <w:rsid w:val="001348A5"/>
    <w:rsid w:val="00141242"/>
    <w:rsid w:val="001413D1"/>
    <w:rsid w:val="001437D3"/>
    <w:rsid w:val="00144F3E"/>
    <w:rsid w:val="0015128C"/>
    <w:rsid w:val="00151F5B"/>
    <w:rsid w:val="00153CDD"/>
    <w:rsid w:val="00156502"/>
    <w:rsid w:val="0016012F"/>
    <w:rsid w:val="00161772"/>
    <w:rsid w:val="00162164"/>
    <w:rsid w:val="00162F4A"/>
    <w:rsid w:val="001633FB"/>
    <w:rsid w:val="001656FC"/>
    <w:rsid w:val="00167293"/>
    <w:rsid w:val="00167786"/>
    <w:rsid w:val="001732AD"/>
    <w:rsid w:val="001757C5"/>
    <w:rsid w:val="001757CE"/>
    <w:rsid w:val="00175C80"/>
    <w:rsid w:val="00176A8F"/>
    <w:rsid w:val="00184821"/>
    <w:rsid w:val="00184FCD"/>
    <w:rsid w:val="00185157"/>
    <w:rsid w:val="00187190"/>
    <w:rsid w:val="00191DE4"/>
    <w:rsid w:val="00193CE3"/>
    <w:rsid w:val="00195244"/>
    <w:rsid w:val="00196E35"/>
    <w:rsid w:val="001A0DE5"/>
    <w:rsid w:val="001A30A7"/>
    <w:rsid w:val="001A3561"/>
    <w:rsid w:val="001A3BFA"/>
    <w:rsid w:val="001A4F32"/>
    <w:rsid w:val="001A7069"/>
    <w:rsid w:val="001B038E"/>
    <w:rsid w:val="001B0C7B"/>
    <w:rsid w:val="001B372A"/>
    <w:rsid w:val="001B4A30"/>
    <w:rsid w:val="001B4B04"/>
    <w:rsid w:val="001C106A"/>
    <w:rsid w:val="001C3170"/>
    <w:rsid w:val="001C6663"/>
    <w:rsid w:val="001C6C85"/>
    <w:rsid w:val="001C7895"/>
    <w:rsid w:val="001D1A40"/>
    <w:rsid w:val="001D23B4"/>
    <w:rsid w:val="001D26DF"/>
    <w:rsid w:val="001D2FDC"/>
    <w:rsid w:val="001D4354"/>
    <w:rsid w:val="001D50B0"/>
    <w:rsid w:val="001E0F45"/>
    <w:rsid w:val="001E4475"/>
    <w:rsid w:val="001E796B"/>
    <w:rsid w:val="001F0FE4"/>
    <w:rsid w:val="001F6726"/>
    <w:rsid w:val="001F7CF4"/>
    <w:rsid w:val="00202134"/>
    <w:rsid w:val="00202DC3"/>
    <w:rsid w:val="00211DE3"/>
    <w:rsid w:val="00211E0B"/>
    <w:rsid w:val="00212394"/>
    <w:rsid w:val="0021321D"/>
    <w:rsid w:val="00213641"/>
    <w:rsid w:val="0021553B"/>
    <w:rsid w:val="00220264"/>
    <w:rsid w:val="00221C03"/>
    <w:rsid w:val="002228EB"/>
    <w:rsid w:val="00223E60"/>
    <w:rsid w:val="002266FE"/>
    <w:rsid w:val="002309A7"/>
    <w:rsid w:val="002317EE"/>
    <w:rsid w:val="00237406"/>
    <w:rsid w:val="00237785"/>
    <w:rsid w:val="00241466"/>
    <w:rsid w:val="00244BBB"/>
    <w:rsid w:val="00252AF4"/>
    <w:rsid w:val="0025304C"/>
    <w:rsid w:val="002538ED"/>
    <w:rsid w:val="00253D78"/>
    <w:rsid w:val="0025405A"/>
    <w:rsid w:val="00255D32"/>
    <w:rsid w:val="00256236"/>
    <w:rsid w:val="00256E52"/>
    <w:rsid w:val="00257360"/>
    <w:rsid w:val="002615F4"/>
    <w:rsid w:val="00262447"/>
    <w:rsid w:val="00264A94"/>
    <w:rsid w:val="00265E8D"/>
    <w:rsid w:val="00267017"/>
    <w:rsid w:val="00267C9C"/>
    <w:rsid w:val="00270B8F"/>
    <w:rsid w:val="002725CA"/>
    <w:rsid w:val="00275393"/>
    <w:rsid w:val="00275C6E"/>
    <w:rsid w:val="00280EB7"/>
    <w:rsid w:val="00284946"/>
    <w:rsid w:val="00291986"/>
    <w:rsid w:val="00291A8F"/>
    <w:rsid w:val="00294148"/>
    <w:rsid w:val="00297A67"/>
    <w:rsid w:val="002A1B21"/>
    <w:rsid w:val="002A3CA8"/>
    <w:rsid w:val="002A3EEC"/>
    <w:rsid w:val="002A46AC"/>
    <w:rsid w:val="002A591C"/>
    <w:rsid w:val="002A5E30"/>
    <w:rsid w:val="002B10FC"/>
    <w:rsid w:val="002B1CDA"/>
    <w:rsid w:val="002B1F5C"/>
    <w:rsid w:val="002B3EC6"/>
    <w:rsid w:val="002B4976"/>
    <w:rsid w:val="002B66A3"/>
    <w:rsid w:val="002C34B2"/>
    <w:rsid w:val="002C3DE6"/>
    <w:rsid w:val="002C54FE"/>
    <w:rsid w:val="002C5B87"/>
    <w:rsid w:val="002C65AC"/>
    <w:rsid w:val="002C6777"/>
    <w:rsid w:val="002C67F8"/>
    <w:rsid w:val="002D21BA"/>
    <w:rsid w:val="002E11F1"/>
    <w:rsid w:val="002E7D51"/>
    <w:rsid w:val="002F16E1"/>
    <w:rsid w:val="0030134A"/>
    <w:rsid w:val="0030458D"/>
    <w:rsid w:val="00305238"/>
    <w:rsid w:val="003104E5"/>
    <w:rsid w:val="003105A9"/>
    <w:rsid w:val="003107FA"/>
    <w:rsid w:val="00314FCD"/>
    <w:rsid w:val="003229D8"/>
    <w:rsid w:val="00324304"/>
    <w:rsid w:val="00326D0A"/>
    <w:rsid w:val="00327DB7"/>
    <w:rsid w:val="0033029B"/>
    <w:rsid w:val="00334C58"/>
    <w:rsid w:val="0033766D"/>
    <w:rsid w:val="00337674"/>
    <w:rsid w:val="00337FD0"/>
    <w:rsid w:val="00345F2F"/>
    <w:rsid w:val="0035290D"/>
    <w:rsid w:val="00364E36"/>
    <w:rsid w:val="0037333E"/>
    <w:rsid w:val="00374FAA"/>
    <w:rsid w:val="00375F43"/>
    <w:rsid w:val="003808A5"/>
    <w:rsid w:val="00385D07"/>
    <w:rsid w:val="00387477"/>
    <w:rsid w:val="00387914"/>
    <w:rsid w:val="00391B8A"/>
    <w:rsid w:val="00391E40"/>
    <w:rsid w:val="0039277A"/>
    <w:rsid w:val="00392BEC"/>
    <w:rsid w:val="003972E0"/>
    <w:rsid w:val="00397923"/>
    <w:rsid w:val="003A0282"/>
    <w:rsid w:val="003A0940"/>
    <w:rsid w:val="003A5D8F"/>
    <w:rsid w:val="003A63DE"/>
    <w:rsid w:val="003A6EF5"/>
    <w:rsid w:val="003A6FE2"/>
    <w:rsid w:val="003B1924"/>
    <w:rsid w:val="003B3B04"/>
    <w:rsid w:val="003B5BC9"/>
    <w:rsid w:val="003C2CC4"/>
    <w:rsid w:val="003D4B23"/>
    <w:rsid w:val="003D60F7"/>
    <w:rsid w:val="003D782C"/>
    <w:rsid w:val="003E2E5D"/>
    <w:rsid w:val="003E35CC"/>
    <w:rsid w:val="003E6CCC"/>
    <w:rsid w:val="003F167F"/>
    <w:rsid w:val="003F7757"/>
    <w:rsid w:val="004041D0"/>
    <w:rsid w:val="00404FEA"/>
    <w:rsid w:val="004057FC"/>
    <w:rsid w:val="00406FAA"/>
    <w:rsid w:val="00407C26"/>
    <w:rsid w:val="0041648C"/>
    <w:rsid w:val="00417C54"/>
    <w:rsid w:val="00421173"/>
    <w:rsid w:val="00421A95"/>
    <w:rsid w:val="00427027"/>
    <w:rsid w:val="00432447"/>
    <w:rsid w:val="004325CB"/>
    <w:rsid w:val="004355C6"/>
    <w:rsid w:val="00437846"/>
    <w:rsid w:val="00437F3F"/>
    <w:rsid w:val="00444EA3"/>
    <w:rsid w:val="00446DE4"/>
    <w:rsid w:val="004513F0"/>
    <w:rsid w:val="0045372C"/>
    <w:rsid w:val="00454036"/>
    <w:rsid w:val="00454F71"/>
    <w:rsid w:val="00455F63"/>
    <w:rsid w:val="004570D1"/>
    <w:rsid w:val="00470360"/>
    <w:rsid w:val="004729D1"/>
    <w:rsid w:val="0048177D"/>
    <w:rsid w:val="004820A6"/>
    <w:rsid w:val="00483C91"/>
    <w:rsid w:val="00484509"/>
    <w:rsid w:val="004875F2"/>
    <w:rsid w:val="00490A7A"/>
    <w:rsid w:val="00492614"/>
    <w:rsid w:val="00493F79"/>
    <w:rsid w:val="004960E6"/>
    <w:rsid w:val="004974AF"/>
    <w:rsid w:val="004A077A"/>
    <w:rsid w:val="004A0D48"/>
    <w:rsid w:val="004A3F20"/>
    <w:rsid w:val="004A641A"/>
    <w:rsid w:val="004A7228"/>
    <w:rsid w:val="004B05A7"/>
    <w:rsid w:val="004B0BB9"/>
    <w:rsid w:val="004B2C9D"/>
    <w:rsid w:val="004B7395"/>
    <w:rsid w:val="004C05DA"/>
    <w:rsid w:val="004C1ADF"/>
    <w:rsid w:val="004C6109"/>
    <w:rsid w:val="004C6B89"/>
    <w:rsid w:val="004D15D3"/>
    <w:rsid w:val="004D22F3"/>
    <w:rsid w:val="004D244B"/>
    <w:rsid w:val="004D6346"/>
    <w:rsid w:val="004D676A"/>
    <w:rsid w:val="004E394C"/>
    <w:rsid w:val="004E6BE7"/>
    <w:rsid w:val="004F0339"/>
    <w:rsid w:val="004F3FCB"/>
    <w:rsid w:val="00504EC8"/>
    <w:rsid w:val="005056A4"/>
    <w:rsid w:val="0051448B"/>
    <w:rsid w:val="005160F8"/>
    <w:rsid w:val="00522A8A"/>
    <w:rsid w:val="00527910"/>
    <w:rsid w:val="00530BBD"/>
    <w:rsid w:val="00532163"/>
    <w:rsid w:val="00535CDB"/>
    <w:rsid w:val="0053629F"/>
    <w:rsid w:val="005401B2"/>
    <w:rsid w:val="005420F2"/>
    <w:rsid w:val="0054320C"/>
    <w:rsid w:val="00544B88"/>
    <w:rsid w:val="00545A68"/>
    <w:rsid w:val="00546C67"/>
    <w:rsid w:val="00547952"/>
    <w:rsid w:val="00555059"/>
    <w:rsid w:val="005576A2"/>
    <w:rsid w:val="005618E1"/>
    <w:rsid w:val="00561C4C"/>
    <w:rsid w:val="00563EB6"/>
    <w:rsid w:val="00565275"/>
    <w:rsid w:val="005664A9"/>
    <w:rsid w:val="00571352"/>
    <w:rsid w:val="0057623B"/>
    <w:rsid w:val="00577BEE"/>
    <w:rsid w:val="0058023E"/>
    <w:rsid w:val="00582E93"/>
    <w:rsid w:val="00584654"/>
    <w:rsid w:val="00590144"/>
    <w:rsid w:val="00591C10"/>
    <w:rsid w:val="00592D6A"/>
    <w:rsid w:val="00597297"/>
    <w:rsid w:val="005A770B"/>
    <w:rsid w:val="005B3466"/>
    <w:rsid w:val="005B3DB3"/>
    <w:rsid w:val="005B621F"/>
    <w:rsid w:val="005C149F"/>
    <w:rsid w:val="005C2C8B"/>
    <w:rsid w:val="005D3879"/>
    <w:rsid w:val="005D66B8"/>
    <w:rsid w:val="005E690A"/>
    <w:rsid w:val="005F1850"/>
    <w:rsid w:val="005F1E8A"/>
    <w:rsid w:val="005F4488"/>
    <w:rsid w:val="005F5804"/>
    <w:rsid w:val="0060091E"/>
    <w:rsid w:val="006017C9"/>
    <w:rsid w:val="00606441"/>
    <w:rsid w:val="0060700C"/>
    <w:rsid w:val="00611FC4"/>
    <w:rsid w:val="00614330"/>
    <w:rsid w:val="00615113"/>
    <w:rsid w:val="006176FB"/>
    <w:rsid w:val="00621B5B"/>
    <w:rsid w:val="00624A0E"/>
    <w:rsid w:val="006324AC"/>
    <w:rsid w:val="00633405"/>
    <w:rsid w:val="0063419C"/>
    <w:rsid w:val="00634C2F"/>
    <w:rsid w:val="00635CF4"/>
    <w:rsid w:val="00640B26"/>
    <w:rsid w:val="006418B9"/>
    <w:rsid w:val="00644CC0"/>
    <w:rsid w:val="00645B57"/>
    <w:rsid w:val="006500BA"/>
    <w:rsid w:val="00650C47"/>
    <w:rsid w:val="00652D15"/>
    <w:rsid w:val="006564B0"/>
    <w:rsid w:val="006571E2"/>
    <w:rsid w:val="00657F62"/>
    <w:rsid w:val="00660383"/>
    <w:rsid w:val="0066279A"/>
    <w:rsid w:val="00663EFB"/>
    <w:rsid w:val="00664979"/>
    <w:rsid w:val="006668F9"/>
    <w:rsid w:val="00666D10"/>
    <w:rsid w:val="00670E29"/>
    <w:rsid w:val="00672767"/>
    <w:rsid w:val="006737C7"/>
    <w:rsid w:val="006744B2"/>
    <w:rsid w:val="00683F99"/>
    <w:rsid w:val="00684879"/>
    <w:rsid w:val="006859EF"/>
    <w:rsid w:val="00687456"/>
    <w:rsid w:val="00687EDE"/>
    <w:rsid w:val="00694C02"/>
    <w:rsid w:val="006A025B"/>
    <w:rsid w:val="006A17CE"/>
    <w:rsid w:val="006A389C"/>
    <w:rsid w:val="006A7392"/>
    <w:rsid w:val="006A7B01"/>
    <w:rsid w:val="006B04F7"/>
    <w:rsid w:val="006B1156"/>
    <w:rsid w:val="006B157F"/>
    <w:rsid w:val="006B38D1"/>
    <w:rsid w:val="006B46FE"/>
    <w:rsid w:val="006B5AC8"/>
    <w:rsid w:val="006C0D34"/>
    <w:rsid w:val="006C14BE"/>
    <w:rsid w:val="006C1858"/>
    <w:rsid w:val="006C329D"/>
    <w:rsid w:val="006C6056"/>
    <w:rsid w:val="006C6884"/>
    <w:rsid w:val="006D12D5"/>
    <w:rsid w:val="006D3366"/>
    <w:rsid w:val="006D4E89"/>
    <w:rsid w:val="006D5225"/>
    <w:rsid w:val="006E03E6"/>
    <w:rsid w:val="006E429D"/>
    <w:rsid w:val="006E42A8"/>
    <w:rsid w:val="006E4493"/>
    <w:rsid w:val="006E564B"/>
    <w:rsid w:val="006E5C33"/>
    <w:rsid w:val="006F2724"/>
    <w:rsid w:val="006F71FB"/>
    <w:rsid w:val="00704622"/>
    <w:rsid w:val="00704DBF"/>
    <w:rsid w:val="007078C6"/>
    <w:rsid w:val="0071126D"/>
    <w:rsid w:val="00712144"/>
    <w:rsid w:val="00713EFC"/>
    <w:rsid w:val="00717245"/>
    <w:rsid w:val="0071739D"/>
    <w:rsid w:val="00725476"/>
    <w:rsid w:val="0072592A"/>
    <w:rsid w:val="0072593B"/>
    <w:rsid w:val="0072632A"/>
    <w:rsid w:val="00726335"/>
    <w:rsid w:val="0073276F"/>
    <w:rsid w:val="00735B34"/>
    <w:rsid w:val="007367D6"/>
    <w:rsid w:val="00741191"/>
    <w:rsid w:val="00741499"/>
    <w:rsid w:val="00742F36"/>
    <w:rsid w:val="00745209"/>
    <w:rsid w:val="007461C3"/>
    <w:rsid w:val="00750798"/>
    <w:rsid w:val="00751D49"/>
    <w:rsid w:val="00753114"/>
    <w:rsid w:val="007551DC"/>
    <w:rsid w:val="007575F5"/>
    <w:rsid w:val="00763522"/>
    <w:rsid w:val="00763C09"/>
    <w:rsid w:val="0076405E"/>
    <w:rsid w:val="00764422"/>
    <w:rsid w:val="00764E9E"/>
    <w:rsid w:val="00765DDF"/>
    <w:rsid w:val="00766298"/>
    <w:rsid w:val="00766AD2"/>
    <w:rsid w:val="00770E6F"/>
    <w:rsid w:val="00771C45"/>
    <w:rsid w:val="007759E8"/>
    <w:rsid w:val="00776BB6"/>
    <w:rsid w:val="007778B4"/>
    <w:rsid w:val="00780BBC"/>
    <w:rsid w:val="00784A9F"/>
    <w:rsid w:val="00790791"/>
    <w:rsid w:val="00795609"/>
    <w:rsid w:val="007961CB"/>
    <w:rsid w:val="007A6FFA"/>
    <w:rsid w:val="007B1A7E"/>
    <w:rsid w:val="007B2452"/>
    <w:rsid w:val="007B342D"/>
    <w:rsid w:val="007B6BA5"/>
    <w:rsid w:val="007C0D73"/>
    <w:rsid w:val="007C23CE"/>
    <w:rsid w:val="007C3390"/>
    <w:rsid w:val="007C38EB"/>
    <w:rsid w:val="007C494B"/>
    <w:rsid w:val="007C4C94"/>
    <w:rsid w:val="007C4F4B"/>
    <w:rsid w:val="007C60BD"/>
    <w:rsid w:val="007D2AB7"/>
    <w:rsid w:val="007D43B1"/>
    <w:rsid w:val="007D6353"/>
    <w:rsid w:val="007E1454"/>
    <w:rsid w:val="007E4B38"/>
    <w:rsid w:val="007E4FD4"/>
    <w:rsid w:val="007E5A31"/>
    <w:rsid w:val="007F0775"/>
    <w:rsid w:val="007F0FB3"/>
    <w:rsid w:val="007F1C6D"/>
    <w:rsid w:val="007F22B0"/>
    <w:rsid w:val="007F438A"/>
    <w:rsid w:val="007F5B49"/>
    <w:rsid w:val="007F6611"/>
    <w:rsid w:val="007F7940"/>
    <w:rsid w:val="00800E15"/>
    <w:rsid w:val="00800F48"/>
    <w:rsid w:val="00801182"/>
    <w:rsid w:val="008056FA"/>
    <w:rsid w:val="00811B81"/>
    <w:rsid w:val="00815A2F"/>
    <w:rsid w:val="00815FD5"/>
    <w:rsid w:val="008175E9"/>
    <w:rsid w:val="00820AA1"/>
    <w:rsid w:val="00821459"/>
    <w:rsid w:val="00821672"/>
    <w:rsid w:val="00821A3E"/>
    <w:rsid w:val="008242D7"/>
    <w:rsid w:val="0082677B"/>
    <w:rsid w:val="0082795F"/>
    <w:rsid w:val="0083072F"/>
    <w:rsid w:val="008315FD"/>
    <w:rsid w:val="008318B9"/>
    <w:rsid w:val="00834AC8"/>
    <w:rsid w:val="0083561E"/>
    <w:rsid w:val="00837F38"/>
    <w:rsid w:val="00842149"/>
    <w:rsid w:val="0084240A"/>
    <w:rsid w:val="008450AE"/>
    <w:rsid w:val="008454BF"/>
    <w:rsid w:val="00845B66"/>
    <w:rsid w:val="008474D0"/>
    <w:rsid w:val="00847E99"/>
    <w:rsid w:val="008540B7"/>
    <w:rsid w:val="0086261F"/>
    <w:rsid w:val="00865234"/>
    <w:rsid w:val="00866C98"/>
    <w:rsid w:val="00870103"/>
    <w:rsid w:val="00871FD5"/>
    <w:rsid w:val="00872970"/>
    <w:rsid w:val="00872DD0"/>
    <w:rsid w:val="008751B6"/>
    <w:rsid w:val="00880DE7"/>
    <w:rsid w:val="00881FA0"/>
    <w:rsid w:val="0088217A"/>
    <w:rsid w:val="00882B88"/>
    <w:rsid w:val="008904B8"/>
    <w:rsid w:val="00892AB6"/>
    <w:rsid w:val="00893711"/>
    <w:rsid w:val="00893D6F"/>
    <w:rsid w:val="008979B1"/>
    <w:rsid w:val="008A4A53"/>
    <w:rsid w:val="008A6B25"/>
    <w:rsid w:val="008A6C4F"/>
    <w:rsid w:val="008B2404"/>
    <w:rsid w:val="008B52A9"/>
    <w:rsid w:val="008B6E2D"/>
    <w:rsid w:val="008C761D"/>
    <w:rsid w:val="008D27AF"/>
    <w:rsid w:val="008D2EEF"/>
    <w:rsid w:val="008D37D5"/>
    <w:rsid w:val="008E0E46"/>
    <w:rsid w:val="008E3B43"/>
    <w:rsid w:val="008E4E22"/>
    <w:rsid w:val="008E58AF"/>
    <w:rsid w:val="008E7948"/>
    <w:rsid w:val="008E7EB4"/>
    <w:rsid w:val="008F1AE5"/>
    <w:rsid w:val="008F446D"/>
    <w:rsid w:val="008F5026"/>
    <w:rsid w:val="00900D57"/>
    <w:rsid w:val="00901E50"/>
    <w:rsid w:val="00903E44"/>
    <w:rsid w:val="0090743F"/>
    <w:rsid w:val="00913EAD"/>
    <w:rsid w:val="00915CF1"/>
    <w:rsid w:val="0091681F"/>
    <w:rsid w:val="00917DC3"/>
    <w:rsid w:val="009202F8"/>
    <w:rsid w:val="00923DE5"/>
    <w:rsid w:val="00925F6E"/>
    <w:rsid w:val="00932735"/>
    <w:rsid w:val="00935FA4"/>
    <w:rsid w:val="009368D2"/>
    <w:rsid w:val="00936DD8"/>
    <w:rsid w:val="009376F4"/>
    <w:rsid w:val="009445DA"/>
    <w:rsid w:val="00945A5D"/>
    <w:rsid w:val="0095385C"/>
    <w:rsid w:val="009578A2"/>
    <w:rsid w:val="009606CB"/>
    <w:rsid w:val="00960887"/>
    <w:rsid w:val="00963CBA"/>
    <w:rsid w:val="00966D12"/>
    <w:rsid w:val="009737F8"/>
    <w:rsid w:val="00976E45"/>
    <w:rsid w:val="009771BA"/>
    <w:rsid w:val="00977A48"/>
    <w:rsid w:val="00980CA7"/>
    <w:rsid w:val="00981FD3"/>
    <w:rsid w:val="009867FC"/>
    <w:rsid w:val="0099124E"/>
    <w:rsid w:val="00991261"/>
    <w:rsid w:val="00992B91"/>
    <w:rsid w:val="009934A8"/>
    <w:rsid w:val="009936CA"/>
    <w:rsid w:val="0099569F"/>
    <w:rsid w:val="00997B22"/>
    <w:rsid w:val="009A51DA"/>
    <w:rsid w:val="009B2A64"/>
    <w:rsid w:val="009B4FAB"/>
    <w:rsid w:val="009B51A4"/>
    <w:rsid w:val="009B5C48"/>
    <w:rsid w:val="009C1BC1"/>
    <w:rsid w:val="009D1290"/>
    <w:rsid w:val="009D1AAE"/>
    <w:rsid w:val="009D202F"/>
    <w:rsid w:val="009D31D8"/>
    <w:rsid w:val="009D3F94"/>
    <w:rsid w:val="009D60F6"/>
    <w:rsid w:val="009D7B47"/>
    <w:rsid w:val="009E671E"/>
    <w:rsid w:val="009F058B"/>
    <w:rsid w:val="009F0F06"/>
    <w:rsid w:val="009F4303"/>
    <w:rsid w:val="009F620E"/>
    <w:rsid w:val="009F7667"/>
    <w:rsid w:val="00A01DFE"/>
    <w:rsid w:val="00A10575"/>
    <w:rsid w:val="00A1427D"/>
    <w:rsid w:val="00A14DBD"/>
    <w:rsid w:val="00A15028"/>
    <w:rsid w:val="00A1657A"/>
    <w:rsid w:val="00A20774"/>
    <w:rsid w:val="00A23ED9"/>
    <w:rsid w:val="00A248E3"/>
    <w:rsid w:val="00A2716D"/>
    <w:rsid w:val="00A30E3C"/>
    <w:rsid w:val="00A32E35"/>
    <w:rsid w:val="00A33090"/>
    <w:rsid w:val="00A34433"/>
    <w:rsid w:val="00A3666C"/>
    <w:rsid w:val="00A377DB"/>
    <w:rsid w:val="00A42EA2"/>
    <w:rsid w:val="00A43587"/>
    <w:rsid w:val="00A47A3C"/>
    <w:rsid w:val="00A47B0C"/>
    <w:rsid w:val="00A56184"/>
    <w:rsid w:val="00A565E9"/>
    <w:rsid w:val="00A63A87"/>
    <w:rsid w:val="00A66D48"/>
    <w:rsid w:val="00A70EC5"/>
    <w:rsid w:val="00A72F22"/>
    <w:rsid w:val="00A748A6"/>
    <w:rsid w:val="00A75EC9"/>
    <w:rsid w:val="00A76A63"/>
    <w:rsid w:val="00A81AE9"/>
    <w:rsid w:val="00A84085"/>
    <w:rsid w:val="00A8523D"/>
    <w:rsid w:val="00A879A4"/>
    <w:rsid w:val="00A931E6"/>
    <w:rsid w:val="00AA5227"/>
    <w:rsid w:val="00AA53CF"/>
    <w:rsid w:val="00AA6228"/>
    <w:rsid w:val="00AA681B"/>
    <w:rsid w:val="00AB33D9"/>
    <w:rsid w:val="00AB3462"/>
    <w:rsid w:val="00AB571F"/>
    <w:rsid w:val="00AB5AA7"/>
    <w:rsid w:val="00AB77B0"/>
    <w:rsid w:val="00AC241E"/>
    <w:rsid w:val="00AC30E3"/>
    <w:rsid w:val="00AC310C"/>
    <w:rsid w:val="00AC3BB9"/>
    <w:rsid w:val="00AE47DB"/>
    <w:rsid w:val="00AE4A6A"/>
    <w:rsid w:val="00AE4C73"/>
    <w:rsid w:val="00AE764E"/>
    <w:rsid w:val="00AF2B9B"/>
    <w:rsid w:val="00AF59BB"/>
    <w:rsid w:val="00AF73CE"/>
    <w:rsid w:val="00B102ED"/>
    <w:rsid w:val="00B10592"/>
    <w:rsid w:val="00B14140"/>
    <w:rsid w:val="00B163CC"/>
    <w:rsid w:val="00B171B8"/>
    <w:rsid w:val="00B20035"/>
    <w:rsid w:val="00B201C5"/>
    <w:rsid w:val="00B20C1A"/>
    <w:rsid w:val="00B20ECC"/>
    <w:rsid w:val="00B21574"/>
    <w:rsid w:val="00B21C6C"/>
    <w:rsid w:val="00B30179"/>
    <w:rsid w:val="00B30250"/>
    <w:rsid w:val="00B3317B"/>
    <w:rsid w:val="00B3662B"/>
    <w:rsid w:val="00B410AD"/>
    <w:rsid w:val="00B43777"/>
    <w:rsid w:val="00B43846"/>
    <w:rsid w:val="00B44820"/>
    <w:rsid w:val="00B45EC3"/>
    <w:rsid w:val="00B51A01"/>
    <w:rsid w:val="00B53F26"/>
    <w:rsid w:val="00B556BF"/>
    <w:rsid w:val="00B56B78"/>
    <w:rsid w:val="00B60932"/>
    <w:rsid w:val="00B6512A"/>
    <w:rsid w:val="00B706C0"/>
    <w:rsid w:val="00B72283"/>
    <w:rsid w:val="00B75975"/>
    <w:rsid w:val="00B77788"/>
    <w:rsid w:val="00B81E12"/>
    <w:rsid w:val="00B84094"/>
    <w:rsid w:val="00B84232"/>
    <w:rsid w:val="00B84A6A"/>
    <w:rsid w:val="00B85D7E"/>
    <w:rsid w:val="00B8748A"/>
    <w:rsid w:val="00B91079"/>
    <w:rsid w:val="00B93068"/>
    <w:rsid w:val="00B95730"/>
    <w:rsid w:val="00B95CBB"/>
    <w:rsid w:val="00B9787B"/>
    <w:rsid w:val="00BA0EBA"/>
    <w:rsid w:val="00BA464D"/>
    <w:rsid w:val="00BA5991"/>
    <w:rsid w:val="00BB0AD1"/>
    <w:rsid w:val="00BB176D"/>
    <w:rsid w:val="00BB2778"/>
    <w:rsid w:val="00BB5280"/>
    <w:rsid w:val="00BC17B5"/>
    <w:rsid w:val="00BC219E"/>
    <w:rsid w:val="00BC5492"/>
    <w:rsid w:val="00BC74E9"/>
    <w:rsid w:val="00BD1938"/>
    <w:rsid w:val="00BD1B81"/>
    <w:rsid w:val="00BD2BF0"/>
    <w:rsid w:val="00BD52ED"/>
    <w:rsid w:val="00BD5B57"/>
    <w:rsid w:val="00BE2710"/>
    <w:rsid w:val="00BE5222"/>
    <w:rsid w:val="00BE618E"/>
    <w:rsid w:val="00BE6D54"/>
    <w:rsid w:val="00BE6EEE"/>
    <w:rsid w:val="00BE716B"/>
    <w:rsid w:val="00BF0E8B"/>
    <w:rsid w:val="00BF1367"/>
    <w:rsid w:val="00BF71EC"/>
    <w:rsid w:val="00C009F1"/>
    <w:rsid w:val="00C00F60"/>
    <w:rsid w:val="00C01EC5"/>
    <w:rsid w:val="00C0342D"/>
    <w:rsid w:val="00C07FCE"/>
    <w:rsid w:val="00C109F9"/>
    <w:rsid w:val="00C1402C"/>
    <w:rsid w:val="00C14B84"/>
    <w:rsid w:val="00C20131"/>
    <w:rsid w:val="00C211E9"/>
    <w:rsid w:val="00C22CE1"/>
    <w:rsid w:val="00C231B7"/>
    <w:rsid w:val="00C269BC"/>
    <w:rsid w:val="00C34242"/>
    <w:rsid w:val="00C34784"/>
    <w:rsid w:val="00C37780"/>
    <w:rsid w:val="00C45ACB"/>
    <w:rsid w:val="00C462B7"/>
    <w:rsid w:val="00C463DD"/>
    <w:rsid w:val="00C6139B"/>
    <w:rsid w:val="00C62D51"/>
    <w:rsid w:val="00C62F76"/>
    <w:rsid w:val="00C662C6"/>
    <w:rsid w:val="00C66BC5"/>
    <w:rsid w:val="00C70DA8"/>
    <w:rsid w:val="00C718B4"/>
    <w:rsid w:val="00C734C1"/>
    <w:rsid w:val="00C745C3"/>
    <w:rsid w:val="00C77598"/>
    <w:rsid w:val="00C91469"/>
    <w:rsid w:val="00C924F2"/>
    <w:rsid w:val="00C92EC4"/>
    <w:rsid w:val="00C944E4"/>
    <w:rsid w:val="00CA66C1"/>
    <w:rsid w:val="00CC4E48"/>
    <w:rsid w:val="00CC6328"/>
    <w:rsid w:val="00CD3225"/>
    <w:rsid w:val="00CD4AA2"/>
    <w:rsid w:val="00CD5E8C"/>
    <w:rsid w:val="00CE23AC"/>
    <w:rsid w:val="00CE2CC5"/>
    <w:rsid w:val="00CE31F9"/>
    <w:rsid w:val="00CE46BA"/>
    <w:rsid w:val="00CE4A8F"/>
    <w:rsid w:val="00CE60CD"/>
    <w:rsid w:val="00CE7080"/>
    <w:rsid w:val="00CF10A8"/>
    <w:rsid w:val="00CF73A5"/>
    <w:rsid w:val="00CF7514"/>
    <w:rsid w:val="00D06B22"/>
    <w:rsid w:val="00D11B8B"/>
    <w:rsid w:val="00D2031B"/>
    <w:rsid w:val="00D228CA"/>
    <w:rsid w:val="00D234E4"/>
    <w:rsid w:val="00D243EB"/>
    <w:rsid w:val="00D248FF"/>
    <w:rsid w:val="00D2531E"/>
    <w:rsid w:val="00D25FE2"/>
    <w:rsid w:val="00D302B3"/>
    <w:rsid w:val="00D3070D"/>
    <w:rsid w:val="00D30A99"/>
    <w:rsid w:val="00D36E95"/>
    <w:rsid w:val="00D374BD"/>
    <w:rsid w:val="00D419BA"/>
    <w:rsid w:val="00D43252"/>
    <w:rsid w:val="00D4529D"/>
    <w:rsid w:val="00D46231"/>
    <w:rsid w:val="00D511CA"/>
    <w:rsid w:val="00D53910"/>
    <w:rsid w:val="00D62498"/>
    <w:rsid w:val="00D65655"/>
    <w:rsid w:val="00D6615E"/>
    <w:rsid w:val="00D66780"/>
    <w:rsid w:val="00D70ED0"/>
    <w:rsid w:val="00D72400"/>
    <w:rsid w:val="00D753D8"/>
    <w:rsid w:val="00D81125"/>
    <w:rsid w:val="00D854D0"/>
    <w:rsid w:val="00D85611"/>
    <w:rsid w:val="00D85E9A"/>
    <w:rsid w:val="00D85F26"/>
    <w:rsid w:val="00D8611D"/>
    <w:rsid w:val="00D9020D"/>
    <w:rsid w:val="00D9466B"/>
    <w:rsid w:val="00D96CC5"/>
    <w:rsid w:val="00D96F6B"/>
    <w:rsid w:val="00D978C6"/>
    <w:rsid w:val="00DA051C"/>
    <w:rsid w:val="00DA15E0"/>
    <w:rsid w:val="00DA42D4"/>
    <w:rsid w:val="00DA57CC"/>
    <w:rsid w:val="00DA67AD"/>
    <w:rsid w:val="00DB063B"/>
    <w:rsid w:val="00DB3594"/>
    <w:rsid w:val="00DB4289"/>
    <w:rsid w:val="00DB6BA1"/>
    <w:rsid w:val="00DC0A7B"/>
    <w:rsid w:val="00DC6E3A"/>
    <w:rsid w:val="00DD37A6"/>
    <w:rsid w:val="00DD4FE9"/>
    <w:rsid w:val="00DE02F7"/>
    <w:rsid w:val="00DE5786"/>
    <w:rsid w:val="00DE6FB3"/>
    <w:rsid w:val="00DE7071"/>
    <w:rsid w:val="00DE76F1"/>
    <w:rsid w:val="00DF1D71"/>
    <w:rsid w:val="00DF54DA"/>
    <w:rsid w:val="00DF6C0A"/>
    <w:rsid w:val="00DF6DF5"/>
    <w:rsid w:val="00E00655"/>
    <w:rsid w:val="00E039D5"/>
    <w:rsid w:val="00E116BE"/>
    <w:rsid w:val="00E130AB"/>
    <w:rsid w:val="00E145C4"/>
    <w:rsid w:val="00E14DF9"/>
    <w:rsid w:val="00E1679E"/>
    <w:rsid w:val="00E21C2A"/>
    <w:rsid w:val="00E21F98"/>
    <w:rsid w:val="00E23920"/>
    <w:rsid w:val="00E30FBD"/>
    <w:rsid w:val="00E312B0"/>
    <w:rsid w:val="00E34355"/>
    <w:rsid w:val="00E3622F"/>
    <w:rsid w:val="00E37BD1"/>
    <w:rsid w:val="00E40076"/>
    <w:rsid w:val="00E409C8"/>
    <w:rsid w:val="00E429CD"/>
    <w:rsid w:val="00E479C9"/>
    <w:rsid w:val="00E52830"/>
    <w:rsid w:val="00E53EC7"/>
    <w:rsid w:val="00E55C1E"/>
    <w:rsid w:val="00E5644E"/>
    <w:rsid w:val="00E608E2"/>
    <w:rsid w:val="00E60928"/>
    <w:rsid w:val="00E62CA1"/>
    <w:rsid w:val="00E649FA"/>
    <w:rsid w:val="00E66779"/>
    <w:rsid w:val="00E7260F"/>
    <w:rsid w:val="00E74511"/>
    <w:rsid w:val="00E761B7"/>
    <w:rsid w:val="00E81230"/>
    <w:rsid w:val="00E82EC6"/>
    <w:rsid w:val="00E8535A"/>
    <w:rsid w:val="00E878CF"/>
    <w:rsid w:val="00E91ACF"/>
    <w:rsid w:val="00E947C8"/>
    <w:rsid w:val="00E96630"/>
    <w:rsid w:val="00E96FCD"/>
    <w:rsid w:val="00EA0882"/>
    <w:rsid w:val="00EA33BC"/>
    <w:rsid w:val="00EA3D66"/>
    <w:rsid w:val="00EA4C3D"/>
    <w:rsid w:val="00EA772F"/>
    <w:rsid w:val="00EB14AA"/>
    <w:rsid w:val="00EB1776"/>
    <w:rsid w:val="00EB6832"/>
    <w:rsid w:val="00EB6F20"/>
    <w:rsid w:val="00EC271A"/>
    <w:rsid w:val="00EC40DB"/>
    <w:rsid w:val="00ED79D3"/>
    <w:rsid w:val="00ED7A2A"/>
    <w:rsid w:val="00EE16B4"/>
    <w:rsid w:val="00EE405E"/>
    <w:rsid w:val="00EE56AB"/>
    <w:rsid w:val="00EF1D7F"/>
    <w:rsid w:val="00EF28C5"/>
    <w:rsid w:val="00EF301A"/>
    <w:rsid w:val="00EF7197"/>
    <w:rsid w:val="00F000EB"/>
    <w:rsid w:val="00F0038E"/>
    <w:rsid w:val="00F01903"/>
    <w:rsid w:val="00F045FC"/>
    <w:rsid w:val="00F05798"/>
    <w:rsid w:val="00F11742"/>
    <w:rsid w:val="00F12C2A"/>
    <w:rsid w:val="00F1592A"/>
    <w:rsid w:val="00F16381"/>
    <w:rsid w:val="00F169CD"/>
    <w:rsid w:val="00F1736B"/>
    <w:rsid w:val="00F17EFF"/>
    <w:rsid w:val="00F2344F"/>
    <w:rsid w:val="00F23EFD"/>
    <w:rsid w:val="00F25E08"/>
    <w:rsid w:val="00F261C2"/>
    <w:rsid w:val="00F341CB"/>
    <w:rsid w:val="00F400AF"/>
    <w:rsid w:val="00F40E75"/>
    <w:rsid w:val="00F444D8"/>
    <w:rsid w:val="00F47D45"/>
    <w:rsid w:val="00F50E0C"/>
    <w:rsid w:val="00F53328"/>
    <w:rsid w:val="00F54674"/>
    <w:rsid w:val="00F54ED1"/>
    <w:rsid w:val="00F552DD"/>
    <w:rsid w:val="00F55A88"/>
    <w:rsid w:val="00F61EA9"/>
    <w:rsid w:val="00F64FA8"/>
    <w:rsid w:val="00F74196"/>
    <w:rsid w:val="00F76BC9"/>
    <w:rsid w:val="00F80DA9"/>
    <w:rsid w:val="00F8671D"/>
    <w:rsid w:val="00F97B46"/>
    <w:rsid w:val="00F97C88"/>
    <w:rsid w:val="00FA54DD"/>
    <w:rsid w:val="00FB04FB"/>
    <w:rsid w:val="00FB1F93"/>
    <w:rsid w:val="00FB3781"/>
    <w:rsid w:val="00FC1F36"/>
    <w:rsid w:val="00FC1F5B"/>
    <w:rsid w:val="00FC68B7"/>
    <w:rsid w:val="00FD23BA"/>
    <w:rsid w:val="00FD3014"/>
    <w:rsid w:val="00FD446B"/>
    <w:rsid w:val="00FD6B2B"/>
    <w:rsid w:val="00FD7756"/>
    <w:rsid w:val="00FE0F5A"/>
    <w:rsid w:val="00FE1B35"/>
    <w:rsid w:val="00FE4DFC"/>
    <w:rsid w:val="00FE70F9"/>
    <w:rsid w:val="00FE7507"/>
    <w:rsid w:val="00FF03BB"/>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4AD85C"/>
  <w15:docId w15:val="{0A4D77E2-8C0D-4C98-BA4D-F6A4574A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uiPriority w:val="99"/>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 w:type="paragraph" w:customStyle="1" w:styleId="Body">
    <w:name w:val="Body"/>
    <w:rsid w:val="006564B0"/>
    <w:pPr>
      <w:pBdr>
        <w:top w:val="nil"/>
        <w:left w:val="nil"/>
        <w:bottom w:val="nil"/>
        <w:right w:val="nil"/>
        <w:between w:val="nil"/>
        <w:bar w:val="nil"/>
      </w:pBdr>
    </w:pPr>
    <w:rPr>
      <w:rFonts w:ascii="Helvetica" w:eastAsia="Arial Unicode MS" w:hAnsi="Arial Unicode MS" w:cs="Arial Unicode MS"/>
      <w:color w:val="000000"/>
      <w:sz w:val="22"/>
      <w:szCs w:val="22"/>
      <w:bdr w:val="nil"/>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DC76-D4CB-474C-8FD8-81B90770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0</TotalTime>
  <Pages>10</Pages>
  <Words>2508</Words>
  <Characters>13142</Characters>
  <Application>Microsoft Office Word</Application>
  <DocSecurity>0</DocSecurity>
  <Lines>262</Lines>
  <Paragraphs>102</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cp:revision>
  <cp:lastPrinted>2018-09-05T08:22:00Z</cp:lastPrinted>
  <dcterms:created xsi:type="dcterms:W3CDTF">2018-09-05T08:22:00Z</dcterms:created>
  <dcterms:modified xsi:type="dcterms:W3CDTF">2018-09-05T08:22:00Z</dcterms:modified>
</cp:coreProperties>
</file>