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8542D">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8542D" w:rsidP="0098542D">
            <w:pPr>
              <w:jc w:val="right"/>
            </w:pPr>
            <w:r w:rsidRPr="0098542D">
              <w:rPr>
                <w:sz w:val="40"/>
              </w:rPr>
              <w:t>ST</w:t>
            </w:r>
            <w:r>
              <w:t>/SG/AC.10/C.3/2018/71</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8542D" w:rsidP="00F01738">
            <w:pPr>
              <w:spacing w:before="240"/>
            </w:pPr>
            <w:r>
              <w:t xml:space="preserve">Distr. </w:t>
            </w:r>
            <w:proofErr w:type="gramStart"/>
            <w:r>
              <w:t>générale</w:t>
            </w:r>
            <w:proofErr w:type="gramEnd"/>
          </w:p>
          <w:p w:rsidR="0098542D" w:rsidRDefault="0098542D" w:rsidP="0098542D">
            <w:pPr>
              <w:spacing w:line="240" w:lineRule="exact"/>
            </w:pPr>
            <w:r>
              <w:t>28 août 2018</w:t>
            </w:r>
          </w:p>
          <w:p w:rsidR="0098542D" w:rsidRDefault="0098542D" w:rsidP="0098542D">
            <w:pPr>
              <w:spacing w:line="240" w:lineRule="exact"/>
            </w:pPr>
            <w:r>
              <w:t>Français</w:t>
            </w:r>
          </w:p>
          <w:p w:rsidR="0098542D" w:rsidRPr="00DB58B5" w:rsidRDefault="0098542D" w:rsidP="0098542D">
            <w:pPr>
              <w:spacing w:line="240" w:lineRule="exact"/>
            </w:pPr>
            <w:r>
              <w:t>Original : anglais</w:t>
            </w:r>
          </w:p>
        </w:tc>
      </w:tr>
    </w:tbl>
    <w:p w:rsidR="0098542D" w:rsidRPr="00CA0680" w:rsidRDefault="0098542D"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98542D" w:rsidRPr="00CA0680" w:rsidRDefault="0098542D"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98542D" w:rsidRDefault="0098542D" w:rsidP="000305D3">
      <w:pPr>
        <w:spacing w:before="120"/>
        <w:rPr>
          <w:b/>
        </w:rPr>
      </w:pPr>
      <w:r>
        <w:rPr>
          <w:b/>
          <w:bCs/>
          <w:lang w:val="fr-FR"/>
        </w:rPr>
        <w:t xml:space="preserve">Cinquante-quatrième </w:t>
      </w:r>
      <w:r w:rsidRPr="00CA0680">
        <w:rPr>
          <w:b/>
        </w:rPr>
        <w:t>session</w:t>
      </w:r>
    </w:p>
    <w:p w:rsidR="0098542D" w:rsidRDefault="0098542D" w:rsidP="000305D3">
      <w:r>
        <w:t xml:space="preserve">Genève, </w:t>
      </w:r>
      <w:r>
        <w:rPr>
          <w:lang w:val="fr-FR"/>
        </w:rPr>
        <w:t>26 novembre-4 décembre 2018</w:t>
      </w:r>
    </w:p>
    <w:p w:rsidR="0098542D" w:rsidRDefault="0098542D" w:rsidP="000305D3">
      <w:r>
        <w:t>Point 2 f) de l’ordre du jour provisoire</w:t>
      </w:r>
    </w:p>
    <w:p w:rsidR="0098542D" w:rsidRPr="0098542D" w:rsidRDefault="0098542D" w:rsidP="00AC3823">
      <w:pPr>
        <w:rPr>
          <w:b/>
        </w:rPr>
      </w:pPr>
      <w:r w:rsidRPr="0098542D">
        <w:rPr>
          <w:b/>
          <w:bCs/>
          <w:lang w:val="fr-FR"/>
        </w:rPr>
        <w:t xml:space="preserve">Recommandations du Sous-Comité formulées à ses cinquante et unième, </w:t>
      </w:r>
      <w:r>
        <w:rPr>
          <w:b/>
          <w:bCs/>
          <w:lang w:val="fr-FR"/>
        </w:rPr>
        <w:br/>
      </w:r>
      <w:r w:rsidRPr="0098542D">
        <w:rPr>
          <w:b/>
          <w:bCs/>
          <w:lang w:val="fr-FR"/>
        </w:rPr>
        <w:t xml:space="preserve">cinquante-deuxième et cinquante-troisième sessions </w:t>
      </w:r>
      <w:r>
        <w:rPr>
          <w:b/>
          <w:bCs/>
          <w:lang w:val="fr-FR"/>
        </w:rPr>
        <w:t>et questions en suspens </w:t>
      </w:r>
      <w:r w:rsidRPr="0098542D">
        <w:rPr>
          <w:b/>
          <w:bCs/>
          <w:lang w:val="fr-FR"/>
        </w:rPr>
        <w:t xml:space="preserve">: </w:t>
      </w:r>
      <w:r w:rsidR="0018633B">
        <w:rPr>
          <w:b/>
          <w:bCs/>
          <w:lang w:val="fr-FR"/>
        </w:rPr>
        <w:br/>
      </w:r>
      <w:r w:rsidRPr="0098542D">
        <w:rPr>
          <w:b/>
          <w:bCs/>
          <w:lang w:val="fr-FR"/>
        </w:rPr>
        <w:t>Questions diverses en suspens</w:t>
      </w:r>
    </w:p>
    <w:p w:rsidR="0098542D" w:rsidRPr="0098542D" w:rsidRDefault="0098542D" w:rsidP="0018633B">
      <w:pPr>
        <w:pStyle w:val="HChG"/>
      </w:pPr>
      <w:r w:rsidRPr="0098542D">
        <w:rPr>
          <w:lang w:val="fr-FR"/>
        </w:rPr>
        <w:tab/>
      </w:r>
      <w:r w:rsidRPr="0098542D">
        <w:rPr>
          <w:lang w:val="fr-FR"/>
        </w:rPr>
        <w:tab/>
        <w:t xml:space="preserve">Proposition visant à insérer la disposition spéciale 653 </w:t>
      </w:r>
      <w:r w:rsidR="0018633B">
        <w:rPr>
          <w:lang w:val="fr-FR"/>
        </w:rPr>
        <w:br/>
      </w:r>
      <w:r w:rsidRPr="0098542D">
        <w:rPr>
          <w:lang w:val="fr-FR"/>
        </w:rPr>
        <w:t>de l</w:t>
      </w:r>
      <w:r>
        <w:rPr>
          <w:lang w:val="fr-FR"/>
        </w:rPr>
        <w:t>’</w:t>
      </w:r>
      <w:r w:rsidRPr="0098542D">
        <w:rPr>
          <w:lang w:val="fr-FR"/>
        </w:rPr>
        <w:t>ADR dans le Règlement type</w:t>
      </w:r>
    </w:p>
    <w:p w:rsidR="0098542D" w:rsidRPr="0098542D" w:rsidRDefault="0098542D" w:rsidP="0018633B">
      <w:pPr>
        <w:pStyle w:val="H1G"/>
      </w:pPr>
      <w:r w:rsidRPr="0098542D">
        <w:rPr>
          <w:lang w:val="fr-FR"/>
        </w:rPr>
        <w:tab/>
      </w:r>
      <w:r w:rsidRPr="0098542D">
        <w:rPr>
          <w:lang w:val="fr-FR"/>
        </w:rPr>
        <w:tab/>
        <w:t>Communication de l</w:t>
      </w:r>
      <w:r>
        <w:rPr>
          <w:lang w:val="fr-FR"/>
        </w:rPr>
        <w:t>’</w:t>
      </w:r>
      <w:r w:rsidRPr="0098542D">
        <w:rPr>
          <w:lang w:val="fr-FR"/>
        </w:rPr>
        <w:t>Association européenne des gaz industriels (EIGA)</w:t>
      </w:r>
      <w:r w:rsidRPr="0018633B">
        <w:rPr>
          <w:rStyle w:val="FootnoteReference"/>
          <w:b w:val="0"/>
          <w:sz w:val="20"/>
          <w:vertAlign w:val="baseline"/>
        </w:rPr>
        <w:footnoteReference w:customMarkFollows="1" w:id="2"/>
        <w:t>*</w:t>
      </w:r>
    </w:p>
    <w:p w:rsidR="0098542D" w:rsidRPr="0098542D" w:rsidRDefault="0098542D" w:rsidP="0018633B">
      <w:pPr>
        <w:pStyle w:val="HChG"/>
      </w:pPr>
      <w:r w:rsidRPr="0098542D">
        <w:rPr>
          <w:lang w:val="fr-FR"/>
        </w:rPr>
        <w:tab/>
      </w:r>
      <w:r w:rsidRPr="0098542D">
        <w:rPr>
          <w:lang w:val="fr-FR"/>
        </w:rPr>
        <w:tab/>
        <w:t>Introduction</w:t>
      </w:r>
    </w:p>
    <w:p w:rsidR="0098542D" w:rsidRPr="0098542D" w:rsidRDefault="0098542D" w:rsidP="0098542D">
      <w:pPr>
        <w:pStyle w:val="SingleTxtG"/>
      </w:pPr>
      <w:r w:rsidRPr="0098542D">
        <w:rPr>
          <w:lang w:val="fr-FR"/>
        </w:rPr>
        <w:t>1.</w:t>
      </w:r>
      <w:r w:rsidRPr="0098542D">
        <w:rPr>
          <w:lang w:val="fr-FR"/>
        </w:rPr>
        <w:tab/>
        <w:t>À la cinquante-troisième session du Sous-Comité, l</w:t>
      </w:r>
      <w:r>
        <w:rPr>
          <w:lang w:val="fr-FR"/>
        </w:rPr>
        <w:t>’</w:t>
      </w:r>
      <w:r w:rsidRPr="0098542D">
        <w:rPr>
          <w:lang w:val="fr-FR"/>
        </w:rPr>
        <w:t>EIGA a proposé d</w:t>
      </w:r>
      <w:r>
        <w:rPr>
          <w:lang w:val="fr-FR"/>
        </w:rPr>
        <w:t>’</w:t>
      </w:r>
      <w:r w:rsidRPr="0098542D">
        <w:rPr>
          <w:lang w:val="fr-FR"/>
        </w:rPr>
        <w:t>inclure dans le Règlement type la dérogation prévue dans la disposition spéciale 653 de l</w:t>
      </w:r>
      <w:r>
        <w:rPr>
          <w:lang w:val="fr-FR"/>
        </w:rPr>
        <w:t>’</w:t>
      </w:r>
      <w:r w:rsidRPr="0098542D">
        <w:rPr>
          <w:i/>
          <w:iCs/>
          <w:lang w:val="fr-FR"/>
        </w:rPr>
        <w:t>Accord européen relatif au transport international des marchandises dangereuses par route</w:t>
      </w:r>
      <w:r w:rsidR="0018633B">
        <w:rPr>
          <w:i/>
          <w:iCs/>
          <w:lang w:val="fr-FR"/>
        </w:rPr>
        <w:t>.</w:t>
      </w:r>
      <w:r w:rsidRPr="0098542D">
        <w:rPr>
          <w:lang w:val="fr-FR"/>
        </w:rPr>
        <w:t xml:space="preserve"> Cette dérogation a été insérée dans l</w:t>
      </w:r>
      <w:r>
        <w:rPr>
          <w:lang w:val="fr-FR"/>
        </w:rPr>
        <w:t>’</w:t>
      </w:r>
      <w:r w:rsidRPr="0098542D">
        <w:rPr>
          <w:lang w:val="fr-FR"/>
        </w:rPr>
        <w:t>ADR en 2007, en partie grâce à l</w:t>
      </w:r>
      <w:r>
        <w:rPr>
          <w:lang w:val="fr-FR"/>
        </w:rPr>
        <w:t>’</w:t>
      </w:r>
      <w:r w:rsidRPr="0098542D">
        <w:rPr>
          <w:lang w:val="fr-FR"/>
        </w:rPr>
        <w:t>avis émis par l</w:t>
      </w:r>
      <w:r>
        <w:rPr>
          <w:lang w:val="fr-FR"/>
        </w:rPr>
        <w:t>’</w:t>
      </w:r>
      <w:r w:rsidRPr="0098542D">
        <w:rPr>
          <w:lang w:val="fr-FR"/>
        </w:rPr>
        <w:t>Institut fédéral de recherche et d</w:t>
      </w:r>
      <w:r>
        <w:rPr>
          <w:lang w:val="fr-FR"/>
        </w:rPr>
        <w:t>’</w:t>
      </w:r>
      <w:r w:rsidRPr="0098542D">
        <w:rPr>
          <w:lang w:val="fr-FR"/>
        </w:rPr>
        <w:t>essai sur les matériaux (Bundesanstalt für Materialforschung und Prüfung (BAM)), dans lequel celui-ci estimait que les risques de fuites pendant le transport étaient infimes et que, même lorsqu</w:t>
      </w:r>
      <w:r>
        <w:rPr>
          <w:lang w:val="fr-FR"/>
        </w:rPr>
        <w:t>’</w:t>
      </w:r>
      <w:r w:rsidRPr="0098542D">
        <w:rPr>
          <w:lang w:val="fr-FR"/>
        </w:rPr>
        <w:t>elles se produisaient, ces fuites ne constituaient pas un réel danger. Pour plus de détails, on se reportera à la justification figurant au paragraphe</w:t>
      </w:r>
      <w:r w:rsidR="004B1E3E">
        <w:rPr>
          <w:lang w:val="fr-FR"/>
        </w:rPr>
        <w:t> 6 du présent document.</w:t>
      </w:r>
    </w:p>
    <w:p w:rsidR="0098542D" w:rsidRPr="0098542D" w:rsidRDefault="0098542D" w:rsidP="0098542D">
      <w:pPr>
        <w:pStyle w:val="SingleTxtG"/>
      </w:pPr>
      <w:r w:rsidRPr="0098542D">
        <w:rPr>
          <w:lang w:val="fr-FR"/>
        </w:rPr>
        <w:t>2.</w:t>
      </w:r>
      <w:r w:rsidRPr="0098542D">
        <w:rPr>
          <w:lang w:val="fr-FR"/>
        </w:rPr>
        <w:tab/>
        <w:t>La principale observation faite au cours de la cinquante-troisième session a été que le transport aérien ne devrait pas être visé par cette dérogation. La plupart des experts ne se sont toutefois pas opposés à la prise en compte de la dérogation pour les modes de transport routier, ferroviaire et maritime. Certains experts ont en outre souhaité que l</w:t>
      </w:r>
      <w:r>
        <w:rPr>
          <w:lang w:val="fr-FR"/>
        </w:rPr>
        <w:t>’</w:t>
      </w:r>
      <w:r w:rsidRPr="0098542D">
        <w:rPr>
          <w:lang w:val="fr-FR"/>
        </w:rPr>
        <w:t>une des conditions à l</w:t>
      </w:r>
      <w:r>
        <w:rPr>
          <w:lang w:val="fr-FR"/>
        </w:rPr>
        <w:t>’</w:t>
      </w:r>
      <w:r w:rsidRPr="0098542D">
        <w:rPr>
          <w:lang w:val="fr-FR"/>
        </w:rPr>
        <w:t xml:space="preserve">application de la </w:t>
      </w:r>
      <w:r w:rsidR="004B1E3E">
        <w:rPr>
          <w:lang w:val="fr-FR"/>
        </w:rPr>
        <w:t xml:space="preserve">disposition </w:t>
      </w:r>
      <w:r w:rsidRPr="0098542D">
        <w:rPr>
          <w:lang w:val="fr-FR"/>
        </w:rPr>
        <w:t>spéciale soit l</w:t>
      </w:r>
      <w:r>
        <w:rPr>
          <w:lang w:val="fr-FR"/>
        </w:rPr>
        <w:t>’</w:t>
      </w:r>
      <w:r w:rsidRPr="0098542D">
        <w:rPr>
          <w:lang w:val="fr-FR"/>
        </w:rPr>
        <w:t>obligation de soumettre chaque bouteille à un essai d</w:t>
      </w:r>
      <w:r>
        <w:rPr>
          <w:lang w:val="fr-FR"/>
        </w:rPr>
        <w:t>’</w:t>
      </w:r>
      <w:r w:rsidRPr="0098542D">
        <w:rPr>
          <w:lang w:val="fr-FR"/>
        </w:rPr>
        <w:t>étanchéité avant</w:t>
      </w:r>
      <w:r w:rsidR="004B1E3E">
        <w:rPr>
          <w:lang w:val="fr-FR"/>
        </w:rPr>
        <w:t xml:space="preserve"> de la présenter au transport. </w:t>
      </w:r>
      <w:r w:rsidRPr="0098542D">
        <w:rPr>
          <w:lang w:val="fr-FR"/>
        </w:rPr>
        <w:t>La proposition a ainsi été modifiée en tenant compte de ces observations, et la version révisée est présentée ci</w:t>
      </w:r>
      <w:r w:rsidR="004B1E3E">
        <w:rPr>
          <w:lang w:val="fr-FR"/>
        </w:rPr>
        <w:noBreakHyphen/>
        <w:t xml:space="preserve">après. </w:t>
      </w:r>
    </w:p>
    <w:p w:rsidR="0098542D" w:rsidRPr="0098542D" w:rsidRDefault="0098542D" w:rsidP="004B1E3E">
      <w:pPr>
        <w:pStyle w:val="HChG"/>
      </w:pPr>
      <w:r w:rsidRPr="0098542D">
        <w:rPr>
          <w:lang w:val="fr-FR"/>
        </w:rPr>
        <w:lastRenderedPageBreak/>
        <w:tab/>
      </w:r>
      <w:r w:rsidRPr="0098542D">
        <w:rPr>
          <w:lang w:val="fr-FR"/>
        </w:rPr>
        <w:tab/>
        <w:t>Proposition</w:t>
      </w:r>
    </w:p>
    <w:p w:rsidR="0098542D" w:rsidRPr="0098542D" w:rsidRDefault="0098542D" w:rsidP="0098542D">
      <w:pPr>
        <w:pStyle w:val="SingleTxtG"/>
      </w:pPr>
      <w:r w:rsidRPr="0098542D">
        <w:rPr>
          <w:lang w:val="fr-FR"/>
        </w:rPr>
        <w:t>3.</w:t>
      </w:r>
      <w:r w:rsidRPr="0098542D">
        <w:rPr>
          <w:lang w:val="fr-FR"/>
        </w:rPr>
        <w:tab/>
        <w:t>La disposition spéciale 653 prévoit une dérogation logique et dénuée de risques qui devrait être insérée dans le Règlement type pour être applicable au transport des marchandises dangereuses de façon générale. Il est ainsi proposé de l</w:t>
      </w:r>
      <w:r>
        <w:rPr>
          <w:lang w:val="fr-FR"/>
        </w:rPr>
        <w:t>’</w:t>
      </w:r>
      <w:r w:rsidRPr="0098542D">
        <w:rPr>
          <w:lang w:val="fr-FR"/>
        </w:rPr>
        <w:t xml:space="preserve">inclure comme suit dans le Règlement type. </w:t>
      </w:r>
    </w:p>
    <w:p w:rsidR="0098542D" w:rsidRPr="0098542D" w:rsidRDefault="0098542D" w:rsidP="0098542D">
      <w:pPr>
        <w:pStyle w:val="SingleTxtG"/>
      </w:pPr>
      <w:r w:rsidRPr="0098542D">
        <w:rPr>
          <w:lang w:val="fr-FR"/>
        </w:rPr>
        <w:t>4.</w:t>
      </w:r>
      <w:r w:rsidRPr="0098542D">
        <w:rPr>
          <w:lang w:val="fr-FR"/>
        </w:rPr>
        <w:tab/>
        <w:t xml:space="preserve">Dans la Liste des marchandises dangereuses, ajouter la disposition spéciale </w:t>
      </w:r>
      <w:r w:rsidR="004B1E3E">
        <w:rPr>
          <w:lang w:val="fr-FR"/>
        </w:rPr>
        <w:t>« XYZ </w:t>
      </w:r>
      <w:r w:rsidRPr="0098542D">
        <w:rPr>
          <w:lang w:val="fr-FR"/>
        </w:rPr>
        <w:t xml:space="preserve">» en regard des </w:t>
      </w:r>
      <w:r w:rsidR="004B1E3E">
        <w:rPr>
          <w:lang w:val="fr-FR"/>
        </w:rPr>
        <w:t>Nos</w:t>
      </w:r>
      <w:r w:rsidRPr="0098542D">
        <w:rPr>
          <w:lang w:val="fr-FR"/>
        </w:rPr>
        <w:t xml:space="preserve"> ONU 1013, dioxyde de carbone, 1046, hélium comprimé, et 1066, azote comprimé. </w:t>
      </w:r>
    </w:p>
    <w:p w:rsidR="0098542D" w:rsidRPr="0098542D" w:rsidRDefault="00AD5A0A" w:rsidP="0098542D">
      <w:pPr>
        <w:pStyle w:val="SingleTxtG"/>
      </w:pPr>
      <w:r>
        <w:rPr>
          <w:lang w:val="fr-FR"/>
        </w:rPr>
        <w:t>5.</w:t>
      </w:r>
      <w:r>
        <w:rPr>
          <w:lang w:val="fr-FR"/>
        </w:rPr>
        <w:tab/>
        <w:t>Dans le chapitre </w:t>
      </w:r>
      <w:r w:rsidR="0098542D" w:rsidRPr="0098542D">
        <w:rPr>
          <w:lang w:val="fr-FR"/>
        </w:rPr>
        <w:t>3.3 du Règlement type, ajouter la nouvelle disposition spéciale XYZ, ainsi libellée :</w:t>
      </w:r>
    </w:p>
    <w:p w:rsidR="0098542D" w:rsidRPr="0098542D" w:rsidRDefault="0098542D" w:rsidP="00AD5A0A">
      <w:pPr>
        <w:pStyle w:val="SingleTxtG"/>
        <w:ind w:left="2268" w:hanging="1134"/>
      </w:pPr>
      <w:r w:rsidRPr="0098542D">
        <w:rPr>
          <w:lang w:val="fr-FR"/>
        </w:rPr>
        <w:t>«</w:t>
      </w:r>
      <w:r w:rsidR="00AD5A0A">
        <w:rPr>
          <w:lang w:val="fr-FR"/>
        </w:rPr>
        <w:t> XYZ</w:t>
      </w:r>
      <w:r w:rsidR="00AD5A0A">
        <w:rPr>
          <w:lang w:val="fr-FR"/>
        </w:rPr>
        <w:tab/>
      </w:r>
      <w:r w:rsidRPr="0098542D">
        <w:rPr>
          <w:lang w:val="fr-FR"/>
        </w:rPr>
        <w:t>Sauf en cas de transport par voie aérienne, le transport de ce gaz dans des bouteilles dont le produit de la pression d</w:t>
      </w:r>
      <w:r>
        <w:rPr>
          <w:lang w:val="fr-FR"/>
        </w:rPr>
        <w:t>’</w:t>
      </w:r>
      <w:r w:rsidRPr="0098542D">
        <w:rPr>
          <w:lang w:val="fr-FR"/>
        </w:rPr>
        <w:t>épreu</w:t>
      </w:r>
      <w:r w:rsidR="00AD5A0A">
        <w:rPr>
          <w:lang w:val="fr-FR"/>
        </w:rPr>
        <w:t>ve par la capacité est de 15,2 MPa.litre (152 </w:t>
      </w:r>
      <w:proofErr w:type="gramStart"/>
      <w:r w:rsidRPr="0098542D">
        <w:rPr>
          <w:lang w:val="fr-FR"/>
        </w:rPr>
        <w:t>bar.litre</w:t>
      </w:r>
      <w:proofErr w:type="gramEnd"/>
      <w:r w:rsidRPr="0098542D">
        <w:rPr>
          <w:lang w:val="fr-FR"/>
        </w:rPr>
        <w:t>) au maximum n</w:t>
      </w:r>
      <w:r>
        <w:rPr>
          <w:lang w:val="fr-FR"/>
        </w:rPr>
        <w:t>’</w:t>
      </w:r>
      <w:r w:rsidRPr="0098542D">
        <w:rPr>
          <w:lang w:val="fr-FR"/>
        </w:rPr>
        <w:t xml:space="preserve">est pas soumis aux autres dispositions du Règlement type si les conditions suivantes sont </w:t>
      </w:r>
      <w:r w:rsidR="00AD5A0A">
        <w:rPr>
          <w:lang w:val="fr-FR"/>
        </w:rPr>
        <w:t>remplies </w:t>
      </w:r>
      <w:r w:rsidRPr="0098542D">
        <w:rPr>
          <w:lang w:val="fr-FR"/>
        </w:rPr>
        <w:t xml:space="preserve">: </w:t>
      </w:r>
    </w:p>
    <w:p w:rsidR="0098542D" w:rsidRPr="0098542D" w:rsidRDefault="00AD5A0A" w:rsidP="00AD5A0A">
      <w:pPr>
        <w:pStyle w:val="SingleTxtG"/>
        <w:ind w:left="2625" w:hanging="357"/>
      </w:pPr>
      <w:r>
        <w:t>−</w:t>
      </w:r>
      <w:r>
        <w:tab/>
      </w:r>
      <w:r w:rsidR="0098542D" w:rsidRPr="0098542D">
        <w:rPr>
          <w:lang w:val="fr-FR"/>
        </w:rPr>
        <w:t>Les prescriptions de construction et d</w:t>
      </w:r>
      <w:r w:rsidR="0098542D">
        <w:rPr>
          <w:lang w:val="fr-FR"/>
        </w:rPr>
        <w:t>’</w:t>
      </w:r>
      <w:r w:rsidR="0098542D" w:rsidRPr="0098542D">
        <w:rPr>
          <w:lang w:val="fr-FR"/>
        </w:rPr>
        <w:t xml:space="preserve">épreuve applicables </w:t>
      </w:r>
      <w:r w:rsidR="003078F3">
        <w:rPr>
          <w:lang w:val="fr-FR"/>
        </w:rPr>
        <w:t>aux bouteilles sont respectées </w:t>
      </w:r>
      <w:r w:rsidR="0098542D" w:rsidRPr="0098542D">
        <w:rPr>
          <w:lang w:val="fr-FR"/>
        </w:rPr>
        <w:t>;</w:t>
      </w:r>
    </w:p>
    <w:p w:rsidR="0098542D" w:rsidRPr="0098542D" w:rsidRDefault="003078F3" w:rsidP="00AD5A0A">
      <w:pPr>
        <w:pStyle w:val="SingleTxtG"/>
        <w:ind w:left="2625" w:hanging="357"/>
      </w:pPr>
      <w:r>
        <w:t>−</w:t>
      </w:r>
      <w:r>
        <w:tab/>
      </w:r>
      <w:r w:rsidR="0098542D" w:rsidRPr="0098542D">
        <w:rPr>
          <w:lang w:val="fr-FR"/>
        </w:rPr>
        <w:t>Les dispositions particulières relatives à l</w:t>
      </w:r>
      <w:r w:rsidR="0098542D">
        <w:rPr>
          <w:lang w:val="fr-FR"/>
        </w:rPr>
        <w:t>’</w:t>
      </w:r>
      <w:r w:rsidR="0098542D" w:rsidRPr="0098542D">
        <w:rPr>
          <w:lang w:val="fr-FR"/>
        </w:rPr>
        <w:t>emballag</w:t>
      </w:r>
      <w:r>
        <w:rPr>
          <w:lang w:val="fr-FR"/>
        </w:rPr>
        <w:t>e des marchandises de la classe </w:t>
      </w:r>
      <w:r w:rsidR="0098542D" w:rsidRPr="0098542D">
        <w:rPr>
          <w:lang w:val="fr-FR"/>
        </w:rPr>
        <w:t>2</w:t>
      </w:r>
      <w:r>
        <w:rPr>
          <w:lang w:val="fr-FR"/>
        </w:rPr>
        <w:t xml:space="preserve"> énoncées au paragraphe </w:t>
      </w:r>
      <w:r w:rsidR="0098542D" w:rsidRPr="0098542D">
        <w:rPr>
          <w:lang w:val="fr-FR"/>
        </w:rPr>
        <w:t>4.1.6 sont respecté</w:t>
      </w:r>
      <w:r>
        <w:rPr>
          <w:lang w:val="fr-FR"/>
        </w:rPr>
        <w:t>es </w:t>
      </w:r>
      <w:r w:rsidR="0098542D" w:rsidRPr="0098542D">
        <w:rPr>
          <w:lang w:val="fr-FR"/>
        </w:rPr>
        <w:t>;</w:t>
      </w:r>
    </w:p>
    <w:p w:rsidR="0098542D" w:rsidRPr="0098542D" w:rsidRDefault="003078F3" w:rsidP="00AD5A0A">
      <w:pPr>
        <w:pStyle w:val="SingleTxtG"/>
        <w:ind w:left="2625" w:hanging="357"/>
      </w:pPr>
      <w:r>
        <w:t>−</w:t>
      </w:r>
      <w:r>
        <w:tab/>
      </w:r>
      <w:r w:rsidR="0098542D" w:rsidRPr="0098542D">
        <w:rPr>
          <w:lang w:val="fr-FR"/>
        </w:rPr>
        <w:t>Les bouteilles sont inspectées avant le remplissage et sont soumises à un essai d</w:t>
      </w:r>
      <w:r w:rsidR="0098542D">
        <w:rPr>
          <w:lang w:val="fr-FR"/>
        </w:rPr>
        <w:t>’</w:t>
      </w:r>
      <w:r>
        <w:rPr>
          <w:lang w:val="fr-FR"/>
        </w:rPr>
        <w:t>étanchéité après le remplissage </w:t>
      </w:r>
      <w:r w:rsidR="0098542D" w:rsidRPr="0098542D">
        <w:rPr>
          <w:lang w:val="fr-FR"/>
        </w:rPr>
        <w:t xml:space="preserve">; </w:t>
      </w:r>
    </w:p>
    <w:p w:rsidR="0098542D" w:rsidRPr="0098542D" w:rsidRDefault="003078F3" w:rsidP="00AD5A0A">
      <w:pPr>
        <w:pStyle w:val="SingleTxtG"/>
        <w:ind w:left="2625" w:hanging="357"/>
      </w:pPr>
      <w:r>
        <w:t>−</w:t>
      </w:r>
      <w:r>
        <w:tab/>
      </w:r>
      <w:r w:rsidR="0098542D" w:rsidRPr="0098542D">
        <w:rPr>
          <w:lang w:val="fr-FR"/>
        </w:rPr>
        <w:t>Les bouteilles sont emballées dans des emballages extérieurs qui satisfont</w:t>
      </w:r>
      <w:r>
        <w:rPr>
          <w:lang w:val="fr-FR"/>
        </w:rPr>
        <w:t xml:space="preserve"> aux prescriptions de la Partie </w:t>
      </w:r>
      <w:r w:rsidR="0098542D" w:rsidRPr="0098542D">
        <w:rPr>
          <w:lang w:val="fr-FR"/>
        </w:rPr>
        <w:t>4. Les dispositions générales d</w:t>
      </w:r>
      <w:r w:rsidR="0098542D">
        <w:rPr>
          <w:lang w:val="fr-FR"/>
        </w:rPr>
        <w:t>’</w:t>
      </w:r>
      <w:r w:rsidR="0098542D" w:rsidRPr="0098542D">
        <w:rPr>
          <w:lang w:val="fr-FR"/>
        </w:rPr>
        <w:t>emballage des 4.1.1.1, 4.1.1.2 et 4.1.1.5 à 4</w:t>
      </w:r>
      <w:r>
        <w:rPr>
          <w:lang w:val="fr-FR"/>
        </w:rPr>
        <w:t>.1.1.7 doivent être observées </w:t>
      </w:r>
      <w:r w:rsidR="0098542D" w:rsidRPr="0098542D">
        <w:rPr>
          <w:lang w:val="fr-FR"/>
        </w:rPr>
        <w:t xml:space="preserve">; </w:t>
      </w:r>
    </w:p>
    <w:p w:rsidR="0098542D" w:rsidRPr="0098542D" w:rsidRDefault="003078F3" w:rsidP="00AD5A0A">
      <w:pPr>
        <w:pStyle w:val="SingleTxtG"/>
        <w:ind w:left="2625" w:hanging="357"/>
      </w:pPr>
      <w:r>
        <w:t>−</w:t>
      </w:r>
      <w:r>
        <w:tab/>
      </w:r>
      <w:r w:rsidR="0098542D" w:rsidRPr="0098542D">
        <w:rPr>
          <w:lang w:val="fr-FR"/>
        </w:rPr>
        <w:t>Les bouteilles ne sont pas emballées en commun avec d</w:t>
      </w:r>
      <w:r w:rsidR="0098542D">
        <w:rPr>
          <w:lang w:val="fr-FR"/>
        </w:rPr>
        <w:t>’</w:t>
      </w:r>
      <w:r>
        <w:rPr>
          <w:lang w:val="fr-FR"/>
        </w:rPr>
        <w:t>autres marchandises dangereuses </w:t>
      </w:r>
      <w:r w:rsidR="0098542D" w:rsidRPr="0098542D">
        <w:rPr>
          <w:lang w:val="fr-FR"/>
        </w:rPr>
        <w:t xml:space="preserve">; </w:t>
      </w:r>
    </w:p>
    <w:p w:rsidR="0098542D" w:rsidRPr="0098542D" w:rsidRDefault="003078F3" w:rsidP="00AD5A0A">
      <w:pPr>
        <w:pStyle w:val="SingleTxtG"/>
        <w:ind w:left="2625" w:hanging="357"/>
      </w:pPr>
      <w:r>
        <w:t>−</w:t>
      </w:r>
      <w:r>
        <w:tab/>
      </w:r>
      <w:r w:rsidR="0098542D" w:rsidRPr="0098542D">
        <w:rPr>
          <w:lang w:val="fr-FR"/>
        </w:rPr>
        <w:t>La masse brute d</w:t>
      </w:r>
      <w:r w:rsidR="0098542D">
        <w:rPr>
          <w:lang w:val="fr-FR"/>
        </w:rPr>
        <w:t>’</w:t>
      </w:r>
      <w:r w:rsidR="0098542D" w:rsidRPr="0098542D">
        <w:rPr>
          <w:lang w:val="fr-FR"/>
        </w:rPr>
        <w:t>un colis n</w:t>
      </w:r>
      <w:r w:rsidR="0098542D">
        <w:rPr>
          <w:lang w:val="fr-FR"/>
        </w:rPr>
        <w:t>’</w:t>
      </w:r>
      <w:r>
        <w:rPr>
          <w:lang w:val="fr-FR"/>
        </w:rPr>
        <w:t>est pas supérieure à 30 kg </w:t>
      </w:r>
      <w:r w:rsidR="0098542D" w:rsidRPr="0098542D">
        <w:rPr>
          <w:lang w:val="fr-FR"/>
        </w:rPr>
        <w:t>;</w:t>
      </w:r>
      <w:r>
        <w:rPr>
          <w:lang w:val="fr-FR"/>
        </w:rPr>
        <w:t xml:space="preserve"> et</w:t>
      </w:r>
    </w:p>
    <w:p w:rsidR="0098542D" w:rsidRPr="0098542D" w:rsidRDefault="003078F3" w:rsidP="003078F3">
      <w:pPr>
        <w:pStyle w:val="SingleTxtG"/>
        <w:ind w:left="2625" w:hanging="357"/>
      </w:pPr>
      <w:r>
        <w:t>−</w:t>
      </w:r>
      <w:r>
        <w:tab/>
      </w:r>
      <w:r w:rsidR="0098542D" w:rsidRPr="0098542D">
        <w:rPr>
          <w:lang w:val="fr-FR"/>
        </w:rPr>
        <w:t>Chaque colis est marqué de manière distincte et durable de l</w:t>
      </w:r>
      <w:r w:rsidR="0098542D">
        <w:rPr>
          <w:lang w:val="fr-FR"/>
        </w:rPr>
        <w:t>’</w:t>
      </w:r>
      <w:r w:rsidR="0098542D" w:rsidRPr="0098542D">
        <w:rPr>
          <w:lang w:val="fr-FR"/>
        </w:rPr>
        <w:t>inscription “UN 1006” pour l</w:t>
      </w:r>
      <w:r w:rsidR="0098542D">
        <w:rPr>
          <w:lang w:val="fr-FR"/>
        </w:rPr>
        <w:t>’</w:t>
      </w:r>
      <w:r w:rsidR="0098542D" w:rsidRPr="0098542D">
        <w:rPr>
          <w:lang w:val="fr-FR"/>
        </w:rPr>
        <w:t>argon comprimé, “UN 1013” pour le dioxyde de carbone, “UN 1046” pour l</w:t>
      </w:r>
      <w:r w:rsidR="0098542D">
        <w:rPr>
          <w:lang w:val="fr-FR"/>
        </w:rPr>
        <w:t>’</w:t>
      </w:r>
      <w:r w:rsidR="0098542D" w:rsidRPr="0098542D">
        <w:rPr>
          <w:lang w:val="fr-FR"/>
        </w:rPr>
        <w:t>hélium comprimé ou “UN 1066” pour l</w:t>
      </w:r>
      <w:r w:rsidR="0098542D">
        <w:rPr>
          <w:lang w:val="fr-FR"/>
        </w:rPr>
        <w:t>’</w:t>
      </w:r>
      <w:r>
        <w:rPr>
          <w:lang w:val="fr-FR"/>
        </w:rPr>
        <w:t>azote comprimé </w:t>
      </w:r>
      <w:r w:rsidR="0098542D" w:rsidRPr="0098542D">
        <w:rPr>
          <w:lang w:val="fr-FR"/>
        </w:rPr>
        <w:t>; cette marque est entourée d</w:t>
      </w:r>
      <w:r w:rsidR="0098542D">
        <w:rPr>
          <w:lang w:val="fr-FR"/>
        </w:rPr>
        <w:t>’</w:t>
      </w:r>
      <w:r w:rsidR="0098542D" w:rsidRPr="0098542D">
        <w:rPr>
          <w:lang w:val="fr-FR"/>
        </w:rPr>
        <w:t>une ligne qui forme un carré placé sur la pointe et dont la longueur des côtés est d</w:t>
      </w:r>
      <w:r w:rsidR="0098542D">
        <w:rPr>
          <w:lang w:val="fr-FR"/>
        </w:rPr>
        <w:t>’</w:t>
      </w:r>
      <w:r>
        <w:rPr>
          <w:lang w:val="fr-FR"/>
        </w:rPr>
        <w:t>au moins 100 mm x 100 mm. </w:t>
      </w:r>
      <w:r w:rsidR="0098542D" w:rsidRPr="0098542D">
        <w:rPr>
          <w:lang w:val="fr-FR"/>
        </w:rPr>
        <w:t>».</w:t>
      </w:r>
    </w:p>
    <w:p w:rsidR="0098542D" w:rsidRPr="0098542D" w:rsidRDefault="0098542D" w:rsidP="003078F3">
      <w:pPr>
        <w:pStyle w:val="HChG"/>
      </w:pPr>
      <w:r w:rsidRPr="0098542D">
        <w:rPr>
          <w:lang w:val="fr-FR"/>
        </w:rPr>
        <w:tab/>
      </w:r>
      <w:r w:rsidRPr="0098542D">
        <w:rPr>
          <w:lang w:val="fr-FR"/>
        </w:rPr>
        <w:tab/>
        <w:t>Justification</w:t>
      </w:r>
    </w:p>
    <w:p w:rsidR="0098542D" w:rsidRPr="0098542D" w:rsidRDefault="0098542D" w:rsidP="0098542D">
      <w:pPr>
        <w:pStyle w:val="SingleTxtG"/>
      </w:pPr>
      <w:r w:rsidRPr="0098542D">
        <w:rPr>
          <w:lang w:val="fr-FR"/>
        </w:rPr>
        <w:t>6.</w:t>
      </w:r>
      <w:r w:rsidRPr="0098542D">
        <w:rPr>
          <w:lang w:val="fr-FR"/>
        </w:rPr>
        <w:tab/>
        <w:t>Dans le document TRANS/WP.15/AC.1/2005/53, soumis par l</w:t>
      </w:r>
      <w:r>
        <w:rPr>
          <w:lang w:val="fr-FR"/>
        </w:rPr>
        <w:t>’</w:t>
      </w:r>
      <w:r w:rsidRPr="0098542D">
        <w:rPr>
          <w:lang w:val="fr-FR"/>
        </w:rPr>
        <w:t>expert de l</w:t>
      </w:r>
      <w:r>
        <w:rPr>
          <w:lang w:val="fr-FR"/>
        </w:rPr>
        <w:t>’</w:t>
      </w:r>
      <w:r w:rsidRPr="0098542D">
        <w:rPr>
          <w:lang w:val="fr-FR"/>
        </w:rPr>
        <w:t>Allemagne, on pouvait lire ceci</w:t>
      </w:r>
      <w:r w:rsidR="002D5621">
        <w:rPr>
          <w:lang w:val="fr-FR"/>
        </w:rPr>
        <w:t> </w:t>
      </w:r>
      <w:r w:rsidRPr="0098542D">
        <w:rPr>
          <w:lang w:val="fr-FR"/>
        </w:rPr>
        <w:t>:</w:t>
      </w:r>
      <w:bookmarkStart w:id="1" w:name="_Hlk521575359"/>
      <w:bookmarkEnd w:id="1"/>
    </w:p>
    <w:p w:rsidR="0098542D" w:rsidRPr="0098542D" w:rsidRDefault="002D5621" w:rsidP="002D5621">
      <w:pPr>
        <w:pStyle w:val="SingleTxtG"/>
        <w:ind w:left="1701"/>
        <w:rPr>
          <w:iCs/>
        </w:rPr>
      </w:pPr>
      <w:r>
        <w:rPr>
          <w:i/>
          <w:iCs/>
        </w:rPr>
        <w:tab/>
      </w:r>
      <w:r w:rsidRPr="002D5621">
        <w:rPr>
          <w:iCs/>
          <w:lang w:val="fr-FR"/>
        </w:rPr>
        <w:t>«</w:t>
      </w:r>
      <w:r>
        <w:rPr>
          <w:i/>
          <w:iCs/>
          <w:lang w:val="fr-FR"/>
        </w:rPr>
        <w:t> </w:t>
      </w:r>
      <w:r w:rsidR="0098542D" w:rsidRPr="0098542D">
        <w:rPr>
          <w:i/>
          <w:iCs/>
          <w:lang w:val="fr-FR"/>
        </w:rPr>
        <w:t>En outre, de l</w:t>
      </w:r>
      <w:r w:rsidR="0098542D">
        <w:rPr>
          <w:i/>
          <w:iCs/>
          <w:lang w:val="fr-FR"/>
        </w:rPr>
        <w:t>’</w:t>
      </w:r>
      <w:r w:rsidR="0098542D" w:rsidRPr="0098542D">
        <w:rPr>
          <w:i/>
          <w:iCs/>
          <w:lang w:val="fr-FR"/>
        </w:rPr>
        <w:t>avis du Bundesanstalt für Materialforschung und Prüfung (BAM) (Office fédéral de la recherche et des contrôles sur les matériaux), il peut être supposé, en fonction du type de soupapes qui sont contrôlées pour de telles bouteilles de gaz carbonique, que la probabilité qu</w:t>
      </w:r>
      <w:r w:rsidR="0098542D">
        <w:rPr>
          <w:i/>
          <w:iCs/>
          <w:lang w:val="fr-FR"/>
        </w:rPr>
        <w:t>’</w:t>
      </w:r>
      <w:r w:rsidR="0098542D" w:rsidRPr="0098542D">
        <w:rPr>
          <w:i/>
          <w:iCs/>
          <w:lang w:val="fr-FR"/>
        </w:rPr>
        <w:t>une soupape devienne non étanche pendant le transport est indéfiniment faible.</w:t>
      </w:r>
      <w:r>
        <w:rPr>
          <w:lang w:val="fr-FR"/>
        </w:rPr>
        <w:t xml:space="preserve"> </w:t>
      </w:r>
      <w:r w:rsidR="0098542D" w:rsidRPr="0098542D">
        <w:rPr>
          <w:i/>
          <w:iCs/>
          <w:lang w:val="fr-FR"/>
        </w:rPr>
        <w:t>Une soupape non étanche d</w:t>
      </w:r>
      <w:r w:rsidR="0098542D">
        <w:rPr>
          <w:i/>
          <w:iCs/>
          <w:lang w:val="fr-FR"/>
        </w:rPr>
        <w:t>’</w:t>
      </w:r>
      <w:r w:rsidR="0098542D" w:rsidRPr="0098542D">
        <w:rPr>
          <w:i/>
          <w:iCs/>
          <w:lang w:val="fr-FR"/>
        </w:rPr>
        <w:t>une petite bouteille de gaz carbonique apparaît déjà directement après le remplissage dans l</w:t>
      </w:r>
      <w:r w:rsidR="0098542D">
        <w:rPr>
          <w:i/>
          <w:iCs/>
          <w:lang w:val="fr-FR"/>
        </w:rPr>
        <w:t>’</w:t>
      </w:r>
      <w:r w:rsidR="0098542D" w:rsidRPr="0098542D">
        <w:rPr>
          <w:i/>
          <w:iCs/>
          <w:lang w:val="fr-FR"/>
        </w:rPr>
        <w:t xml:space="preserve">installation de remplissage </w:t>
      </w:r>
      <w:r>
        <w:rPr>
          <w:i/>
          <w:iCs/>
          <w:lang w:val="fr-FR"/>
        </w:rPr>
        <w:t>− </w:t>
      </w:r>
      <w:r w:rsidR="0098542D" w:rsidRPr="0098542D">
        <w:rPr>
          <w:i/>
          <w:iCs/>
          <w:lang w:val="fr-FR"/>
        </w:rPr>
        <w:t xml:space="preserve">la bouteille remplie est alors </w:t>
      </w:r>
      <w:r>
        <w:rPr>
          <w:i/>
          <w:iCs/>
          <w:lang w:val="fr-FR"/>
        </w:rPr>
        <w:t>déjà vide au début du transport −</w:t>
      </w:r>
      <w:r w:rsidR="0098542D" w:rsidRPr="0098542D">
        <w:rPr>
          <w:i/>
          <w:iCs/>
          <w:lang w:val="fr-FR"/>
        </w:rPr>
        <w:t xml:space="preserve"> ou l</w:t>
      </w:r>
      <w:r w:rsidR="0098542D">
        <w:rPr>
          <w:i/>
          <w:iCs/>
          <w:lang w:val="fr-FR"/>
        </w:rPr>
        <w:t>’</w:t>
      </w:r>
      <w:r w:rsidR="0098542D" w:rsidRPr="0098542D">
        <w:rPr>
          <w:i/>
          <w:iCs/>
          <w:lang w:val="fr-FR"/>
        </w:rPr>
        <w:t>inétanchéité est si faible qu</w:t>
      </w:r>
      <w:r w:rsidR="0098542D">
        <w:rPr>
          <w:i/>
          <w:iCs/>
          <w:lang w:val="fr-FR"/>
        </w:rPr>
        <w:t>’</w:t>
      </w:r>
      <w:r w:rsidR="0098542D" w:rsidRPr="0098542D">
        <w:rPr>
          <w:i/>
          <w:iCs/>
          <w:lang w:val="fr-FR"/>
        </w:rPr>
        <w:t>avec le temps les quantités de dioxyde de carbone dégagées dans le wagon/véhicule ne conduisent pas à une augmentation significative de la concentration atmosphé</w:t>
      </w:r>
      <w:r>
        <w:rPr>
          <w:i/>
          <w:iCs/>
          <w:lang w:val="fr-FR"/>
        </w:rPr>
        <w:t>rique de dioxyde de carbone. </w:t>
      </w:r>
      <w:r w:rsidR="0098542D" w:rsidRPr="00A640BA">
        <w:rPr>
          <w:iCs/>
          <w:lang w:val="fr-FR"/>
        </w:rPr>
        <w:t>»</w:t>
      </w:r>
      <w:r w:rsidR="0098542D" w:rsidRPr="0098542D">
        <w:rPr>
          <w:iCs/>
          <w:lang w:val="fr-FR"/>
        </w:rPr>
        <w:t>.</w:t>
      </w:r>
    </w:p>
    <w:p w:rsidR="0098542D" w:rsidRPr="0098542D" w:rsidRDefault="0098542D" w:rsidP="0098542D">
      <w:pPr>
        <w:pStyle w:val="SingleTxtG"/>
      </w:pPr>
      <w:r w:rsidRPr="0098542D">
        <w:rPr>
          <w:lang w:val="fr-FR"/>
        </w:rPr>
        <w:t>7.</w:t>
      </w:r>
      <w:r w:rsidRPr="0098542D">
        <w:rPr>
          <w:lang w:val="fr-FR"/>
        </w:rPr>
        <w:tab/>
        <w:t>L</w:t>
      </w:r>
      <w:r>
        <w:rPr>
          <w:lang w:val="fr-FR"/>
        </w:rPr>
        <w:t>’</w:t>
      </w:r>
      <w:r w:rsidRPr="0098542D">
        <w:rPr>
          <w:lang w:val="fr-FR"/>
        </w:rPr>
        <w:t>EIGA souscrit à l</w:t>
      </w:r>
      <w:r>
        <w:rPr>
          <w:lang w:val="fr-FR"/>
        </w:rPr>
        <w:t>’</w:t>
      </w:r>
      <w:r w:rsidRPr="0098542D">
        <w:rPr>
          <w:lang w:val="fr-FR"/>
        </w:rPr>
        <w:t>affirmation énoncée dans le document TRANS/WP.15/AC.1/</w:t>
      </w:r>
      <w:r w:rsidR="00A640BA">
        <w:rPr>
          <w:lang w:val="fr-FR"/>
        </w:rPr>
        <w:br/>
      </w:r>
      <w:r w:rsidRPr="0098542D">
        <w:rPr>
          <w:lang w:val="fr-FR"/>
        </w:rPr>
        <w:t>2005/53 et a effectué des calculs sur des véhicules en service afin de l</w:t>
      </w:r>
      <w:r>
        <w:rPr>
          <w:lang w:val="fr-FR"/>
        </w:rPr>
        <w:t>’</w:t>
      </w:r>
      <w:r w:rsidRPr="0098542D">
        <w:rPr>
          <w:lang w:val="fr-FR"/>
        </w:rPr>
        <w:t xml:space="preserve">étayer. Il est vrai </w:t>
      </w:r>
      <w:r w:rsidRPr="0098542D">
        <w:rPr>
          <w:lang w:val="fr-FR"/>
        </w:rPr>
        <w:lastRenderedPageBreak/>
        <w:t>qu</w:t>
      </w:r>
      <w:r>
        <w:rPr>
          <w:lang w:val="fr-FR"/>
        </w:rPr>
        <w:t>’</w:t>
      </w:r>
      <w:r w:rsidRPr="0098542D">
        <w:rPr>
          <w:lang w:val="fr-FR"/>
        </w:rPr>
        <w:t>une soupape qui n</w:t>
      </w:r>
      <w:r>
        <w:rPr>
          <w:lang w:val="fr-FR"/>
        </w:rPr>
        <w:t>’</w:t>
      </w:r>
      <w:r w:rsidRPr="0098542D">
        <w:rPr>
          <w:lang w:val="fr-FR"/>
        </w:rPr>
        <w:t>est pas étanche peut fuir immédiatement après le remplissage et ne pas fuir lorsqu</w:t>
      </w:r>
      <w:r>
        <w:rPr>
          <w:lang w:val="fr-FR"/>
        </w:rPr>
        <w:t>’</w:t>
      </w:r>
      <w:r w:rsidRPr="0098542D">
        <w:rPr>
          <w:lang w:val="fr-FR"/>
        </w:rPr>
        <w:t>elle est chargée dans le véhicule. Dans le cas d</w:t>
      </w:r>
      <w:r>
        <w:rPr>
          <w:lang w:val="fr-FR"/>
        </w:rPr>
        <w:t>’</w:t>
      </w:r>
      <w:r w:rsidRPr="0098542D">
        <w:rPr>
          <w:lang w:val="fr-FR"/>
        </w:rPr>
        <w:t>une petite camionnette équipée d</w:t>
      </w:r>
      <w:r>
        <w:rPr>
          <w:lang w:val="fr-FR"/>
        </w:rPr>
        <w:t>’</w:t>
      </w:r>
      <w:r w:rsidRPr="0098542D">
        <w:rPr>
          <w:lang w:val="fr-FR"/>
        </w:rPr>
        <w:t>un compartiment de chargement de 4</w:t>
      </w:r>
      <w:r w:rsidR="00A640BA">
        <w:rPr>
          <w:lang w:val="fr-FR"/>
        </w:rPr>
        <w:t> 100 </w:t>
      </w:r>
      <w:r w:rsidRPr="0098542D">
        <w:rPr>
          <w:lang w:val="fr-FR"/>
        </w:rPr>
        <w:t>litres de volume sans ventilat</w:t>
      </w:r>
      <w:r w:rsidR="00A640BA">
        <w:rPr>
          <w:lang w:val="fr-FR"/>
        </w:rPr>
        <w:t>ion, un rejet instantané de 152 </w:t>
      </w:r>
      <w:r w:rsidRPr="0098542D">
        <w:rPr>
          <w:lang w:val="fr-FR"/>
        </w:rPr>
        <w:t>litres de dioxyde de carbone provoquerait une hausse d</w:t>
      </w:r>
      <w:r>
        <w:rPr>
          <w:lang w:val="fr-FR"/>
        </w:rPr>
        <w:t>’</w:t>
      </w:r>
      <w:r w:rsidRPr="0098542D">
        <w:rPr>
          <w:lang w:val="fr-FR"/>
        </w:rPr>
        <w:t>environ 3,5</w:t>
      </w:r>
      <w:r w:rsidR="00A640BA">
        <w:rPr>
          <w:lang w:val="fr-FR"/>
        </w:rPr>
        <w:t> </w:t>
      </w:r>
      <w:r w:rsidRPr="0098542D">
        <w:rPr>
          <w:lang w:val="fr-FR"/>
        </w:rPr>
        <w:t>% du taux de dioxyde de carbone, mais ne rendrait pas l</w:t>
      </w:r>
      <w:r>
        <w:rPr>
          <w:lang w:val="fr-FR"/>
        </w:rPr>
        <w:t>’</w:t>
      </w:r>
      <w:r w:rsidRPr="0098542D">
        <w:rPr>
          <w:lang w:val="fr-FR"/>
        </w:rPr>
        <w:t>atmosphère asphyxiante. Dans les faits, un rejet instantané ne pourrait avoir lieu, puisque le dioxyde de carbone se transformerait en dioxyde de carbone solide (neige carbonique). Dans un tel cas, une libération lente d</w:t>
      </w:r>
      <w:r>
        <w:rPr>
          <w:lang w:val="fr-FR"/>
        </w:rPr>
        <w:t>’</w:t>
      </w:r>
      <w:r w:rsidR="00A640BA">
        <w:rPr>
          <w:lang w:val="fr-FR"/>
        </w:rPr>
        <w:t>environ 0,75 </w:t>
      </w:r>
      <w:r w:rsidRPr="0098542D">
        <w:rPr>
          <w:lang w:val="fr-FR"/>
        </w:rPr>
        <w:t>kg de dioxyde de carbone se produirait.</w:t>
      </w:r>
    </w:p>
    <w:p w:rsidR="00446FE5" w:rsidRDefault="0098542D" w:rsidP="0098542D">
      <w:pPr>
        <w:pStyle w:val="SingleTxtG"/>
        <w:rPr>
          <w:lang w:val="fr-FR"/>
        </w:rPr>
      </w:pPr>
      <w:r w:rsidRPr="0098542D">
        <w:rPr>
          <w:lang w:val="fr-FR"/>
        </w:rPr>
        <w:t>8.</w:t>
      </w:r>
      <w:r w:rsidRPr="0098542D">
        <w:rPr>
          <w:lang w:val="fr-FR"/>
        </w:rPr>
        <w:tab/>
        <w:t>S</w:t>
      </w:r>
      <w:r>
        <w:rPr>
          <w:lang w:val="fr-FR"/>
        </w:rPr>
        <w:t>’</w:t>
      </w:r>
      <w:r w:rsidRPr="0098542D">
        <w:rPr>
          <w:lang w:val="fr-FR"/>
        </w:rPr>
        <w:t xml:space="preserve">agissant des autres gaz visés par la proposition, à savoir les </w:t>
      </w:r>
      <w:r w:rsidR="00A640BA">
        <w:rPr>
          <w:lang w:val="fr-FR"/>
        </w:rPr>
        <w:t>Nos</w:t>
      </w:r>
      <w:r w:rsidRPr="0098542D">
        <w:rPr>
          <w:lang w:val="fr-FR"/>
        </w:rPr>
        <w:t xml:space="preserve"> ONU 1006, argon comprimé, 1013, dioxyde de carbone, 1046, hélium comprimé, et 1066, azote comprimé, une libération rapide du contenu d</w:t>
      </w:r>
      <w:r>
        <w:rPr>
          <w:lang w:val="fr-FR"/>
        </w:rPr>
        <w:t>’</w:t>
      </w:r>
      <w:r w:rsidRPr="0098542D">
        <w:rPr>
          <w:lang w:val="fr-FR"/>
        </w:rPr>
        <w:t>une bouteille dans une petite camionnette fermée ne rendrait pas l</w:t>
      </w:r>
      <w:r>
        <w:rPr>
          <w:lang w:val="fr-FR"/>
        </w:rPr>
        <w:t>’</w:t>
      </w:r>
      <w:r w:rsidRPr="0098542D">
        <w:rPr>
          <w:lang w:val="fr-FR"/>
        </w:rPr>
        <w:t>atmosphère asphyxiante.</w:t>
      </w:r>
    </w:p>
    <w:p w:rsidR="0098542D" w:rsidRPr="0098542D" w:rsidRDefault="0098542D" w:rsidP="0098542D">
      <w:pPr>
        <w:pStyle w:val="SingleTxtG"/>
        <w:spacing w:before="240" w:after="0"/>
        <w:jc w:val="center"/>
        <w:rPr>
          <w:u w:val="single"/>
        </w:rPr>
      </w:pPr>
      <w:r>
        <w:rPr>
          <w:u w:val="single"/>
        </w:rPr>
        <w:tab/>
      </w:r>
      <w:r>
        <w:rPr>
          <w:u w:val="single"/>
        </w:rPr>
        <w:tab/>
      </w:r>
      <w:r>
        <w:rPr>
          <w:u w:val="single"/>
        </w:rPr>
        <w:tab/>
      </w:r>
    </w:p>
    <w:sectPr w:rsidR="0098542D" w:rsidRPr="0098542D" w:rsidSect="0098542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BF" w:rsidRDefault="002646BF" w:rsidP="00F95C08">
      <w:pPr>
        <w:spacing w:line="240" w:lineRule="auto"/>
      </w:pPr>
    </w:p>
  </w:endnote>
  <w:endnote w:type="continuationSeparator" w:id="0">
    <w:p w:rsidR="002646BF" w:rsidRPr="00AC3823" w:rsidRDefault="002646BF" w:rsidP="00AC3823">
      <w:pPr>
        <w:pStyle w:val="Footer"/>
      </w:pPr>
    </w:p>
  </w:endnote>
  <w:endnote w:type="continuationNotice" w:id="1">
    <w:p w:rsidR="002646BF" w:rsidRDefault="002646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2D" w:rsidRPr="0098542D" w:rsidRDefault="0098542D" w:rsidP="0098542D">
    <w:pPr>
      <w:pStyle w:val="Footer"/>
      <w:tabs>
        <w:tab w:val="right" w:pos="9638"/>
      </w:tabs>
    </w:pPr>
    <w:r w:rsidRPr="0098542D">
      <w:rPr>
        <w:b/>
        <w:sz w:val="18"/>
      </w:rPr>
      <w:fldChar w:fldCharType="begin"/>
    </w:r>
    <w:r w:rsidRPr="0098542D">
      <w:rPr>
        <w:b/>
        <w:sz w:val="18"/>
      </w:rPr>
      <w:instrText xml:space="preserve"> PAGE  \* MERGEFORMAT </w:instrText>
    </w:r>
    <w:r w:rsidRPr="0098542D">
      <w:rPr>
        <w:b/>
        <w:sz w:val="18"/>
      </w:rPr>
      <w:fldChar w:fldCharType="separate"/>
    </w:r>
    <w:r w:rsidR="00DF66A6">
      <w:rPr>
        <w:b/>
        <w:noProof/>
        <w:sz w:val="18"/>
      </w:rPr>
      <w:t>2</w:t>
    </w:r>
    <w:r w:rsidRPr="0098542D">
      <w:rPr>
        <w:b/>
        <w:sz w:val="18"/>
      </w:rPr>
      <w:fldChar w:fldCharType="end"/>
    </w:r>
    <w:r>
      <w:rPr>
        <w:b/>
        <w:sz w:val="18"/>
      </w:rPr>
      <w:tab/>
    </w:r>
    <w:r>
      <w:t>GE.18-14098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2D" w:rsidRPr="0098542D" w:rsidRDefault="0098542D" w:rsidP="0098542D">
    <w:pPr>
      <w:pStyle w:val="Footer"/>
      <w:tabs>
        <w:tab w:val="right" w:pos="9638"/>
      </w:tabs>
      <w:rPr>
        <w:b/>
        <w:sz w:val="18"/>
      </w:rPr>
    </w:pPr>
    <w:r>
      <w:t>GE.18-14098</w:t>
    </w:r>
    <w:r>
      <w:tab/>
    </w:r>
    <w:r w:rsidRPr="0098542D">
      <w:rPr>
        <w:b/>
        <w:sz w:val="18"/>
      </w:rPr>
      <w:fldChar w:fldCharType="begin"/>
    </w:r>
    <w:r w:rsidRPr="0098542D">
      <w:rPr>
        <w:b/>
        <w:sz w:val="18"/>
      </w:rPr>
      <w:instrText xml:space="preserve"> PAGE  \* MERGEFORMAT </w:instrText>
    </w:r>
    <w:r w:rsidRPr="0098542D">
      <w:rPr>
        <w:b/>
        <w:sz w:val="18"/>
      </w:rPr>
      <w:fldChar w:fldCharType="separate"/>
    </w:r>
    <w:r w:rsidR="00DF66A6">
      <w:rPr>
        <w:b/>
        <w:noProof/>
        <w:sz w:val="18"/>
      </w:rPr>
      <w:t>3</w:t>
    </w:r>
    <w:r w:rsidRPr="009854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8542D" w:rsidRDefault="0098542D" w:rsidP="0098542D">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14098  (</w:t>
    </w:r>
    <w:proofErr w:type="gramEnd"/>
    <w:r>
      <w:rPr>
        <w:sz w:val="20"/>
      </w:rPr>
      <w:t>F)    280918    041018</w:t>
    </w:r>
    <w:r>
      <w:rPr>
        <w:sz w:val="20"/>
      </w:rPr>
      <w:br/>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sidRPr="0098542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BF" w:rsidRPr="00AC3823" w:rsidRDefault="002646BF" w:rsidP="00AC3823">
      <w:pPr>
        <w:pStyle w:val="Footer"/>
        <w:tabs>
          <w:tab w:val="right" w:pos="2155"/>
        </w:tabs>
        <w:spacing w:after="80" w:line="240" w:lineRule="atLeast"/>
        <w:ind w:left="680"/>
        <w:rPr>
          <w:u w:val="single"/>
        </w:rPr>
      </w:pPr>
      <w:r>
        <w:rPr>
          <w:u w:val="single"/>
        </w:rPr>
        <w:tab/>
      </w:r>
    </w:p>
  </w:footnote>
  <w:footnote w:type="continuationSeparator" w:id="0">
    <w:p w:rsidR="002646BF" w:rsidRPr="00AC3823" w:rsidRDefault="002646BF" w:rsidP="00AC3823">
      <w:pPr>
        <w:pStyle w:val="Footer"/>
        <w:tabs>
          <w:tab w:val="right" w:pos="2155"/>
        </w:tabs>
        <w:spacing w:after="80" w:line="240" w:lineRule="atLeast"/>
        <w:ind w:left="680"/>
        <w:rPr>
          <w:u w:val="single"/>
        </w:rPr>
      </w:pPr>
      <w:r>
        <w:rPr>
          <w:u w:val="single"/>
        </w:rPr>
        <w:tab/>
      </w:r>
    </w:p>
  </w:footnote>
  <w:footnote w:type="continuationNotice" w:id="1">
    <w:p w:rsidR="002646BF" w:rsidRPr="00AC3823" w:rsidRDefault="002646BF">
      <w:pPr>
        <w:spacing w:line="240" w:lineRule="auto"/>
        <w:rPr>
          <w:sz w:val="2"/>
          <w:szCs w:val="2"/>
        </w:rPr>
      </w:pPr>
    </w:p>
  </w:footnote>
  <w:footnote w:id="2">
    <w:p w:rsidR="0098542D" w:rsidRPr="00275EBA" w:rsidRDefault="0018633B" w:rsidP="0018633B">
      <w:pPr>
        <w:pStyle w:val="FootnoteText"/>
      </w:pPr>
      <w:r>
        <w:rPr>
          <w:lang w:val="fr-FR"/>
        </w:rPr>
        <w:tab/>
      </w:r>
      <w:r w:rsidR="0098542D" w:rsidRPr="0018633B">
        <w:rPr>
          <w:sz w:val="20"/>
          <w:lang w:val="fr-FR"/>
        </w:rPr>
        <w:t>*</w:t>
      </w:r>
      <w:r w:rsidR="0098542D">
        <w:rPr>
          <w:lang w:val="fr-FR"/>
        </w:rPr>
        <w:tab/>
        <w:t xml:space="preserve">Conformément au programme de travail du Sous-Comité pour la période biennale 2017-2018, approuvé par le Comité à sa huitième </w:t>
      </w:r>
      <w:r w:rsidR="0098542D" w:rsidRPr="0018633B">
        <w:t>session</w:t>
      </w:r>
      <w:r w:rsidR="0098542D">
        <w:rPr>
          <w:lang w:val="fr-FR"/>
        </w:rPr>
        <w:t xml:space="preserve"> (voir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2D" w:rsidRPr="0098542D" w:rsidRDefault="00DD08AB">
    <w:pPr>
      <w:pStyle w:val="Header"/>
    </w:pPr>
    <w:r>
      <w:fldChar w:fldCharType="begin"/>
    </w:r>
    <w:r>
      <w:instrText xml:space="preserve"> TITLE  \* MERGEFORMAT </w:instrText>
    </w:r>
    <w:r>
      <w:fldChar w:fldCharType="separate"/>
    </w:r>
    <w:r>
      <w:t>ST/SG/AC.10/C.3/2018/71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2D" w:rsidRPr="0098542D" w:rsidRDefault="00DD08AB" w:rsidP="0098542D">
    <w:pPr>
      <w:pStyle w:val="Header"/>
      <w:jc w:val="right"/>
    </w:pPr>
    <w:r>
      <w:fldChar w:fldCharType="begin"/>
    </w:r>
    <w:r>
      <w:instrText xml:space="preserve"> TITLE </w:instrText>
    </w:r>
    <w:r>
      <w:instrText xml:space="preserve"> \* MERGEFORMAT </w:instrText>
    </w:r>
    <w:r>
      <w:fldChar w:fldCharType="separate"/>
    </w:r>
    <w:r>
      <w:t>ST/SG/AC.10/C.3/2018/71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C807CF9"/>
    <w:multiLevelType w:val="hybridMultilevel"/>
    <w:tmpl w:val="BC242B0E"/>
    <w:lvl w:ilvl="0" w:tplc="16C632CA">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16C632CA">
        <w:start w:val="2"/>
        <w:numFmt w:val="bullet"/>
        <w:lvlText w:val="-"/>
        <w:lvlJc w:val="left"/>
        <w:pPr>
          <w:ind w:left="2061"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BF"/>
    <w:rsid w:val="00017F94"/>
    <w:rsid w:val="00023842"/>
    <w:rsid w:val="000305D3"/>
    <w:rsid w:val="000334F9"/>
    <w:rsid w:val="0007796D"/>
    <w:rsid w:val="000B7790"/>
    <w:rsid w:val="00111F2F"/>
    <w:rsid w:val="00132EA9"/>
    <w:rsid w:val="0014365E"/>
    <w:rsid w:val="00176178"/>
    <w:rsid w:val="0018633B"/>
    <w:rsid w:val="001F525A"/>
    <w:rsid w:val="002006D6"/>
    <w:rsid w:val="00223272"/>
    <w:rsid w:val="0024779E"/>
    <w:rsid w:val="002646BF"/>
    <w:rsid w:val="00283190"/>
    <w:rsid w:val="002832AC"/>
    <w:rsid w:val="002D5621"/>
    <w:rsid w:val="002D7C93"/>
    <w:rsid w:val="003078F3"/>
    <w:rsid w:val="00441C3B"/>
    <w:rsid w:val="00446FE5"/>
    <w:rsid w:val="00452396"/>
    <w:rsid w:val="004B1E3E"/>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8542D"/>
    <w:rsid w:val="009C1CF4"/>
    <w:rsid w:val="00A30353"/>
    <w:rsid w:val="00A640BA"/>
    <w:rsid w:val="00AC3823"/>
    <w:rsid w:val="00AD5A0A"/>
    <w:rsid w:val="00AE323C"/>
    <w:rsid w:val="00B00181"/>
    <w:rsid w:val="00B00B0D"/>
    <w:rsid w:val="00B765F7"/>
    <w:rsid w:val="00BA0CA9"/>
    <w:rsid w:val="00C02897"/>
    <w:rsid w:val="00D3439C"/>
    <w:rsid w:val="00DB1831"/>
    <w:rsid w:val="00DD08AB"/>
    <w:rsid w:val="00DD3BFD"/>
    <w:rsid w:val="00DF6678"/>
    <w:rsid w:val="00DF66A6"/>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A74F3-93B1-4B21-B915-4E7EACA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ST/SG/AC.10/C.3/2018/71</vt:lpstr>
      <vt:lpstr>ST/SG/AC.10/C.3/2018/71</vt:lpstr>
    </vt:vector>
  </TitlesOfParts>
  <Company>DCM</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ST/SG/AC.10/C.3/2018/71</dc:title>
  <dc:subject/>
  <dc:creator>Sandrine CLERE</dc:creator>
  <cp:keywords/>
  <cp:lastModifiedBy>Laurence Berthet</cp:lastModifiedBy>
  <cp:revision>3</cp:revision>
  <cp:lastPrinted>2018-10-04T09:03:00Z</cp:lastPrinted>
  <dcterms:created xsi:type="dcterms:W3CDTF">2018-10-04T09:02:00Z</dcterms:created>
  <dcterms:modified xsi:type="dcterms:W3CDTF">2018-10-04T09:03:00Z</dcterms:modified>
</cp:coreProperties>
</file>