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F21940">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F21940" w:rsidP="00F21940">
            <w:pPr>
              <w:jc w:val="right"/>
            </w:pPr>
            <w:r w:rsidRPr="00F21940">
              <w:rPr>
                <w:sz w:val="40"/>
              </w:rPr>
              <w:t>ST</w:t>
            </w:r>
            <w:r>
              <w:t>/SG/AC.10/C.3/2018/70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21940" w:rsidP="00F01738">
            <w:pPr>
              <w:spacing w:before="240"/>
            </w:pPr>
            <w:r>
              <w:t xml:space="preserve">Distr. </w:t>
            </w:r>
            <w:proofErr w:type="gramStart"/>
            <w:r>
              <w:t>générale</w:t>
            </w:r>
            <w:proofErr w:type="gramEnd"/>
          </w:p>
          <w:p w:rsidR="00F21940" w:rsidRDefault="00F21940" w:rsidP="00F21940">
            <w:pPr>
              <w:spacing w:line="240" w:lineRule="exact"/>
            </w:pPr>
            <w:r>
              <w:t>27 août 2018</w:t>
            </w:r>
          </w:p>
          <w:p w:rsidR="00F21940" w:rsidRDefault="00F21940" w:rsidP="00F21940">
            <w:pPr>
              <w:spacing w:line="240" w:lineRule="exact"/>
            </w:pPr>
            <w:r>
              <w:t>Français</w:t>
            </w:r>
          </w:p>
          <w:p w:rsidR="00F21940" w:rsidRPr="00DB58B5" w:rsidRDefault="00F21940" w:rsidP="00F21940">
            <w:pPr>
              <w:spacing w:line="240" w:lineRule="exact"/>
            </w:pPr>
            <w:r>
              <w:t>Original : anglais</w:t>
            </w:r>
          </w:p>
        </w:tc>
      </w:tr>
    </w:tbl>
    <w:p w:rsidR="00F21940" w:rsidRPr="00CA0680" w:rsidRDefault="00F2194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F21940" w:rsidRPr="00CA0680" w:rsidRDefault="00F21940" w:rsidP="000305D3">
      <w:pPr>
        <w:spacing w:before="120"/>
        <w:rPr>
          <w:b/>
        </w:rPr>
      </w:pPr>
      <w:r w:rsidRPr="00CA0680">
        <w:rPr>
          <w:b/>
        </w:rPr>
        <w:t>Sous</w:t>
      </w:r>
      <w:r>
        <w:rPr>
          <w:b/>
        </w:rPr>
        <w:t>-</w:t>
      </w:r>
      <w:r w:rsidRPr="00CA0680">
        <w:rPr>
          <w:b/>
        </w:rPr>
        <w:t>Comité d’experts du transport des marchandises dangereuses</w:t>
      </w:r>
    </w:p>
    <w:p w:rsidR="00F21940" w:rsidRDefault="00F21940" w:rsidP="000305D3">
      <w:pPr>
        <w:spacing w:before="120"/>
        <w:rPr>
          <w:b/>
        </w:rPr>
      </w:pPr>
      <w:r w:rsidRPr="00DA01F8">
        <w:rPr>
          <w:b/>
        </w:rPr>
        <w:t>Cinquante-quatrième</w:t>
      </w:r>
      <w:r>
        <w:rPr>
          <w:b/>
        </w:rPr>
        <w:t xml:space="preserve"> </w:t>
      </w:r>
      <w:r w:rsidRPr="00CA0680">
        <w:rPr>
          <w:b/>
        </w:rPr>
        <w:t>session</w:t>
      </w:r>
    </w:p>
    <w:p w:rsidR="00F21940" w:rsidRDefault="00F21940" w:rsidP="000305D3">
      <w:r>
        <w:t xml:space="preserve">Genève, </w:t>
      </w:r>
      <w:r w:rsidRPr="00DA01F8">
        <w:t>26 novembre-4 décembre 2018</w:t>
      </w:r>
    </w:p>
    <w:p w:rsidR="00F21940" w:rsidRDefault="00F21940" w:rsidP="000305D3">
      <w:r>
        <w:t>Point 7 c) de l’ordre du jour provisoire</w:t>
      </w:r>
    </w:p>
    <w:p w:rsidR="00F21940" w:rsidRDefault="00F21940" w:rsidP="00AC3823">
      <w:r w:rsidRPr="00DA01F8">
        <w:rPr>
          <w:b/>
        </w:rPr>
        <w:t xml:space="preserve">Questions relatives au Système général harmonisé de classification </w:t>
      </w:r>
      <w:r>
        <w:rPr>
          <w:b/>
        </w:rPr>
        <w:br/>
      </w:r>
      <w:r w:rsidRPr="00DA01F8">
        <w:rPr>
          <w:b/>
        </w:rPr>
        <w:t xml:space="preserve">et d’étiquetage des produits chimiques (SGH) : </w:t>
      </w:r>
      <w:r>
        <w:rPr>
          <w:b/>
        </w:rPr>
        <w:br/>
      </w:r>
      <w:r w:rsidRPr="00DA01F8">
        <w:rPr>
          <w:b/>
        </w:rPr>
        <w:t>Mise à jour des références aux directives de</w:t>
      </w:r>
      <w:r>
        <w:rPr>
          <w:b/>
        </w:rPr>
        <w:t xml:space="preserve"> </w:t>
      </w:r>
      <w:r w:rsidRPr="00DA01F8">
        <w:rPr>
          <w:b/>
        </w:rPr>
        <w:t>l’OCDE</w:t>
      </w:r>
    </w:p>
    <w:p w:rsidR="00601651" w:rsidRPr="00601651" w:rsidRDefault="00601651" w:rsidP="00601651">
      <w:pPr>
        <w:pStyle w:val="HChG"/>
      </w:pPr>
      <w:r w:rsidRPr="00601651">
        <w:tab/>
      </w:r>
      <w:r w:rsidRPr="00601651">
        <w:tab/>
        <w:t xml:space="preserve">Révision du paragraphe 2.8.3.2 du Règlement type </w:t>
      </w:r>
      <w:r>
        <w:br/>
      </w:r>
      <w:proofErr w:type="gramStart"/>
      <w:r w:rsidRPr="00601651">
        <w:t>sur</w:t>
      </w:r>
      <w:proofErr w:type="gramEnd"/>
      <w:r w:rsidRPr="00601651">
        <w:t xml:space="preserve"> la base de la Ligne directrice 431 révisée </w:t>
      </w:r>
      <w:r>
        <w:br/>
      </w:r>
      <w:r w:rsidRPr="00601651">
        <w:rPr>
          <w:spacing w:val="2"/>
        </w:rPr>
        <w:t>de l’OCDE devant permettre l’utilisation</w:t>
      </w:r>
      <w:r w:rsidRPr="00601651">
        <w:t xml:space="preserve"> </w:t>
      </w:r>
      <w:r>
        <w:br/>
      </w:r>
      <w:r w:rsidRPr="00601651">
        <w:rPr>
          <w:spacing w:val="-2"/>
        </w:rPr>
        <w:t>de sous-catégories pour la corrosion cutanée</w:t>
      </w:r>
    </w:p>
    <w:p w:rsidR="00601651" w:rsidRPr="00601651" w:rsidRDefault="00601651" w:rsidP="00601651">
      <w:pPr>
        <w:pStyle w:val="H1G"/>
      </w:pPr>
      <w:r w:rsidRPr="00601651">
        <w:tab/>
      </w:r>
      <w:r w:rsidRPr="00601651">
        <w:tab/>
        <w:t>Communication de l’Union européenne</w:t>
      </w:r>
      <w:r w:rsidRPr="00601651">
        <w:rPr>
          <w:rStyle w:val="FootnoteReference"/>
          <w:b w:val="0"/>
          <w:sz w:val="20"/>
          <w:vertAlign w:val="baseline"/>
        </w:rPr>
        <w:footnoteReference w:customMarkFollows="1" w:id="2"/>
        <w:t>*</w:t>
      </w:r>
    </w:p>
    <w:p w:rsidR="00601651" w:rsidRPr="00601651" w:rsidRDefault="00601651" w:rsidP="00601651">
      <w:pPr>
        <w:pStyle w:val="HChG"/>
      </w:pPr>
      <w:r w:rsidRPr="00601651">
        <w:tab/>
      </w:r>
      <w:r w:rsidRPr="00601651">
        <w:tab/>
        <w:t>Introduction</w:t>
      </w:r>
    </w:p>
    <w:p w:rsidR="00601651" w:rsidRPr="00601651" w:rsidRDefault="00601651" w:rsidP="00601651">
      <w:pPr>
        <w:pStyle w:val="SingleTxtG"/>
      </w:pPr>
      <w:r w:rsidRPr="00601651">
        <w:t>1.</w:t>
      </w:r>
      <w:r w:rsidRPr="00601651">
        <w:tab/>
        <w:t xml:space="preserve">Le présent document est fondé sur le document ST/SG/AC.10/C.3/2018/30 et prend en considération les améliorations proposées dans les documents informels INF.34 et TDG/INF.71 </w:t>
      </w:r>
      <w:r w:rsidR="001D20FA">
        <w:t>−</w:t>
      </w:r>
      <w:r w:rsidRPr="00601651">
        <w:t xml:space="preserve"> GHS/INF.28, comme suggéré dans le rapport de la précédente session du Sous-Comité (ST/SG/AC.10/C.3/</w:t>
      </w:r>
      <w:r w:rsidR="001D20FA">
        <w:t>106, par. </w:t>
      </w:r>
      <w:r w:rsidRPr="00601651">
        <w:t>167).</w:t>
      </w:r>
    </w:p>
    <w:p w:rsidR="00601651" w:rsidRPr="00601651" w:rsidRDefault="00601651" w:rsidP="00601651">
      <w:pPr>
        <w:pStyle w:val="SingleTxtG"/>
      </w:pPr>
      <w:r w:rsidRPr="00601651">
        <w:t>2.</w:t>
      </w:r>
      <w:r w:rsidRPr="00601651">
        <w:tab/>
        <w:t>La Commission européenne souhaite remercier le Conseil consultatif des marchandises dangereuses (DGAC), le Conseil européen de l’industrie chimique (CEFIC) et les délégués qui ont contribué à l’élaboration de la version finale de ce document.</w:t>
      </w:r>
    </w:p>
    <w:p w:rsidR="00601651" w:rsidRPr="00601651" w:rsidRDefault="00601651" w:rsidP="00601651">
      <w:pPr>
        <w:pStyle w:val="SingleTxtG"/>
      </w:pPr>
      <w:r w:rsidRPr="00601651">
        <w:t>3.</w:t>
      </w:r>
      <w:r w:rsidRPr="00601651">
        <w:tab/>
        <w:t>La Ligne directrice de l’</w:t>
      </w:r>
      <w:r w:rsidR="00AE29CE">
        <w:t xml:space="preserve">OCDE </w:t>
      </w:r>
      <w:r w:rsidRPr="00601651">
        <w:t xml:space="preserve">relative à l’essai </w:t>
      </w:r>
      <w:r w:rsidR="001D20FA">
        <w:rPr>
          <w:rFonts w:eastAsia="MS Mincho"/>
        </w:rPr>
        <w:t>n</w:t>
      </w:r>
      <w:r w:rsidR="001D20FA">
        <w:rPr>
          <w:rFonts w:eastAsia="MS Mincho"/>
          <w:vertAlign w:val="superscript"/>
        </w:rPr>
        <w:t>o</w:t>
      </w:r>
      <w:r w:rsidR="001D20FA">
        <w:t> </w:t>
      </w:r>
      <w:r w:rsidRPr="00601651">
        <w:t xml:space="preserve">431, « Corrosion cutanée </w:t>
      </w:r>
      <w:r w:rsidRPr="00601651">
        <w:rPr>
          <w:i/>
        </w:rPr>
        <w:t>in vitro</w:t>
      </w:r>
      <w:r w:rsidRPr="00601651">
        <w:t> : Essai sur modèle de peau humaine », a été actualisée en vue de permettre l’utilisation de sous</w:t>
      </w:r>
      <w:r w:rsidRPr="00601651">
        <w:noBreakHyphen/>
        <w:t xml:space="preserve">catégories pour la corrosion cutanée, puis adoptée par l’OCDE en 2013 et révisée en 2014, 2015 et 2016. Les méthodes </w:t>
      </w:r>
      <w:r w:rsidRPr="00601651">
        <w:rPr>
          <w:i/>
        </w:rPr>
        <w:t>in vitro</w:t>
      </w:r>
      <w:r w:rsidRPr="00601651">
        <w:t xml:space="preserve"> énumérées dans la Ligne directrice 431 permettent à présent de faire la distinction entre les sous-catégories 1A et 1B/C du SGH. Il n’a pas été possible d’introduire une distinction entre les sous-catégories 1B et 1C en raison du nombre limité d’agents chimiques corrosifs </w:t>
      </w:r>
      <w:r w:rsidRPr="00601651">
        <w:rPr>
          <w:i/>
        </w:rPr>
        <w:t>in vivo</w:t>
      </w:r>
      <w:r w:rsidRPr="00601651">
        <w:t xml:space="preserve"> bien connus, ressortant à la sous</w:t>
      </w:r>
      <w:r w:rsidR="001D20FA">
        <w:noBreakHyphen/>
      </w:r>
      <w:r w:rsidRPr="00601651">
        <w:t xml:space="preserve">catégorie 1C, auxquels comparer les résultats obtenus </w:t>
      </w:r>
      <w:r w:rsidRPr="00601651">
        <w:rPr>
          <w:i/>
        </w:rPr>
        <w:t>in vitro</w:t>
      </w:r>
      <w:r w:rsidRPr="00601651">
        <w:t xml:space="preserve"> aux fins de validation.</w:t>
      </w:r>
    </w:p>
    <w:p w:rsidR="00601651" w:rsidRPr="00601651" w:rsidRDefault="00601651" w:rsidP="00601651">
      <w:pPr>
        <w:pStyle w:val="SingleTxtG"/>
      </w:pPr>
      <w:r w:rsidRPr="00601651">
        <w:t>4.</w:t>
      </w:r>
      <w:r w:rsidRPr="00601651">
        <w:tab/>
        <w:t xml:space="preserve">Le but fondamental recherché par l’introduction dans la Ligne directrice 431 de la possibilité de distinguer plusieurs sous-catégories était d’éviter un classement par défaut dans </w:t>
      </w:r>
      <w:r w:rsidRPr="00601651">
        <w:lastRenderedPageBreak/>
        <w:t xml:space="preserve">la catégorie 1 du SGH, ce qui </w:t>
      </w:r>
      <w:r w:rsidR="00AE29CE">
        <w:t>aurait</w:t>
      </w:r>
      <w:r w:rsidRPr="00601651">
        <w:t xml:space="preserve"> probablement conduit à la réalisation d’autres essais </w:t>
      </w:r>
      <w:r w:rsidRPr="00601651">
        <w:rPr>
          <w:i/>
        </w:rPr>
        <w:t>in vivo</w:t>
      </w:r>
      <w:r w:rsidRPr="00601651">
        <w:t xml:space="preserve"> afin d’éviter un éventuel classement dans la catégorie 1A (correspondant au groupe d’emballage I dans le Règlement type sur le transport des marchandises dangereuses).</w:t>
      </w:r>
    </w:p>
    <w:p w:rsidR="00446FE5" w:rsidRDefault="00601651" w:rsidP="00601651">
      <w:pPr>
        <w:pStyle w:val="SingleTxtG"/>
      </w:pPr>
      <w:r w:rsidRPr="00601651">
        <w:t>5.</w:t>
      </w:r>
      <w:r w:rsidRPr="00601651">
        <w:tab/>
        <w:t>La catégorisation dont il est question est fondée sur les critères de classification énoncés au tableau 3.2.1 de la septième édition révisée du SGH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8"/>
        <w:gridCol w:w="5523"/>
      </w:tblGrid>
      <w:tr w:rsidR="00601651" w:rsidRPr="00DA01F8" w:rsidTr="00195649">
        <w:trPr>
          <w:tblHeader/>
        </w:trPr>
        <w:tc>
          <w:tcPr>
            <w:tcW w:w="1848" w:type="dxa"/>
            <w:shd w:val="clear" w:color="auto" w:fill="auto"/>
            <w:vAlign w:val="bottom"/>
          </w:tcPr>
          <w:p w:rsidR="00601651" w:rsidRPr="00DA01F8" w:rsidRDefault="00601651" w:rsidP="00195649">
            <w:pPr>
              <w:spacing w:before="60" w:after="60"/>
              <w:ind w:left="113" w:right="113"/>
            </w:pPr>
            <w:r w:rsidRPr="00DA01F8">
              <w:br w:type="page"/>
            </w:r>
            <w:r w:rsidRPr="00DA01F8">
              <w:br w:type="page"/>
            </w:r>
          </w:p>
        </w:tc>
        <w:tc>
          <w:tcPr>
            <w:tcW w:w="5523" w:type="dxa"/>
            <w:shd w:val="clear" w:color="auto" w:fill="auto"/>
            <w:vAlign w:val="bottom"/>
          </w:tcPr>
          <w:p w:rsidR="00601651" w:rsidRPr="00DA01F8" w:rsidRDefault="00601651" w:rsidP="00195649">
            <w:pPr>
              <w:spacing w:before="60" w:after="60"/>
              <w:ind w:left="113" w:right="113"/>
              <w:jc w:val="center"/>
              <w:rPr>
                <w:b/>
              </w:rPr>
            </w:pPr>
            <w:r w:rsidRPr="00DA01F8">
              <w:rPr>
                <w:b/>
              </w:rPr>
              <w:t>Critères</w:t>
            </w:r>
          </w:p>
        </w:tc>
      </w:tr>
      <w:tr w:rsidR="00601651" w:rsidRPr="00DA01F8" w:rsidTr="00195649">
        <w:tc>
          <w:tcPr>
            <w:tcW w:w="1848" w:type="dxa"/>
            <w:shd w:val="clear" w:color="auto" w:fill="auto"/>
          </w:tcPr>
          <w:p w:rsidR="00601651" w:rsidRPr="00DA01F8" w:rsidRDefault="00601651" w:rsidP="00195649">
            <w:pPr>
              <w:spacing w:before="60" w:after="60"/>
              <w:ind w:left="113" w:right="113"/>
              <w:rPr>
                <w:b/>
              </w:rPr>
            </w:pPr>
            <w:r w:rsidRPr="00DA01F8">
              <w:rPr>
                <w:b/>
              </w:rPr>
              <w:t>Catégorie 1</w:t>
            </w:r>
          </w:p>
        </w:tc>
        <w:tc>
          <w:tcPr>
            <w:tcW w:w="5523" w:type="dxa"/>
            <w:shd w:val="clear" w:color="auto" w:fill="auto"/>
          </w:tcPr>
          <w:p w:rsidR="00601651" w:rsidRPr="00DA01F8" w:rsidRDefault="00601651" w:rsidP="00AE29CE">
            <w:pPr>
              <w:spacing w:before="60" w:after="60"/>
              <w:ind w:left="113" w:right="113"/>
            </w:pPr>
            <w:r w:rsidRPr="00DA01F8">
              <w:t>Destruction des tissus de la peau, c’est-à-dire nécrose allant de l’épiderme au derme, visible sur au moins un animal à la suite d’une exposition inférieure ou égale à 4 h</w:t>
            </w:r>
          </w:p>
        </w:tc>
      </w:tr>
      <w:tr w:rsidR="00601651" w:rsidRPr="00DA01F8" w:rsidTr="00195649">
        <w:tc>
          <w:tcPr>
            <w:tcW w:w="1848" w:type="dxa"/>
            <w:shd w:val="clear" w:color="auto" w:fill="auto"/>
          </w:tcPr>
          <w:p w:rsidR="00601651" w:rsidRPr="00DA01F8" w:rsidRDefault="00601651" w:rsidP="00195649">
            <w:pPr>
              <w:spacing w:before="60" w:after="60"/>
              <w:ind w:left="113" w:right="113"/>
              <w:rPr>
                <w:b/>
              </w:rPr>
            </w:pPr>
            <w:r w:rsidRPr="00DA01F8">
              <w:rPr>
                <w:b/>
              </w:rPr>
              <w:t>Sous-catégorie 1A</w:t>
            </w:r>
          </w:p>
        </w:tc>
        <w:tc>
          <w:tcPr>
            <w:tcW w:w="5523" w:type="dxa"/>
            <w:shd w:val="clear" w:color="auto" w:fill="auto"/>
          </w:tcPr>
          <w:p w:rsidR="00601651" w:rsidRPr="00DA01F8" w:rsidRDefault="00601651" w:rsidP="00195649">
            <w:pPr>
              <w:spacing w:before="60" w:after="60"/>
              <w:ind w:left="113" w:right="113"/>
            </w:pPr>
            <w:r w:rsidRPr="00DA01F8">
              <w:t>Réactions de corrosion sur au moins un animal à la suite d’une exposition inférieure ou égale à 3 min pendant une période d’observation inférieure ou égale à 1 h</w:t>
            </w:r>
          </w:p>
        </w:tc>
      </w:tr>
      <w:tr w:rsidR="00601651" w:rsidRPr="00DA01F8" w:rsidTr="00195649">
        <w:tc>
          <w:tcPr>
            <w:tcW w:w="1848" w:type="dxa"/>
            <w:shd w:val="clear" w:color="auto" w:fill="auto"/>
          </w:tcPr>
          <w:p w:rsidR="00601651" w:rsidRPr="00DA01F8" w:rsidRDefault="00601651" w:rsidP="00195649">
            <w:pPr>
              <w:spacing w:before="60" w:after="60"/>
              <w:ind w:left="113" w:right="113"/>
              <w:rPr>
                <w:b/>
              </w:rPr>
            </w:pPr>
            <w:r w:rsidRPr="00DA01F8">
              <w:rPr>
                <w:b/>
              </w:rPr>
              <w:t>Sous-catégorie 1B</w:t>
            </w:r>
          </w:p>
        </w:tc>
        <w:tc>
          <w:tcPr>
            <w:tcW w:w="5523" w:type="dxa"/>
            <w:shd w:val="clear" w:color="auto" w:fill="auto"/>
          </w:tcPr>
          <w:p w:rsidR="00601651" w:rsidRPr="00DA01F8" w:rsidRDefault="00601651" w:rsidP="00AE29CE">
            <w:pPr>
              <w:spacing w:before="60" w:after="60"/>
              <w:ind w:left="113" w:right="113"/>
            </w:pPr>
            <w:r w:rsidRPr="00DA01F8">
              <w:t>Réactions de corrosion sur au moins un animal à la suite d’une exposition supérieure à 3 min et inférieure ou égale à 1 h et une période d’observation inférieure ou égale à 14 jours</w:t>
            </w:r>
          </w:p>
        </w:tc>
      </w:tr>
      <w:tr w:rsidR="00601651" w:rsidRPr="00DA01F8" w:rsidTr="00195649">
        <w:tc>
          <w:tcPr>
            <w:tcW w:w="1848" w:type="dxa"/>
            <w:shd w:val="clear" w:color="auto" w:fill="auto"/>
          </w:tcPr>
          <w:p w:rsidR="00601651" w:rsidRPr="00DA01F8" w:rsidRDefault="00601651" w:rsidP="00195649">
            <w:pPr>
              <w:spacing w:before="60" w:after="60"/>
              <w:ind w:left="113" w:right="113"/>
              <w:rPr>
                <w:b/>
              </w:rPr>
            </w:pPr>
            <w:r w:rsidRPr="00DA01F8">
              <w:rPr>
                <w:b/>
              </w:rPr>
              <w:t>Sous-catégorie 1C</w:t>
            </w:r>
          </w:p>
        </w:tc>
        <w:tc>
          <w:tcPr>
            <w:tcW w:w="5523" w:type="dxa"/>
            <w:shd w:val="clear" w:color="auto" w:fill="auto"/>
          </w:tcPr>
          <w:p w:rsidR="00601651" w:rsidRPr="00DA01F8" w:rsidRDefault="00601651" w:rsidP="00AE29CE">
            <w:pPr>
              <w:spacing w:before="60" w:after="60"/>
              <w:ind w:left="113" w:right="113"/>
            </w:pPr>
            <w:r w:rsidRPr="00DA01F8">
              <w:t>Réactions de corrosion sur au moins un animal à la suite d’une exposition supérieure à 1 h et inférieure ou égale à 4 h et une période d’observation inférieure ou égale à 14 jours</w:t>
            </w:r>
          </w:p>
        </w:tc>
      </w:tr>
    </w:tbl>
    <w:p w:rsidR="00601651" w:rsidRPr="00601651" w:rsidRDefault="00601651" w:rsidP="00195649">
      <w:pPr>
        <w:pStyle w:val="SingleTxtG"/>
        <w:spacing w:before="240"/>
      </w:pPr>
      <w:r w:rsidRPr="00601651">
        <w:t>6.</w:t>
      </w:r>
      <w:r w:rsidRPr="00601651">
        <w:tab/>
        <w:t>L’affectation des matières concernées aux groupes d’emballage correspondants est décrite au tableau 2.8.3.4 de la vingtième éd</w:t>
      </w:r>
      <w:r w:rsidR="00DA751D">
        <w:t xml:space="preserve">ition révisée du Règlement type </w:t>
      </w:r>
      <w:r w:rsidRPr="00601651">
        <w:t>de l’ONU pour la classe 8 (matières corrosives) :</w:t>
      </w:r>
    </w:p>
    <w:tbl>
      <w:tblPr>
        <w:tblStyle w:val="Grilledutableau1"/>
        <w:tblW w:w="7371" w:type="dxa"/>
        <w:tblInd w:w="1134" w:type="dxa"/>
        <w:tblLayout w:type="fixed"/>
        <w:tblLook w:val="04A0" w:firstRow="1" w:lastRow="0" w:firstColumn="1" w:lastColumn="0" w:noHBand="0" w:noVBand="1"/>
      </w:tblPr>
      <w:tblGrid>
        <w:gridCol w:w="1281"/>
        <w:gridCol w:w="1418"/>
        <w:gridCol w:w="1417"/>
        <w:gridCol w:w="3255"/>
      </w:tblGrid>
      <w:tr w:rsidR="00601651" w:rsidRPr="00DA01F8" w:rsidTr="00195649">
        <w:trPr>
          <w:tblHeader/>
        </w:trPr>
        <w:tc>
          <w:tcPr>
            <w:tcW w:w="1281" w:type="dxa"/>
            <w:shd w:val="clear" w:color="auto" w:fill="auto"/>
            <w:vAlign w:val="center"/>
          </w:tcPr>
          <w:p w:rsidR="00601651" w:rsidRPr="00195649" w:rsidRDefault="00601651" w:rsidP="00195649">
            <w:pPr>
              <w:spacing w:before="60" w:after="60"/>
              <w:ind w:left="113" w:right="113"/>
              <w:jc w:val="center"/>
              <w:rPr>
                <w:b/>
                <w:lang w:val="fr-CH"/>
              </w:rPr>
            </w:pPr>
            <w:r w:rsidRPr="00195649">
              <w:rPr>
                <w:b/>
                <w:lang w:val="fr-CH"/>
              </w:rPr>
              <w:t>Groupe d’emballage</w:t>
            </w:r>
          </w:p>
        </w:tc>
        <w:tc>
          <w:tcPr>
            <w:tcW w:w="1418" w:type="dxa"/>
            <w:shd w:val="clear" w:color="auto" w:fill="auto"/>
            <w:vAlign w:val="center"/>
          </w:tcPr>
          <w:p w:rsidR="00601651" w:rsidRPr="00195649" w:rsidRDefault="00601651" w:rsidP="00195649">
            <w:pPr>
              <w:spacing w:before="60" w:after="60"/>
              <w:ind w:left="113" w:right="113"/>
              <w:jc w:val="center"/>
              <w:rPr>
                <w:b/>
                <w:lang w:val="fr-CH"/>
              </w:rPr>
            </w:pPr>
            <w:r w:rsidRPr="00195649">
              <w:rPr>
                <w:b/>
                <w:lang w:val="fr-CH"/>
              </w:rPr>
              <w:t xml:space="preserve">Durée </w:t>
            </w:r>
            <w:r w:rsidRPr="00195649">
              <w:rPr>
                <w:b/>
                <w:lang w:val="fr-CH"/>
              </w:rPr>
              <w:br/>
              <w:t>d’exposition</w:t>
            </w:r>
          </w:p>
        </w:tc>
        <w:tc>
          <w:tcPr>
            <w:tcW w:w="1417" w:type="dxa"/>
            <w:shd w:val="clear" w:color="auto" w:fill="auto"/>
            <w:vAlign w:val="center"/>
          </w:tcPr>
          <w:p w:rsidR="00601651" w:rsidRPr="00195649" w:rsidRDefault="00601651" w:rsidP="00195649">
            <w:pPr>
              <w:spacing w:before="60" w:after="60"/>
              <w:ind w:left="113" w:right="113"/>
              <w:jc w:val="center"/>
              <w:rPr>
                <w:b/>
                <w:lang w:val="fr-CH"/>
              </w:rPr>
            </w:pPr>
            <w:r w:rsidRPr="00195649">
              <w:rPr>
                <w:b/>
                <w:lang w:val="fr-CH"/>
              </w:rPr>
              <w:t>Période d’observation</w:t>
            </w:r>
          </w:p>
        </w:tc>
        <w:tc>
          <w:tcPr>
            <w:tcW w:w="3255" w:type="dxa"/>
            <w:shd w:val="clear" w:color="auto" w:fill="auto"/>
            <w:vAlign w:val="center"/>
          </w:tcPr>
          <w:p w:rsidR="00601651" w:rsidRPr="00195649" w:rsidRDefault="00601651" w:rsidP="00195649">
            <w:pPr>
              <w:spacing w:before="60" w:after="60"/>
              <w:ind w:left="113" w:right="113"/>
              <w:jc w:val="center"/>
              <w:rPr>
                <w:b/>
                <w:lang w:val="fr-CH"/>
              </w:rPr>
            </w:pPr>
            <w:r w:rsidRPr="00195649">
              <w:rPr>
                <w:b/>
                <w:lang w:val="fr-CH"/>
              </w:rPr>
              <w:t>Effet</w:t>
            </w:r>
          </w:p>
        </w:tc>
      </w:tr>
      <w:tr w:rsidR="00601651" w:rsidRPr="00DA01F8" w:rsidTr="00195649">
        <w:tc>
          <w:tcPr>
            <w:tcW w:w="1281" w:type="dxa"/>
            <w:shd w:val="clear" w:color="auto" w:fill="auto"/>
            <w:vAlign w:val="center"/>
          </w:tcPr>
          <w:p w:rsidR="00601651" w:rsidRPr="00DA01F8" w:rsidRDefault="00601651" w:rsidP="00195649">
            <w:pPr>
              <w:spacing w:before="60" w:after="60"/>
              <w:ind w:left="113" w:right="113"/>
              <w:jc w:val="center"/>
            </w:pPr>
            <w:r w:rsidRPr="00DA01F8">
              <w:t>I</w:t>
            </w:r>
          </w:p>
        </w:tc>
        <w:tc>
          <w:tcPr>
            <w:tcW w:w="1418" w:type="dxa"/>
            <w:shd w:val="clear" w:color="auto" w:fill="auto"/>
            <w:vAlign w:val="center"/>
          </w:tcPr>
          <w:p w:rsidR="00601651" w:rsidRPr="00DA01F8" w:rsidRDefault="00601651" w:rsidP="00512284">
            <w:pPr>
              <w:spacing w:before="60" w:after="60"/>
              <w:ind w:left="113" w:right="113"/>
              <w:jc w:val="center"/>
            </w:pPr>
            <w:r w:rsidRPr="00DA01F8">
              <w:t>≤3 min</w:t>
            </w:r>
          </w:p>
        </w:tc>
        <w:tc>
          <w:tcPr>
            <w:tcW w:w="1417" w:type="dxa"/>
            <w:shd w:val="clear" w:color="auto" w:fill="auto"/>
            <w:vAlign w:val="center"/>
          </w:tcPr>
          <w:p w:rsidR="00601651" w:rsidRPr="00DA01F8" w:rsidRDefault="00601651" w:rsidP="00512284">
            <w:pPr>
              <w:spacing w:before="60" w:after="60"/>
              <w:ind w:left="113" w:right="113"/>
              <w:jc w:val="center"/>
            </w:pPr>
            <w:r w:rsidRPr="00DA01F8">
              <w:t>≤60 min</w:t>
            </w:r>
          </w:p>
        </w:tc>
        <w:tc>
          <w:tcPr>
            <w:tcW w:w="3255" w:type="dxa"/>
            <w:shd w:val="clear" w:color="auto" w:fill="auto"/>
          </w:tcPr>
          <w:p w:rsidR="00601651" w:rsidRPr="00323FD7" w:rsidRDefault="00601651" w:rsidP="00195649">
            <w:pPr>
              <w:spacing w:before="60" w:after="60"/>
              <w:ind w:left="113" w:right="113"/>
              <w:rPr>
                <w:spacing w:val="-6"/>
                <w:lang w:val="fr-CH"/>
              </w:rPr>
            </w:pPr>
            <w:r w:rsidRPr="00323FD7">
              <w:rPr>
                <w:spacing w:val="-6"/>
                <w:lang w:val="fr-CH"/>
              </w:rPr>
              <w:t>Lésion irréversible du tissu cutané intact</w:t>
            </w:r>
          </w:p>
        </w:tc>
      </w:tr>
      <w:tr w:rsidR="00601651" w:rsidRPr="00DA01F8" w:rsidTr="00195649">
        <w:tc>
          <w:tcPr>
            <w:tcW w:w="1281" w:type="dxa"/>
            <w:shd w:val="clear" w:color="auto" w:fill="auto"/>
            <w:vAlign w:val="center"/>
          </w:tcPr>
          <w:p w:rsidR="00601651" w:rsidRPr="00DA01F8" w:rsidRDefault="00601651" w:rsidP="00195649">
            <w:pPr>
              <w:spacing w:before="60" w:after="60"/>
              <w:ind w:left="113" w:right="113"/>
              <w:jc w:val="center"/>
            </w:pPr>
            <w:r w:rsidRPr="00DA01F8">
              <w:t>II</w:t>
            </w:r>
          </w:p>
        </w:tc>
        <w:tc>
          <w:tcPr>
            <w:tcW w:w="1418" w:type="dxa"/>
            <w:shd w:val="clear" w:color="auto" w:fill="auto"/>
            <w:vAlign w:val="center"/>
          </w:tcPr>
          <w:p w:rsidR="00601651" w:rsidRPr="00DA01F8" w:rsidRDefault="00601651" w:rsidP="00195649">
            <w:pPr>
              <w:spacing w:before="60" w:after="60"/>
              <w:ind w:left="113" w:right="113"/>
              <w:jc w:val="center"/>
            </w:pPr>
            <w:r w:rsidRPr="00DA01F8">
              <w:t>&gt; 3 min ≤ 1 h</w:t>
            </w:r>
          </w:p>
        </w:tc>
        <w:tc>
          <w:tcPr>
            <w:tcW w:w="1417" w:type="dxa"/>
            <w:shd w:val="clear" w:color="auto" w:fill="auto"/>
            <w:vAlign w:val="center"/>
          </w:tcPr>
          <w:p w:rsidR="00601651" w:rsidRPr="00DA01F8" w:rsidRDefault="00601651" w:rsidP="00512284">
            <w:pPr>
              <w:spacing w:before="60" w:after="60"/>
              <w:ind w:left="113" w:right="113"/>
              <w:jc w:val="center"/>
            </w:pPr>
            <w:r w:rsidRPr="00DA01F8">
              <w:t>≤14 j</w:t>
            </w:r>
          </w:p>
        </w:tc>
        <w:tc>
          <w:tcPr>
            <w:tcW w:w="3255" w:type="dxa"/>
            <w:shd w:val="clear" w:color="auto" w:fill="auto"/>
          </w:tcPr>
          <w:p w:rsidR="00601651" w:rsidRPr="00323FD7" w:rsidRDefault="00601651" w:rsidP="00195649">
            <w:pPr>
              <w:spacing w:before="60" w:after="60"/>
              <w:ind w:left="113" w:right="113"/>
              <w:rPr>
                <w:spacing w:val="-6"/>
                <w:lang w:val="fr-CH"/>
              </w:rPr>
            </w:pPr>
            <w:r w:rsidRPr="00323FD7">
              <w:rPr>
                <w:spacing w:val="-6"/>
                <w:lang w:val="fr-CH"/>
              </w:rPr>
              <w:t>Lésion irréversible du tissu cutané intact</w:t>
            </w:r>
          </w:p>
        </w:tc>
      </w:tr>
      <w:tr w:rsidR="00601651" w:rsidRPr="00DA01F8" w:rsidTr="00195649">
        <w:tc>
          <w:tcPr>
            <w:tcW w:w="1281" w:type="dxa"/>
            <w:shd w:val="clear" w:color="auto" w:fill="auto"/>
            <w:vAlign w:val="center"/>
          </w:tcPr>
          <w:p w:rsidR="00601651" w:rsidRPr="00DA01F8" w:rsidRDefault="00601651" w:rsidP="00195649">
            <w:pPr>
              <w:spacing w:before="60" w:after="60"/>
              <w:ind w:left="113" w:right="113"/>
              <w:jc w:val="center"/>
            </w:pPr>
            <w:r w:rsidRPr="00DA01F8">
              <w:t>III</w:t>
            </w:r>
          </w:p>
        </w:tc>
        <w:tc>
          <w:tcPr>
            <w:tcW w:w="1418" w:type="dxa"/>
            <w:shd w:val="clear" w:color="auto" w:fill="auto"/>
            <w:vAlign w:val="center"/>
          </w:tcPr>
          <w:p w:rsidR="00601651" w:rsidRPr="00DA01F8" w:rsidRDefault="00601651" w:rsidP="00195649">
            <w:pPr>
              <w:spacing w:before="60" w:after="60"/>
              <w:ind w:left="113" w:right="113"/>
              <w:jc w:val="center"/>
            </w:pPr>
            <w:r w:rsidRPr="00DA01F8">
              <w:t>&gt; 1 h ≤ 4 h</w:t>
            </w:r>
          </w:p>
        </w:tc>
        <w:tc>
          <w:tcPr>
            <w:tcW w:w="1417" w:type="dxa"/>
            <w:shd w:val="clear" w:color="auto" w:fill="auto"/>
            <w:vAlign w:val="center"/>
          </w:tcPr>
          <w:p w:rsidR="00601651" w:rsidRPr="00DA01F8" w:rsidRDefault="00601651" w:rsidP="00195649">
            <w:pPr>
              <w:spacing w:before="60" w:after="60"/>
              <w:ind w:left="113" w:right="113"/>
              <w:jc w:val="center"/>
            </w:pPr>
            <w:r w:rsidRPr="00DA01F8">
              <w:t>≤14 j</w:t>
            </w:r>
          </w:p>
        </w:tc>
        <w:tc>
          <w:tcPr>
            <w:tcW w:w="3255" w:type="dxa"/>
            <w:shd w:val="clear" w:color="auto" w:fill="auto"/>
          </w:tcPr>
          <w:p w:rsidR="00601651" w:rsidRPr="00323FD7" w:rsidRDefault="00601651" w:rsidP="00195649">
            <w:pPr>
              <w:spacing w:before="60" w:after="60"/>
              <w:ind w:left="113" w:right="113"/>
              <w:rPr>
                <w:spacing w:val="-6"/>
                <w:lang w:val="fr-CH"/>
              </w:rPr>
            </w:pPr>
            <w:r w:rsidRPr="00323FD7">
              <w:rPr>
                <w:spacing w:val="-6"/>
                <w:lang w:val="fr-CH"/>
              </w:rPr>
              <w:t>Lésion irréversible du tissu cutané intact</w:t>
            </w:r>
          </w:p>
        </w:tc>
      </w:tr>
      <w:tr w:rsidR="00601651" w:rsidRPr="00DA01F8" w:rsidTr="00195649">
        <w:tc>
          <w:tcPr>
            <w:tcW w:w="1281" w:type="dxa"/>
            <w:shd w:val="clear" w:color="auto" w:fill="auto"/>
            <w:vAlign w:val="center"/>
          </w:tcPr>
          <w:p w:rsidR="00601651" w:rsidRPr="00DA01F8" w:rsidRDefault="00601651" w:rsidP="00195649">
            <w:pPr>
              <w:spacing w:before="60" w:after="60"/>
              <w:ind w:left="113" w:right="113"/>
              <w:jc w:val="center"/>
            </w:pPr>
            <w:r w:rsidRPr="00DA01F8">
              <w:t>III</w:t>
            </w:r>
          </w:p>
        </w:tc>
        <w:tc>
          <w:tcPr>
            <w:tcW w:w="1418" w:type="dxa"/>
            <w:shd w:val="clear" w:color="auto" w:fill="auto"/>
            <w:vAlign w:val="center"/>
          </w:tcPr>
          <w:p w:rsidR="00601651" w:rsidRPr="00DA01F8" w:rsidRDefault="00601651" w:rsidP="00195649">
            <w:pPr>
              <w:spacing w:before="60" w:after="60"/>
              <w:ind w:left="113" w:right="113"/>
              <w:jc w:val="center"/>
            </w:pPr>
            <w:r w:rsidRPr="00DA01F8">
              <w:t>-</w:t>
            </w:r>
          </w:p>
        </w:tc>
        <w:tc>
          <w:tcPr>
            <w:tcW w:w="1417" w:type="dxa"/>
            <w:shd w:val="clear" w:color="auto" w:fill="auto"/>
            <w:vAlign w:val="center"/>
          </w:tcPr>
          <w:p w:rsidR="00601651" w:rsidRPr="00DA01F8" w:rsidRDefault="00601651" w:rsidP="00195649">
            <w:pPr>
              <w:spacing w:before="60" w:after="60"/>
              <w:ind w:left="113" w:right="113"/>
              <w:jc w:val="center"/>
            </w:pPr>
            <w:r w:rsidRPr="00DA01F8">
              <w:t>-</w:t>
            </w:r>
          </w:p>
        </w:tc>
        <w:tc>
          <w:tcPr>
            <w:tcW w:w="3255" w:type="dxa"/>
            <w:shd w:val="clear" w:color="auto" w:fill="auto"/>
          </w:tcPr>
          <w:p w:rsidR="00601651" w:rsidRPr="00601651" w:rsidRDefault="00601651" w:rsidP="00512284">
            <w:pPr>
              <w:spacing w:before="60" w:after="60"/>
              <w:ind w:left="113" w:right="113"/>
              <w:rPr>
                <w:lang w:val="fr-CH"/>
              </w:rPr>
            </w:pPr>
            <w:r w:rsidRPr="00601651">
              <w:rPr>
                <w:lang w:val="fr-CH"/>
              </w:rPr>
              <w:t>Vitesse de corrosion sur des surfaces soit en acier soit en aluminium dépassant 6,25 mm par an à la température d’épreuve de 55</w:t>
            </w:r>
            <w:r w:rsidR="00512284">
              <w:rPr>
                <w:lang w:val="fr-CH"/>
              </w:rPr>
              <w:t> °</w:t>
            </w:r>
            <w:r w:rsidRPr="00601651">
              <w:rPr>
                <w:lang w:val="fr-CH"/>
              </w:rPr>
              <w:t>C, lorsque les épreuves sont réalisées sur ces deux matériaux</w:t>
            </w:r>
          </w:p>
        </w:tc>
      </w:tr>
    </w:tbl>
    <w:p w:rsidR="00601651" w:rsidRPr="00601651" w:rsidRDefault="00601651" w:rsidP="00323FD7">
      <w:pPr>
        <w:pStyle w:val="SingleTxtG"/>
        <w:spacing w:before="240"/>
      </w:pPr>
      <w:r w:rsidRPr="00601651">
        <w:t>7.</w:t>
      </w:r>
      <w:r w:rsidRPr="00601651">
        <w:tab/>
        <w:t>Selon le SGH, les matières corrosives devraient être affectées à la catégorie 1 lorsque l’autorité compétente n’exige pas de sous-catégorisation ou que les données sont insuffisantes. En général, les autorités compétentes n’utilisent pas de sous-catégories censées tenir compte de l’utilisation et de l’offre, étant donné que les contacts avec la peau doivent être évités pour toutes les matières classées comme étant corrosives (catégorie 1). L’utilisation de sous-catégories dans le cadre du SGH s’explique plutôt par la nécessité d’affecter les marchandises transportées à différents groupes d’emballage pour assurer la sécurité du transport. En ce qui concerne la corrosion cutanée, les groupes d’emballage I, II et III correspondent respectivement aux sous-catégories 1A, 1B et 1C du SGH.</w:t>
      </w:r>
    </w:p>
    <w:p w:rsidR="00601651" w:rsidRPr="00601651" w:rsidRDefault="00601651" w:rsidP="00601651">
      <w:pPr>
        <w:pStyle w:val="SingleTxtG"/>
      </w:pPr>
      <w:r w:rsidRPr="00601651">
        <w:t>8.</w:t>
      </w:r>
      <w:r w:rsidRPr="00601651">
        <w:tab/>
        <w:t>On trouve ce qui suit (traduction non officielle) à la fin de la page 28 du document d’orientation 203 de l’OCDE intitulé « </w:t>
      </w:r>
      <w:r w:rsidRPr="00601651">
        <w:rPr>
          <w:i/>
        </w:rPr>
        <w:t>New Guidance Document on an Integrated Approach on Testing and Assessment (IATA) for skin corrosion and irritation</w:t>
      </w:r>
      <w:r w:rsidRPr="00601651">
        <w:t> » (Nouveau document d’orientation pour une approche intégrée en matière d’expérimentation et d’évaluation concernant la corrosion et l’irritation cutanées) :</w:t>
      </w:r>
    </w:p>
    <w:p w:rsidR="00601651" w:rsidRPr="00601651" w:rsidRDefault="00323FD7" w:rsidP="00323FD7">
      <w:pPr>
        <w:pStyle w:val="SingleTxtG"/>
        <w:ind w:left="1701"/>
        <w:rPr>
          <w:i/>
          <w:iCs/>
        </w:rPr>
      </w:pPr>
      <w:r>
        <w:rPr>
          <w:iCs/>
        </w:rPr>
        <w:tab/>
      </w:r>
      <w:r w:rsidR="00601651" w:rsidRPr="00601651">
        <w:rPr>
          <w:iCs/>
        </w:rPr>
        <w:t>« </w:t>
      </w:r>
      <w:r w:rsidR="00601651" w:rsidRPr="00601651">
        <w:rPr>
          <w:i/>
          <w:iCs/>
        </w:rPr>
        <w:t xml:space="preserve">La Ligne directrice 431 de l’OCDE permet de créer pour les agents chimiques corrosifs des sous-catégories 1A ou 1B-1C mais pas d’opérer entre eux une distinction permettant de les classer soit dans 1B soit 1C. Il convient cependant de </w:t>
      </w:r>
      <w:r w:rsidR="00601651" w:rsidRPr="00601651">
        <w:rPr>
          <w:i/>
          <w:iCs/>
        </w:rPr>
        <w:lastRenderedPageBreak/>
        <w:t>noter que le protocole et le modèle prédictif de la méthode d’épreuve EpiSkin</w:t>
      </w:r>
      <w:r w:rsidR="00601651" w:rsidRPr="00601651">
        <w:rPr>
          <w:i/>
          <w:iCs/>
          <w:vertAlign w:val="superscript"/>
        </w:rPr>
        <w:t>TM</w:t>
      </w:r>
      <w:r w:rsidR="00601651" w:rsidRPr="00601651">
        <w:rPr>
          <w:i/>
          <w:iCs/>
        </w:rPr>
        <w:t xml:space="preserve"> admettent le classement des agents chimiques dans les trois catégories (1A, 1B et 1C), mais la possibilité de distinguer précisément les catégories 1B et 1C à cet effet n’a jamais fait l’objet d’une évaluation ou d’une validation officielle faute de données </w:t>
      </w:r>
      <w:r w:rsidR="00601651" w:rsidRPr="00601651">
        <w:rPr>
          <w:iCs/>
        </w:rPr>
        <w:t>in vivo</w:t>
      </w:r>
      <w:r w:rsidR="00601651" w:rsidRPr="00601651">
        <w:rPr>
          <w:i/>
          <w:iCs/>
        </w:rPr>
        <w:t xml:space="preserve"> de référence qui soient de qualité suffisante pour être comparées aux résultats obtenus </w:t>
      </w:r>
      <w:r w:rsidR="00601651" w:rsidRPr="00601651">
        <w:rPr>
          <w:iCs/>
        </w:rPr>
        <w:t>in vitro</w:t>
      </w:r>
      <w:r w:rsidR="00601651" w:rsidRPr="00601651">
        <w:rPr>
          <w:i/>
          <w:iCs/>
        </w:rPr>
        <w:t xml:space="preserve"> (Fentem </w:t>
      </w:r>
      <w:r w:rsidR="00601651" w:rsidRPr="00601651">
        <w:rPr>
          <w:iCs/>
        </w:rPr>
        <w:t>et al.</w:t>
      </w:r>
      <w:r w:rsidR="00601651" w:rsidRPr="00601651">
        <w:rPr>
          <w:i/>
          <w:iCs/>
        </w:rPr>
        <w:t xml:space="preserve">, 1998, Alépée </w:t>
      </w:r>
      <w:r w:rsidR="00601651" w:rsidRPr="00601651">
        <w:rPr>
          <w:iCs/>
        </w:rPr>
        <w:t>et al</w:t>
      </w:r>
      <w:r w:rsidR="00601651" w:rsidRPr="00601651">
        <w:rPr>
          <w:i/>
          <w:iCs/>
        </w:rPr>
        <w:t xml:space="preserve">., 2014a). Cette distinction peut néanmoins être envisagée dans certains cas, préalablement à toute épreuve </w:t>
      </w:r>
      <w:r w:rsidR="00601651" w:rsidRPr="00601651">
        <w:rPr>
          <w:iCs/>
        </w:rPr>
        <w:t>in vivo</w:t>
      </w:r>
      <w:r w:rsidR="00601651" w:rsidRPr="00601651">
        <w:rPr>
          <w:i/>
          <w:iCs/>
        </w:rPr>
        <w:t>, à la condition de considérer le résultat 1B ou 1C selon une méthode d’évaluation de la force probante des données (voir les modules 5a ci-dessous). Si ce n’est pas possible, on pourra prudemment opter pour un classement par défaut dans la catégorie 1B pour autant que les résultats obtenus conformément à la Ligne directrice 431 de l’OCDE suggèrent un classement 1B/1C.</w:t>
      </w:r>
      <w:r w:rsidR="00601651" w:rsidRPr="00601651">
        <w:rPr>
          <w:iCs/>
        </w:rPr>
        <w:t> ».</w:t>
      </w:r>
    </w:p>
    <w:p w:rsidR="00601651" w:rsidRPr="00601651" w:rsidRDefault="00601651" w:rsidP="00601651">
      <w:pPr>
        <w:pStyle w:val="SingleTxtG"/>
      </w:pPr>
      <w:r w:rsidRPr="00601651">
        <w:t>9.</w:t>
      </w:r>
      <w:r w:rsidRPr="00601651">
        <w:tab/>
        <w:t xml:space="preserve">Le fait qu’une matière soit affectée au groupe d’emballage I, ou au contraire au groupe II ou III, a une incidence majeure sur la sécurité du transport. En revanche, la différence entre une affectation de la matière dans le groupe d’emballage II ou III a d’ordinaire une importance moindre. C’est pourquoi il est suggéré de prévoir, au titre de la version révisée de la Ligne directrice 431, la possibilité d’affecter une matière transportée au groupe d’emballage I et, lorsqu’il n’est pas possible de choisir entre les groupes d’emballage II et III sur la base de la Ligne directrice 431, la possibilité d’affecter la matière concernée au groupe d’emballage II plutôt que de prescrire des essais </w:t>
      </w:r>
      <w:r w:rsidRPr="00601651">
        <w:rPr>
          <w:i/>
        </w:rPr>
        <w:t>in vivo</w:t>
      </w:r>
      <w:r w:rsidRPr="00601651">
        <w:t xml:space="preserve"> supplémentaires. On pourrait aussi éventuellement appliquer les résultats de la méthode EpiSkin</w:t>
      </w:r>
      <w:r w:rsidRPr="00601651">
        <w:rPr>
          <w:vertAlign w:val="superscript"/>
        </w:rPr>
        <w:t>TM</w:t>
      </w:r>
      <w:r w:rsidRPr="00601651">
        <w:t xml:space="preserve"> pour distinguer entre les groupes d’emballage II et III, comme mentionné plus haut.</w:t>
      </w:r>
    </w:p>
    <w:p w:rsidR="00601651" w:rsidRPr="00601651" w:rsidRDefault="00601651" w:rsidP="00323FD7">
      <w:pPr>
        <w:pStyle w:val="HChG"/>
      </w:pPr>
      <w:r w:rsidRPr="00601651">
        <w:tab/>
      </w:r>
      <w:r w:rsidRPr="00601651">
        <w:tab/>
        <w:t>Proposition</w:t>
      </w:r>
    </w:p>
    <w:p w:rsidR="00601651" w:rsidRPr="00601651" w:rsidRDefault="00601651" w:rsidP="00601651">
      <w:pPr>
        <w:pStyle w:val="SingleTxtG"/>
      </w:pPr>
      <w:r w:rsidRPr="00601651">
        <w:t>10.</w:t>
      </w:r>
      <w:r w:rsidRPr="00601651">
        <w:tab/>
        <w:t>Il est sug</w:t>
      </w:r>
      <w:r w:rsidR="00011A2B">
        <w:t>géré de modifier le paragraphe </w:t>
      </w:r>
      <w:r w:rsidRPr="00601651">
        <w:t xml:space="preserve">2.8.3.2 du Règlement type et les notes de bas de </w:t>
      </w:r>
      <w:proofErr w:type="gramStart"/>
      <w:r w:rsidRPr="00601651">
        <w:t>page correspondantes</w:t>
      </w:r>
      <w:proofErr w:type="gramEnd"/>
      <w:r w:rsidRPr="00601651">
        <w:t xml:space="preserve"> comme suit (les parties qu’il est proposé de supprimer sont indiquées en caractères </w:t>
      </w:r>
      <w:r w:rsidRPr="00011A2B">
        <w:rPr>
          <w:strike/>
        </w:rPr>
        <w:t>biffés</w:t>
      </w:r>
      <w:r w:rsidRPr="00601651">
        <w:t xml:space="preserve"> et celles qu’il est proposé d’ajouter sont </w:t>
      </w:r>
      <w:r w:rsidRPr="00011A2B">
        <w:rPr>
          <w:u w:val="single"/>
        </w:rPr>
        <w:t>soulignées</w:t>
      </w:r>
      <w:r w:rsidRPr="00601651">
        <w:t>) :</w:t>
      </w:r>
    </w:p>
    <w:p w:rsidR="00601651" w:rsidRPr="00DA01F8" w:rsidRDefault="00601651" w:rsidP="00323FD7">
      <w:pPr>
        <w:pStyle w:val="SingleTxtG"/>
        <w:ind w:left="1701"/>
        <w:rPr>
          <w:u w:val="single"/>
        </w:rPr>
      </w:pPr>
      <w:r w:rsidRPr="00DA01F8">
        <w:t>« 2.8.3.2</w:t>
      </w:r>
      <w:r w:rsidRPr="00DA01F8">
        <w:tab/>
        <w:t xml:space="preserve">Pour classer une matière dans un groupe d’emballage conformément au 2.8.2.3, il y a lieu de tenir compte de l’expérience acquise sur les êtres humains à l’occasion d’expositions accidentelles. En l’absence d’une telle expérience, le classement doit se faire sur la base des résultats de l’expérimentation conformément </w:t>
      </w:r>
      <w:r w:rsidRPr="00DA01F8">
        <w:rPr>
          <w:strike/>
        </w:rPr>
        <w:t>à la</w:t>
      </w:r>
      <w:r w:rsidRPr="00DA01F8">
        <w:t xml:space="preserve"> </w:t>
      </w:r>
      <w:r w:rsidRPr="00DA01F8">
        <w:rPr>
          <w:u w:val="single"/>
        </w:rPr>
        <w:t>aux</w:t>
      </w:r>
      <w:r w:rsidRPr="00DA01F8">
        <w:t xml:space="preserve"> Ligne</w:t>
      </w:r>
      <w:r w:rsidRPr="00DA01F8">
        <w:rPr>
          <w:u w:val="single"/>
        </w:rPr>
        <w:t>s</w:t>
      </w:r>
      <w:r w:rsidRPr="00DA01F8">
        <w:t xml:space="preserve"> directrice</w:t>
      </w:r>
      <w:r w:rsidRPr="00DA01F8">
        <w:rPr>
          <w:u w:val="single"/>
        </w:rPr>
        <w:t>s</w:t>
      </w:r>
      <w:r w:rsidRPr="00DA01F8">
        <w:t xml:space="preserve"> de l’OCDE</w:t>
      </w:r>
      <w:r w:rsidRPr="00DA01F8">
        <w:rPr>
          <w:strike/>
        </w:rPr>
        <w:t>404</w:t>
      </w:r>
      <w:r w:rsidRPr="00DA01F8">
        <w:rPr>
          <w:sz w:val="18"/>
          <w:szCs w:val="18"/>
          <w:vertAlign w:val="superscript"/>
        </w:rPr>
        <w:t>1</w:t>
      </w:r>
      <w:r w:rsidRPr="00DA01F8">
        <w:rPr>
          <w:sz w:val="18"/>
          <w:szCs w:val="18"/>
          <w:u w:val="single"/>
          <w:vertAlign w:val="superscript"/>
        </w:rPr>
        <w:t>,</w:t>
      </w:r>
      <w:r w:rsidRPr="00DA01F8">
        <w:rPr>
          <w:strike/>
        </w:rPr>
        <w:t>, ou 435</w:t>
      </w:r>
      <w:r w:rsidRPr="00DA01F8">
        <w:rPr>
          <w:sz w:val="18"/>
          <w:szCs w:val="18"/>
          <w:vertAlign w:val="superscript"/>
        </w:rPr>
        <w:t>2</w:t>
      </w:r>
      <w:r w:rsidRPr="00011A2B">
        <w:rPr>
          <w:u w:val="single"/>
          <w:vertAlign w:val="superscript"/>
        </w:rPr>
        <w:t>,</w:t>
      </w:r>
      <w:r w:rsidR="00011A2B">
        <w:rPr>
          <w:sz w:val="18"/>
          <w:szCs w:val="18"/>
          <w:u w:val="single"/>
          <w:vertAlign w:val="superscript"/>
        </w:rPr>
        <w:t> </w:t>
      </w:r>
      <w:r w:rsidRPr="00011A2B">
        <w:rPr>
          <w:sz w:val="18"/>
          <w:szCs w:val="18"/>
          <w:u w:val="single"/>
          <w:vertAlign w:val="superscript"/>
        </w:rPr>
        <w:t>3</w:t>
      </w:r>
      <w:r w:rsidRPr="00011A2B">
        <w:rPr>
          <w:b/>
          <w:sz w:val="18"/>
          <w:szCs w:val="18"/>
          <w:u w:val="single"/>
          <w:vertAlign w:val="superscript"/>
        </w:rPr>
        <w:t>,</w:t>
      </w:r>
      <w:r w:rsidR="00011A2B">
        <w:rPr>
          <w:b/>
          <w:sz w:val="18"/>
          <w:szCs w:val="18"/>
          <w:u w:val="single"/>
          <w:vertAlign w:val="superscript"/>
        </w:rPr>
        <w:t> </w:t>
      </w:r>
      <w:r w:rsidRPr="00011A2B">
        <w:rPr>
          <w:strike/>
          <w:sz w:val="18"/>
          <w:szCs w:val="18"/>
          <w:u w:val="single"/>
          <w:vertAlign w:val="superscript"/>
        </w:rPr>
        <w:t>4</w:t>
      </w:r>
      <w:r w:rsidRPr="00DA01F8">
        <w:t xml:space="preserve">. Aux fins du présent Règlement, une matière définie comme n’étant pas corrosive conformément à </w:t>
      </w:r>
      <w:r w:rsidRPr="00DA01F8">
        <w:rPr>
          <w:u w:val="single"/>
        </w:rPr>
        <w:t xml:space="preserve">une </w:t>
      </w:r>
      <w:r w:rsidRPr="00DA01F8">
        <w:rPr>
          <w:strike/>
        </w:rPr>
        <w:t>la</w:t>
      </w:r>
      <w:r w:rsidRPr="00DA01F8">
        <w:t xml:space="preserve"> Ligne directrice </w:t>
      </w:r>
      <w:r w:rsidRPr="00DA01F8">
        <w:rPr>
          <w:strike/>
        </w:rPr>
        <w:t>430</w:t>
      </w:r>
      <w:r w:rsidRPr="00DA01F8">
        <w:rPr>
          <w:strike/>
          <w:sz w:val="18"/>
          <w:szCs w:val="18"/>
          <w:vertAlign w:val="superscript"/>
        </w:rPr>
        <w:t>3</w:t>
      </w:r>
      <w:r w:rsidRPr="00DA01F8">
        <w:rPr>
          <w:i/>
          <w:strike/>
          <w:sz w:val="18"/>
          <w:szCs w:val="18"/>
          <w:vertAlign w:val="superscript"/>
        </w:rPr>
        <w:t>4</w:t>
      </w:r>
      <w:r w:rsidRPr="00DA01F8">
        <w:rPr>
          <w:strike/>
        </w:rPr>
        <w:t xml:space="preserve"> ou 431</w:t>
      </w:r>
      <w:r w:rsidRPr="000F0541">
        <w:rPr>
          <w:strike/>
          <w:sz w:val="18"/>
          <w:szCs w:val="18"/>
          <w:vertAlign w:val="superscript"/>
        </w:rPr>
        <w:t>4</w:t>
      </w:r>
      <w:r w:rsidRPr="00DA01F8">
        <w:t xml:space="preserve"> de l’OCDE </w:t>
      </w:r>
      <w:r w:rsidRPr="00DA01F8">
        <w:rPr>
          <w:u w:val="single"/>
        </w:rPr>
        <w:t xml:space="preserve">relative aux essais </w:t>
      </w:r>
      <w:r w:rsidRPr="00DA01F8">
        <w:rPr>
          <w:i/>
          <w:u w:val="single"/>
        </w:rPr>
        <w:t>in vitro</w:t>
      </w:r>
      <w:r w:rsidRPr="00DA01F8">
        <w:rPr>
          <w:u w:val="single"/>
          <w:vertAlign w:val="superscript"/>
        </w:rPr>
        <w:t>2,</w:t>
      </w:r>
      <w:r w:rsidR="000F0541">
        <w:rPr>
          <w:u w:val="single"/>
          <w:vertAlign w:val="superscript"/>
        </w:rPr>
        <w:t> </w:t>
      </w:r>
      <w:r w:rsidRPr="00DA01F8">
        <w:rPr>
          <w:u w:val="single"/>
          <w:vertAlign w:val="superscript"/>
        </w:rPr>
        <w:t>3,</w:t>
      </w:r>
      <w:r w:rsidR="000F0541">
        <w:rPr>
          <w:u w:val="single"/>
          <w:vertAlign w:val="superscript"/>
        </w:rPr>
        <w:t> </w:t>
      </w:r>
      <w:r w:rsidRPr="00DA01F8">
        <w:rPr>
          <w:u w:val="single"/>
          <w:vertAlign w:val="superscript"/>
        </w:rPr>
        <w:t>4</w:t>
      </w:r>
      <w:r w:rsidRPr="00DA01F8">
        <w:t xml:space="preserve"> est considérée comme n’étant pas corrosive pour la peau sans qu’il soit nécessaire de réaliser </w:t>
      </w:r>
      <w:r w:rsidRPr="00DA01F8">
        <w:rPr>
          <w:u w:val="single"/>
        </w:rPr>
        <w:t xml:space="preserve">de nouvelles épreuves </w:t>
      </w:r>
      <w:r w:rsidRPr="00DA01F8">
        <w:rPr>
          <w:i/>
          <w:u w:val="single"/>
        </w:rPr>
        <w:t>in vivo</w:t>
      </w:r>
      <w:r w:rsidRPr="00DA01F8">
        <w:rPr>
          <w:strike/>
        </w:rPr>
        <w:t xml:space="preserve"> d’autres épreuves</w:t>
      </w:r>
      <w:r w:rsidRPr="000F0541">
        <w:t>.</w:t>
      </w:r>
      <w:r w:rsidRPr="00DA01F8">
        <w:rPr>
          <w:u w:val="single"/>
        </w:rPr>
        <w:t xml:space="preserve"> Lorsque les résultats de l’essai </w:t>
      </w:r>
      <w:r w:rsidRPr="00DA01F8">
        <w:rPr>
          <w:i/>
          <w:u w:val="single"/>
        </w:rPr>
        <w:t>in vitro</w:t>
      </w:r>
      <w:r w:rsidRPr="00DA01F8">
        <w:rPr>
          <w:u w:val="single"/>
        </w:rPr>
        <w:t xml:space="preserve"> indiquent que la matière est corrosive, mais que l’essai ne permet pas d’attribuer les matières soit au groupe II, soit au groupe III, on privilégiera le groupe d’emballage II.</w:t>
      </w:r>
    </w:p>
    <w:p w:rsidR="00601651" w:rsidRPr="00323FD7" w:rsidRDefault="00601651" w:rsidP="00323FD7">
      <w:pPr>
        <w:pStyle w:val="SingleTxtG"/>
        <w:ind w:left="1701" w:firstLine="170"/>
        <w:jc w:val="left"/>
        <w:rPr>
          <w:i/>
          <w:iCs/>
          <w:sz w:val="18"/>
          <w:szCs w:val="18"/>
        </w:rPr>
      </w:pPr>
      <w:proofErr w:type="gramStart"/>
      <w:r w:rsidRPr="00FF32A9">
        <w:rPr>
          <w:iCs/>
          <w:sz w:val="18"/>
          <w:szCs w:val="18"/>
          <w:vertAlign w:val="superscript"/>
        </w:rPr>
        <w:t>1</w:t>
      </w:r>
      <w:r w:rsidRPr="00323FD7">
        <w:rPr>
          <w:i/>
          <w:iCs/>
          <w:sz w:val="18"/>
          <w:szCs w:val="18"/>
          <w:vertAlign w:val="superscript"/>
        </w:rPr>
        <w:t xml:space="preserve">  </w:t>
      </w:r>
      <w:r w:rsidRPr="00323FD7">
        <w:rPr>
          <w:i/>
          <w:sz w:val="18"/>
          <w:szCs w:val="18"/>
        </w:rPr>
        <w:t>Ligne</w:t>
      </w:r>
      <w:proofErr w:type="gramEnd"/>
      <w:r w:rsidRPr="00323FD7">
        <w:rPr>
          <w:i/>
          <w:iCs/>
          <w:sz w:val="18"/>
          <w:szCs w:val="18"/>
        </w:rPr>
        <w:t xml:space="preserve"> directrice de l’OCDE pour les essais de produits chimiques </w:t>
      </w:r>
      <w:r w:rsidRPr="00323FD7">
        <w:rPr>
          <w:rFonts w:eastAsia="MS Mincho"/>
          <w:i/>
          <w:iCs/>
          <w:sz w:val="18"/>
          <w:szCs w:val="18"/>
        </w:rPr>
        <w:t>n</w:t>
      </w:r>
      <w:r w:rsidRPr="00323FD7">
        <w:rPr>
          <w:rFonts w:eastAsia="MS Mincho"/>
          <w:i/>
          <w:iCs/>
          <w:sz w:val="18"/>
          <w:szCs w:val="18"/>
          <w:vertAlign w:val="superscript"/>
        </w:rPr>
        <w:t>o</w:t>
      </w:r>
      <w:r w:rsidRPr="00323FD7">
        <w:rPr>
          <w:i/>
          <w:iCs/>
          <w:sz w:val="18"/>
          <w:szCs w:val="18"/>
        </w:rPr>
        <w:t xml:space="preserve"> 404 </w:t>
      </w:r>
      <w:r w:rsidR="00D10928" w:rsidRPr="00D10928">
        <w:rPr>
          <w:i/>
          <w:iCs/>
          <w:sz w:val="18"/>
          <w:szCs w:val="18"/>
        </w:rPr>
        <w:t>“</w:t>
      </w:r>
      <w:r w:rsidRPr="00323FD7">
        <w:rPr>
          <w:i/>
          <w:iCs/>
          <w:sz w:val="18"/>
          <w:szCs w:val="18"/>
        </w:rPr>
        <w:t>Effet irritant/corrosif aigu sur la peau</w:t>
      </w:r>
      <w:r w:rsidR="00F66879" w:rsidRPr="00F66879">
        <w:rPr>
          <w:i/>
          <w:iCs/>
          <w:sz w:val="18"/>
          <w:szCs w:val="18"/>
        </w:rPr>
        <w:t>”</w:t>
      </w:r>
      <w:r w:rsidRPr="00323FD7">
        <w:rPr>
          <w:i/>
          <w:iCs/>
          <w:sz w:val="18"/>
          <w:szCs w:val="18"/>
        </w:rPr>
        <w:t>, 2015.</w:t>
      </w:r>
    </w:p>
    <w:p w:rsidR="00601651" w:rsidRPr="00323FD7" w:rsidRDefault="00601651" w:rsidP="00323FD7">
      <w:pPr>
        <w:pStyle w:val="SingleTxtG"/>
        <w:ind w:left="1701" w:firstLine="170"/>
        <w:jc w:val="left"/>
        <w:rPr>
          <w:i/>
          <w:iCs/>
          <w:sz w:val="18"/>
          <w:szCs w:val="18"/>
        </w:rPr>
      </w:pPr>
      <w:proofErr w:type="gramStart"/>
      <w:r w:rsidRPr="00FF32A9">
        <w:rPr>
          <w:iCs/>
          <w:sz w:val="18"/>
          <w:szCs w:val="18"/>
          <w:vertAlign w:val="superscript"/>
        </w:rPr>
        <w:t>2</w:t>
      </w:r>
      <w:r w:rsidRPr="00323FD7">
        <w:rPr>
          <w:i/>
          <w:iCs/>
          <w:sz w:val="18"/>
          <w:szCs w:val="18"/>
          <w:vertAlign w:val="superscript"/>
        </w:rPr>
        <w:t xml:space="preserve">  </w:t>
      </w:r>
      <w:r w:rsidRPr="00323FD7">
        <w:rPr>
          <w:i/>
          <w:sz w:val="18"/>
          <w:szCs w:val="18"/>
        </w:rPr>
        <w:t>Ligne</w:t>
      </w:r>
      <w:proofErr w:type="gramEnd"/>
      <w:r w:rsidRPr="00323FD7">
        <w:rPr>
          <w:i/>
          <w:iCs/>
          <w:sz w:val="18"/>
          <w:szCs w:val="18"/>
        </w:rPr>
        <w:t xml:space="preserve"> directrice de l’OCDE pour les essais de produits chimiques </w:t>
      </w:r>
      <w:r w:rsidRPr="00323FD7">
        <w:rPr>
          <w:rFonts w:eastAsia="MS Mincho"/>
          <w:i/>
          <w:iCs/>
          <w:sz w:val="18"/>
          <w:szCs w:val="18"/>
        </w:rPr>
        <w:t>n</w:t>
      </w:r>
      <w:r w:rsidRPr="00323FD7">
        <w:rPr>
          <w:rFonts w:eastAsia="MS Mincho"/>
          <w:i/>
          <w:iCs/>
          <w:sz w:val="18"/>
          <w:szCs w:val="18"/>
          <w:vertAlign w:val="superscript"/>
        </w:rPr>
        <w:t>o</w:t>
      </w:r>
      <w:r w:rsidRPr="00323FD7">
        <w:rPr>
          <w:i/>
          <w:iCs/>
          <w:sz w:val="18"/>
          <w:szCs w:val="18"/>
        </w:rPr>
        <w:t xml:space="preserve"> 435 </w:t>
      </w:r>
      <w:r w:rsidR="00D10928" w:rsidRPr="00D10928">
        <w:rPr>
          <w:i/>
          <w:iCs/>
          <w:sz w:val="18"/>
          <w:szCs w:val="18"/>
        </w:rPr>
        <w:t>“</w:t>
      </w:r>
      <w:r w:rsidRPr="00323FD7">
        <w:rPr>
          <w:i/>
          <w:iCs/>
          <w:sz w:val="18"/>
          <w:szCs w:val="18"/>
        </w:rPr>
        <w:t xml:space="preserve">Méthode d’essai </w:t>
      </w:r>
      <w:r w:rsidRPr="00323FD7">
        <w:rPr>
          <w:iCs/>
          <w:sz w:val="18"/>
          <w:szCs w:val="18"/>
        </w:rPr>
        <w:t>in vitro</w:t>
      </w:r>
      <w:r w:rsidRPr="00323FD7">
        <w:rPr>
          <w:i/>
          <w:iCs/>
          <w:sz w:val="18"/>
          <w:szCs w:val="18"/>
        </w:rPr>
        <w:t xml:space="preserve"> sur membrane d’étanchéité pour la corrosion cutanée</w:t>
      </w:r>
      <w:r w:rsidR="00F66879" w:rsidRPr="00F66879">
        <w:rPr>
          <w:i/>
          <w:iCs/>
          <w:sz w:val="18"/>
          <w:szCs w:val="18"/>
        </w:rPr>
        <w:t>”</w:t>
      </w:r>
      <w:r w:rsidRPr="00323FD7">
        <w:rPr>
          <w:i/>
          <w:iCs/>
          <w:sz w:val="18"/>
          <w:szCs w:val="18"/>
        </w:rPr>
        <w:t>, 2015.</w:t>
      </w:r>
    </w:p>
    <w:p w:rsidR="00601651" w:rsidRPr="00FF32A9" w:rsidRDefault="00601651" w:rsidP="00323FD7">
      <w:pPr>
        <w:pStyle w:val="SingleTxtG"/>
        <w:ind w:left="1701" w:firstLine="170"/>
        <w:jc w:val="left"/>
        <w:rPr>
          <w:iCs/>
          <w:sz w:val="18"/>
          <w:szCs w:val="18"/>
        </w:rPr>
      </w:pPr>
      <w:proofErr w:type="gramStart"/>
      <w:r w:rsidRPr="00FF32A9">
        <w:rPr>
          <w:iCs/>
          <w:sz w:val="18"/>
          <w:szCs w:val="18"/>
          <w:vertAlign w:val="superscript"/>
        </w:rPr>
        <w:t xml:space="preserve">3  </w:t>
      </w:r>
      <w:r w:rsidRPr="00FF32A9">
        <w:rPr>
          <w:sz w:val="18"/>
          <w:szCs w:val="18"/>
          <w:u w:val="single"/>
        </w:rPr>
        <w:t>Ligne</w:t>
      </w:r>
      <w:proofErr w:type="gramEnd"/>
      <w:r w:rsidRPr="00FF32A9">
        <w:rPr>
          <w:iCs/>
          <w:sz w:val="18"/>
          <w:szCs w:val="18"/>
          <w:u w:val="single"/>
        </w:rPr>
        <w:t xml:space="preserve"> directrice de l’OCDE pour les essais de produits chimiques </w:t>
      </w:r>
      <w:r w:rsidRPr="00FF32A9">
        <w:rPr>
          <w:rFonts w:eastAsia="MS Mincho"/>
          <w:iCs/>
          <w:sz w:val="18"/>
          <w:szCs w:val="18"/>
          <w:u w:val="single"/>
        </w:rPr>
        <w:t>n</w:t>
      </w:r>
      <w:r w:rsidRPr="00FF32A9">
        <w:rPr>
          <w:rFonts w:eastAsia="MS Mincho"/>
          <w:iCs/>
          <w:sz w:val="18"/>
          <w:szCs w:val="18"/>
          <w:u w:val="single"/>
          <w:vertAlign w:val="superscript"/>
        </w:rPr>
        <w:t>o</w:t>
      </w:r>
      <w:r w:rsidRPr="00FF32A9">
        <w:rPr>
          <w:iCs/>
          <w:sz w:val="18"/>
          <w:szCs w:val="18"/>
          <w:u w:val="single"/>
        </w:rPr>
        <w:t xml:space="preserve"> 431 </w:t>
      </w:r>
      <w:r w:rsidR="00D10928" w:rsidRPr="00FF32A9">
        <w:rPr>
          <w:iCs/>
          <w:sz w:val="18"/>
          <w:szCs w:val="18"/>
          <w:u w:val="single"/>
        </w:rPr>
        <w:t>“</w:t>
      </w:r>
      <w:r w:rsidRPr="00FF32A9">
        <w:rPr>
          <w:iCs/>
          <w:sz w:val="18"/>
          <w:szCs w:val="18"/>
          <w:u w:val="single"/>
        </w:rPr>
        <w:t>Corrosion cutanée in vitro : Essai sur modèle de peau humaine</w:t>
      </w:r>
      <w:r w:rsidR="00F66879" w:rsidRPr="00FF32A9">
        <w:rPr>
          <w:iCs/>
          <w:sz w:val="18"/>
          <w:szCs w:val="18"/>
          <w:u w:val="single"/>
        </w:rPr>
        <w:t>”</w:t>
      </w:r>
      <w:r w:rsidRPr="00FF32A9">
        <w:rPr>
          <w:iCs/>
          <w:sz w:val="18"/>
          <w:szCs w:val="18"/>
          <w:u w:val="single"/>
        </w:rPr>
        <w:t>, 2016.</w:t>
      </w:r>
    </w:p>
    <w:p w:rsidR="00601651" w:rsidRPr="00323FD7" w:rsidRDefault="00601651" w:rsidP="00323FD7">
      <w:pPr>
        <w:pStyle w:val="SingleTxtG"/>
        <w:ind w:left="1701" w:firstLine="170"/>
        <w:jc w:val="left"/>
        <w:rPr>
          <w:i/>
          <w:iCs/>
          <w:sz w:val="18"/>
          <w:szCs w:val="18"/>
        </w:rPr>
      </w:pPr>
      <w:proofErr w:type="gramStart"/>
      <w:r w:rsidRPr="00FF32A9">
        <w:rPr>
          <w:iCs/>
          <w:strike/>
          <w:sz w:val="18"/>
          <w:szCs w:val="18"/>
          <w:vertAlign w:val="superscript"/>
        </w:rPr>
        <w:t>3</w:t>
      </w:r>
      <w:r w:rsidRPr="00FF32A9">
        <w:rPr>
          <w:iCs/>
          <w:sz w:val="18"/>
          <w:szCs w:val="18"/>
          <w:vertAlign w:val="superscript"/>
        </w:rPr>
        <w:t>4</w:t>
      </w:r>
      <w:r w:rsidRPr="00323FD7">
        <w:rPr>
          <w:i/>
          <w:iCs/>
          <w:sz w:val="18"/>
          <w:szCs w:val="18"/>
          <w:vertAlign w:val="superscript"/>
        </w:rPr>
        <w:t xml:space="preserve">  </w:t>
      </w:r>
      <w:r w:rsidRPr="00323FD7">
        <w:rPr>
          <w:i/>
          <w:iCs/>
          <w:sz w:val="18"/>
          <w:szCs w:val="18"/>
        </w:rPr>
        <w:t>Ligne</w:t>
      </w:r>
      <w:proofErr w:type="gramEnd"/>
      <w:r w:rsidRPr="00323FD7">
        <w:rPr>
          <w:i/>
          <w:iCs/>
          <w:sz w:val="18"/>
          <w:szCs w:val="18"/>
        </w:rPr>
        <w:t xml:space="preserve"> directrice de l’OCDE pour les essais de produits chimiques </w:t>
      </w:r>
      <w:r w:rsidRPr="00323FD7">
        <w:rPr>
          <w:rFonts w:eastAsia="MS Mincho"/>
          <w:i/>
          <w:iCs/>
          <w:sz w:val="18"/>
          <w:szCs w:val="18"/>
        </w:rPr>
        <w:t>n</w:t>
      </w:r>
      <w:r w:rsidRPr="00323FD7">
        <w:rPr>
          <w:rFonts w:eastAsia="MS Mincho"/>
          <w:i/>
          <w:iCs/>
          <w:sz w:val="18"/>
          <w:szCs w:val="18"/>
          <w:vertAlign w:val="superscript"/>
        </w:rPr>
        <w:t>o</w:t>
      </w:r>
      <w:r w:rsidRPr="00323FD7">
        <w:rPr>
          <w:i/>
          <w:iCs/>
          <w:sz w:val="18"/>
          <w:szCs w:val="18"/>
        </w:rPr>
        <w:t xml:space="preserve"> 430 </w:t>
      </w:r>
      <w:r w:rsidR="00D10928" w:rsidRPr="00D10928">
        <w:rPr>
          <w:i/>
          <w:iCs/>
          <w:sz w:val="18"/>
          <w:szCs w:val="18"/>
        </w:rPr>
        <w:t>“</w:t>
      </w:r>
      <w:r w:rsidRPr="00323FD7">
        <w:rPr>
          <w:i/>
          <w:iCs/>
          <w:sz w:val="18"/>
          <w:szCs w:val="18"/>
        </w:rPr>
        <w:t xml:space="preserve">Corrosion cutanée </w:t>
      </w:r>
      <w:r w:rsidRPr="00323FD7">
        <w:rPr>
          <w:iCs/>
          <w:sz w:val="18"/>
          <w:szCs w:val="18"/>
        </w:rPr>
        <w:t>in vitro</w:t>
      </w:r>
      <w:r w:rsidRPr="00323FD7">
        <w:rPr>
          <w:i/>
          <w:iCs/>
          <w:sz w:val="18"/>
          <w:szCs w:val="18"/>
        </w:rPr>
        <w:t xml:space="preserve"> : Essai de </w:t>
      </w:r>
      <w:r w:rsidRPr="00323FD7">
        <w:rPr>
          <w:i/>
          <w:sz w:val="18"/>
          <w:szCs w:val="18"/>
        </w:rPr>
        <w:t>résistance</w:t>
      </w:r>
      <w:r w:rsidRPr="00323FD7">
        <w:rPr>
          <w:i/>
          <w:iCs/>
          <w:sz w:val="18"/>
          <w:szCs w:val="18"/>
        </w:rPr>
        <w:t xml:space="preserve"> électrique transcutanée (RET)</w:t>
      </w:r>
      <w:r w:rsidR="00D10928" w:rsidRPr="00F66879">
        <w:rPr>
          <w:i/>
          <w:iCs/>
          <w:sz w:val="18"/>
          <w:szCs w:val="18"/>
        </w:rPr>
        <w:t>”</w:t>
      </w:r>
      <w:r w:rsidRPr="00323FD7">
        <w:rPr>
          <w:i/>
          <w:iCs/>
          <w:sz w:val="18"/>
          <w:szCs w:val="18"/>
        </w:rPr>
        <w:t>, 2015.</w:t>
      </w:r>
    </w:p>
    <w:p w:rsidR="00601651" w:rsidRPr="00FF32A9" w:rsidRDefault="00601651" w:rsidP="00323FD7">
      <w:pPr>
        <w:pStyle w:val="SingleTxtG"/>
        <w:ind w:left="1701" w:firstLine="170"/>
        <w:jc w:val="left"/>
        <w:rPr>
          <w:iCs/>
          <w:sz w:val="18"/>
          <w:szCs w:val="18"/>
        </w:rPr>
      </w:pPr>
      <w:proofErr w:type="gramStart"/>
      <w:r w:rsidRPr="00FF32A9">
        <w:rPr>
          <w:iCs/>
          <w:strike/>
          <w:sz w:val="18"/>
          <w:szCs w:val="18"/>
          <w:vertAlign w:val="superscript"/>
        </w:rPr>
        <w:t xml:space="preserve">4  </w:t>
      </w:r>
      <w:r w:rsidRPr="00FF32A9">
        <w:rPr>
          <w:iCs/>
          <w:strike/>
          <w:sz w:val="18"/>
          <w:szCs w:val="18"/>
        </w:rPr>
        <w:t>Ligne</w:t>
      </w:r>
      <w:proofErr w:type="gramEnd"/>
      <w:r w:rsidRPr="00FF32A9">
        <w:rPr>
          <w:iCs/>
          <w:strike/>
          <w:sz w:val="18"/>
          <w:szCs w:val="18"/>
        </w:rPr>
        <w:t xml:space="preserve"> directrice de l’OCDE pour les essais de produits chimiques </w:t>
      </w:r>
      <w:r w:rsidRPr="00FF32A9">
        <w:rPr>
          <w:rFonts w:eastAsia="MS Mincho"/>
          <w:iCs/>
          <w:strike/>
          <w:sz w:val="18"/>
          <w:szCs w:val="18"/>
        </w:rPr>
        <w:t>n</w:t>
      </w:r>
      <w:r w:rsidRPr="00FF32A9">
        <w:rPr>
          <w:rFonts w:eastAsia="MS Mincho"/>
          <w:iCs/>
          <w:strike/>
          <w:sz w:val="18"/>
          <w:szCs w:val="18"/>
          <w:vertAlign w:val="superscript"/>
        </w:rPr>
        <w:t>o</w:t>
      </w:r>
      <w:r w:rsidRPr="00FF32A9">
        <w:rPr>
          <w:iCs/>
          <w:strike/>
          <w:sz w:val="18"/>
          <w:szCs w:val="18"/>
        </w:rPr>
        <w:t> 431 “Corrosion cutanée in vitro : Essai sur modèle de peau humaine”, 2015</w:t>
      </w:r>
      <w:r w:rsidRPr="00FF32A9">
        <w:rPr>
          <w:iCs/>
          <w:sz w:val="18"/>
          <w:szCs w:val="18"/>
        </w:rPr>
        <w:t>. ».</w:t>
      </w:r>
    </w:p>
    <w:p w:rsidR="00601651" w:rsidRPr="00601651" w:rsidRDefault="00601651" w:rsidP="00601651">
      <w:pPr>
        <w:pStyle w:val="SingleTxtG"/>
        <w:spacing w:before="240" w:after="0"/>
        <w:jc w:val="center"/>
        <w:rPr>
          <w:u w:val="single"/>
        </w:rPr>
      </w:pPr>
      <w:r>
        <w:rPr>
          <w:u w:val="single"/>
        </w:rPr>
        <w:tab/>
      </w:r>
      <w:r>
        <w:rPr>
          <w:u w:val="single"/>
        </w:rPr>
        <w:tab/>
      </w:r>
      <w:r>
        <w:rPr>
          <w:u w:val="single"/>
        </w:rPr>
        <w:tab/>
      </w:r>
    </w:p>
    <w:sectPr w:rsidR="00601651" w:rsidRPr="00601651" w:rsidSect="00F2194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444" w:rsidRDefault="00BD1444" w:rsidP="00F95C08">
      <w:pPr>
        <w:spacing w:line="240" w:lineRule="auto"/>
      </w:pPr>
    </w:p>
  </w:endnote>
  <w:endnote w:type="continuationSeparator" w:id="0">
    <w:p w:rsidR="00BD1444" w:rsidRPr="00AC3823" w:rsidRDefault="00BD1444" w:rsidP="00AC3823">
      <w:pPr>
        <w:pStyle w:val="Footer"/>
      </w:pPr>
    </w:p>
  </w:endnote>
  <w:endnote w:type="continuationNotice" w:id="1">
    <w:p w:rsidR="00BD1444" w:rsidRDefault="00BD14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40" w:rsidRPr="00F21940" w:rsidRDefault="00F21940" w:rsidP="00F21940">
    <w:pPr>
      <w:pStyle w:val="Footer"/>
      <w:tabs>
        <w:tab w:val="right" w:pos="9638"/>
      </w:tabs>
    </w:pPr>
    <w:r w:rsidRPr="00F21940">
      <w:rPr>
        <w:b/>
        <w:sz w:val="18"/>
      </w:rPr>
      <w:fldChar w:fldCharType="begin"/>
    </w:r>
    <w:r w:rsidRPr="00F21940">
      <w:rPr>
        <w:b/>
        <w:sz w:val="18"/>
      </w:rPr>
      <w:instrText xml:space="preserve"> PAGE  \* MERGEFORMAT </w:instrText>
    </w:r>
    <w:r w:rsidRPr="00F21940">
      <w:rPr>
        <w:b/>
        <w:sz w:val="18"/>
      </w:rPr>
      <w:fldChar w:fldCharType="separate"/>
    </w:r>
    <w:r w:rsidR="00355DCD">
      <w:rPr>
        <w:b/>
        <w:noProof/>
        <w:sz w:val="18"/>
      </w:rPr>
      <w:t>2</w:t>
    </w:r>
    <w:r w:rsidRPr="00F21940">
      <w:rPr>
        <w:b/>
        <w:sz w:val="18"/>
      </w:rPr>
      <w:fldChar w:fldCharType="end"/>
    </w:r>
    <w:r>
      <w:rPr>
        <w:b/>
        <w:sz w:val="18"/>
      </w:rPr>
      <w:tab/>
    </w:r>
    <w:r>
      <w:t>GE.18-14013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40" w:rsidRPr="00F21940" w:rsidRDefault="00F21940" w:rsidP="00F21940">
    <w:pPr>
      <w:pStyle w:val="Footer"/>
      <w:tabs>
        <w:tab w:val="right" w:pos="9638"/>
      </w:tabs>
      <w:rPr>
        <w:b/>
        <w:sz w:val="18"/>
      </w:rPr>
    </w:pPr>
    <w:r>
      <w:t>GE.18-14013</w:t>
    </w:r>
    <w:r>
      <w:tab/>
    </w:r>
    <w:r w:rsidRPr="00F21940">
      <w:rPr>
        <w:b/>
        <w:sz w:val="18"/>
      </w:rPr>
      <w:fldChar w:fldCharType="begin"/>
    </w:r>
    <w:r w:rsidRPr="00F21940">
      <w:rPr>
        <w:b/>
        <w:sz w:val="18"/>
      </w:rPr>
      <w:instrText xml:space="preserve"> PAGE  \* MERGEFORMAT </w:instrText>
    </w:r>
    <w:r w:rsidRPr="00F21940">
      <w:rPr>
        <w:b/>
        <w:sz w:val="18"/>
      </w:rPr>
      <w:fldChar w:fldCharType="separate"/>
    </w:r>
    <w:r w:rsidR="00355DCD">
      <w:rPr>
        <w:b/>
        <w:noProof/>
        <w:sz w:val="18"/>
      </w:rPr>
      <w:t>3</w:t>
    </w:r>
    <w:r w:rsidRPr="00F219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F21940" w:rsidRDefault="00F21940" w:rsidP="00F21940">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14013  (</w:t>
    </w:r>
    <w:proofErr w:type="gramEnd"/>
    <w:r>
      <w:rPr>
        <w:sz w:val="20"/>
      </w:rPr>
      <w:t>F)    240918    101018</w:t>
    </w:r>
    <w:r>
      <w:rPr>
        <w:sz w:val="20"/>
      </w:rPr>
      <w:br/>
    </w:r>
    <w:r w:rsidRPr="00F21940">
      <w:rPr>
        <w:rFonts w:ascii="C39T30Lfz" w:hAnsi="C39T30Lfz"/>
        <w:sz w:val="56"/>
      </w:rPr>
      <w:t></w:t>
    </w:r>
    <w:r w:rsidRPr="00F21940">
      <w:rPr>
        <w:rFonts w:ascii="C39T30Lfz" w:hAnsi="C39T30Lfz"/>
        <w:sz w:val="56"/>
      </w:rPr>
      <w:t></w:t>
    </w:r>
    <w:r w:rsidRPr="00F21940">
      <w:rPr>
        <w:rFonts w:ascii="C39T30Lfz" w:hAnsi="C39T30Lfz"/>
        <w:sz w:val="56"/>
      </w:rPr>
      <w:t></w:t>
    </w:r>
    <w:r w:rsidRPr="00F21940">
      <w:rPr>
        <w:rFonts w:ascii="C39T30Lfz" w:hAnsi="C39T30Lfz"/>
        <w:sz w:val="56"/>
      </w:rPr>
      <w:t></w:t>
    </w:r>
    <w:r w:rsidRPr="00F21940">
      <w:rPr>
        <w:rFonts w:ascii="C39T30Lfz" w:hAnsi="C39T30Lfz"/>
        <w:sz w:val="56"/>
      </w:rPr>
      <w:t></w:t>
    </w:r>
    <w:r w:rsidRPr="00F21940">
      <w:rPr>
        <w:rFonts w:ascii="C39T30Lfz" w:hAnsi="C39T30Lfz"/>
        <w:sz w:val="56"/>
      </w:rPr>
      <w:t></w:t>
    </w:r>
    <w:r w:rsidRPr="00F21940">
      <w:rPr>
        <w:rFonts w:ascii="C39T30Lfz" w:hAnsi="C39T30Lfz"/>
        <w:sz w:val="56"/>
      </w:rPr>
      <w:t></w:t>
    </w:r>
    <w:r w:rsidRPr="00F21940">
      <w:rPr>
        <w:rFonts w:ascii="C39T30Lfz" w:hAnsi="C39T30Lfz"/>
        <w:sz w:val="56"/>
      </w:rPr>
      <w:t></w:t>
    </w:r>
    <w:r w:rsidRPr="00F2194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7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7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444" w:rsidRPr="00AC3823" w:rsidRDefault="00BD1444" w:rsidP="00AC3823">
      <w:pPr>
        <w:pStyle w:val="Footer"/>
        <w:tabs>
          <w:tab w:val="right" w:pos="2155"/>
        </w:tabs>
        <w:spacing w:after="80" w:line="240" w:lineRule="atLeast"/>
        <w:ind w:left="680"/>
        <w:rPr>
          <w:u w:val="single"/>
        </w:rPr>
      </w:pPr>
      <w:r>
        <w:rPr>
          <w:u w:val="single"/>
        </w:rPr>
        <w:tab/>
      </w:r>
    </w:p>
  </w:footnote>
  <w:footnote w:type="continuationSeparator" w:id="0">
    <w:p w:rsidR="00BD1444" w:rsidRPr="00AC3823" w:rsidRDefault="00BD1444" w:rsidP="00AC3823">
      <w:pPr>
        <w:pStyle w:val="Footer"/>
        <w:tabs>
          <w:tab w:val="right" w:pos="2155"/>
        </w:tabs>
        <w:spacing w:after="80" w:line="240" w:lineRule="atLeast"/>
        <w:ind w:left="680"/>
        <w:rPr>
          <w:u w:val="single"/>
        </w:rPr>
      </w:pPr>
      <w:r>
        <w:rPr>
          <w:u w:val="single"/>
        </w:rPr>
        <w:tab/>
      </w:r>
    </w:p>
  </w:footnote>
  <w:footnote w:type="continuationNotice" w:id="1">
    <w:p w:rsidR="00BD1444" w:rsidRPr="00AC3823" w:rsidRDefault="00BD1444">
      <w:pPr>
        <w:spacing w:line="240" w:lineRule="auto"/>
        <w:rPr>
          <w:sz w:val="2"/>
          <w:szCs w:val="2"/>
        </w:rPr>
      </w:pPr>
    </w:p>
  </w:footnote>
  <w:footnote w:id="2">
    <w:p w:rsidR="00601651" w:rsidRPr="00A674E4" w:rsidRDefault="00601651" w:rsidP="00601651">
      <w:pPr>
        <w:pStyle w:val="FootnoteText"/>
      </w:pPr>
      <w:r>
        <w:rPr>
          <w:rStyle w:val="FootnoteReference"/>
        </w:rPr>
        <w:tab/>
      </w:r>
      <w:r w:rsidRPr="00601651">
        <w:rPr>
          <w:rStyle w:val="FootnoteReference"/>
          <w:sz w:val="20"/>
          <w:vertAlign w:val="baseline"/>
        </w:rPr>
        <w:t>*</w:t>
      </w:r>
      <w:r>
        <w:rPr>
          <w:rStyle w:val="FootnoteReference"/>
          <w:sz w:val="20"/>
        </w:rPr>
        <w:tab/>
      </w:r>
      <w:r w:rsidRPr="008A5867">
        <w:t xml:space="preserve">Conformément au programme </w:t>
      </w:r>
      <w:r>
        <w:t>de travail du Sous-Comité pour la période</w:t>
      </w:r>
      <w:r w:rsidRPr="008A5867">
        <w:t xml:space="preserve"> 2017-2018</w:t>
      </w:r>
      <w:r>
        <w:t>,</w:t>
      </w:r>
      <w:r w:rsidRPr="008A5867">
        <w:t xml:space="preserve"> appro</w:t>
      </w:r>
      <w:r>
        <w:t>u</w:t>
      </w:r>
      <w:r w:rsidRPr="008A5867">
        <w:t>v</w:t>
      </w:r>
      <w:r>
        <w:t>é</w:t>
      </w:r>
      <w:r w:rsidRPr="008A5867">
        <w:t xml:space="preserve"> </w:t>
      </w:r>
      <w:r>
        <w:t>par le Comité à sa huitième</w:t>
      </w:r>
      <w:r w:rsidRPr="008A5867">
        <w:t xml:space="preserve"> session (</w:t>
      </w:r>
      <w:r>
        <w:t>voir ST/SG/AC.10/C.3/100, par. </w:t>
      </w:r>
      <w:r w:rsidRPr="008A5867">
        <w:t xml:space="preserve">98 </w:t>
      </w:r>
      <w:r>
        <w:t>et ST/SG/AC.10/44, par. </w:t>
      </w:r>
      <w:r w:rsidRPr="008A5867">
        <w:t>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40" w:rsidRPr="00F21940" w:rsidRDefault="00DB313C">
    <w:pPr>
      <w:pStyle w:val="Header"/>
    </w:pPr>
    <w:r>
      <w:fldChar w:fldCharType="begin"/>
    </w:r>
    <w:r>
      <w:instrText xml:space="preserve"> TITLE  \* MERGEFORMAT </w:instrText>
    </w:r>
    <w:r>
      <w:fldChar w:fldCharType="separate"/>
    </w:r>
    <w:r>
      <w:t>ST/SG/AC.10/C.3/2018/70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40" w:rsidRPr="00F21940" w:rsidRDefault="00DB313C" w:rsidP="00F21940">
    <w:pPr>
      <w:pStyle w:val="Header"/>
      <w:jc w:val="right"/>
    </w:pPr>
    <w:r>
      <w:fldChar w:fldCharType="begin"/>
    </w:r>
    <w:r>
      <w:instrText xml:space="preserve"> TITLE  \* MERGEFORMAT </w:instrText>
    </w:r>
    <w:r>
      <w:fldChar w:fldCharType="separate"/>
    </w:r>
    <w:r>
      <w:t>ST/SG/AC.10/C.3/2018/70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44"/>
    <w:rsid w:val="00011A2B"/>
    <w:rsid w:val="00017F94"/>
    <w:rsid w:val="00023842"/>
    <w:rsid w:val="000305D3"/>
    <w:rsid w:val="000334F9"/>
    <w:rsid w:val="00037D23"/>
    <w:rsid w:val="0007796D"/>
    <w:rsid w:val="000B7790"/>
    <w:rsid w:val="000F0541"/>
    <w:rsid w:val="00111F2F"/>
    <w:rsid w:val="00132EA9"/>
    <w:rsid w:val="0014365E"/>
    <w:rsid w:val="00176178"/>
    <w:rsid w:val="00195649"/>
    <w:rsid w:val="001D20FA"/>
    <w:rsid w:val="001F525A"/>
    <w:rsid w:val="00223272"/>
    <w:rsid w:val="0024779E"/>
    <w:rsid w:val="00283190"/>
    <w:rsid w:val="002832AC"/>
    <w:rsid w:val="002D7C93"/>
    <w:rsid w:val="00323FD7"/>
    <w:rsid w:val="00355DCD"/>
    <w:rsid w:val="00441C3B"/>
    <w:rsid w:val="00446FE5"/>
    <w:rsid w:val="00452396"/>
    <w:rsid w:val="004E468C"/>
    <w:rsid w:val="00512284"/>
    <w:rsid w:val="005505B7"/>
    <w:rsid w:val="00573BE5"/>
    <w:rsid w:val="00584DC4"/>
    <w:rsid w:val="00586ED3"/>
    <w:rsid w:val="00596AA9"/>
    <w:rsid w:val="00601651"/>
    <w:rsid w:val="0068456F"/>
    <w:rsid w:val="0071601D"/>
    <w:rsid w:val="007A62E6"/>
    <w:rsid w:val="007B0722"/>
    <w:rsid w:val="0080684C"/>
    <w:rsid w:val="00871C75"/>
    <w:rsid w:val="008776DC"/>
    <w:rsid w:val="008B40CD"/>
    <w:rsid w:val="0093337A"/>
    <w:rsid w:val="009705C8"/>
    <w:rsid w:val="009C1CF4"/>
    <w:rsid w:val="00A30353"/>
    <w:rsid w:val="00AC3823"/>
    <w:rsid w:val="00AE29CE"/>
    <w:rsid w:val="00AE323C"/>
    <w:rsid w:val="00B00181"/>
    <w:rsid w:val="00B00B0D"/>
    <w:rsid w:val="00B765F7"/>
    <w:rsid w:val="00BA0CA9"/>
    <w:rsid w:val="00BD1444"/>
    <w:rsid w:val="00C02897"/>
    <w:rsid w:val="00D10928"/>
    <w:rsid w:val="00D3439C"/>
    <w:rsid w:val="00DA751D"/>
    <w:rsid w:val="00DB1831"/>
    <w:rsid w:val="00DB313C"/>
    <w:rsid w:val="00DD3BFD"/>
    <w:rsid w:val="00DF6678"/>
    <w:rsid w:val="00EF2E22"/>
    <w:rsid w:val="00F01738"/>
    <w:rsid w:val="00F21940"/>
    <w:rsid w:val="00F660DF"/>
    <w:rsid w:val="00F66879"/>
    <w:rsid w:val="00F730C8"/>
    <w:rsid w:val="00F95C08"/>
    <w:rsid w:val="00FF32A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B62A95-A12E-4DE5-938A-083CB8CE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uiPriority w:val="59"/>
    <w:rsid w:val="00601651"/>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ST/SG/AC.10/C.3/2018/70</vt:lpstr>
      <vt:lpstr>ST/SG/AC.10/C.3/2018/70</vt:lpstr>
    </vt:vector>
  </TitlesOfParts>
  <Company>DCM</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ST/SG/AC.10/C.3/2018/70</dc:title>
  <dc:subject/>
  <dc:creator>Sandrine CLERE</dc:creator>
  <cp:keywords/>
  <cp:lastModifiedBy>Laurence Berthet</cp:lastModifiedBy>
  <cp:revision>3</cp:revision>
  <cp:lastPrinted>2018-10-10T11:02:00Z</cp:lastPrinted>
  <dcterms:created xsi:type="dcterms:W3CDTF">2018-10-10T11:02:00Z</dcterms:created>
  <dcterms:modified xsi:type="dcterms:W3CDTF">2018-10-10T11:03:00Z</dcterms:modified>
</cp:coreProperties>
</file>