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E02DB7">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E02DB7" w:rsidP="00E02DB7">
            <w:pPr>
              <w:jc w:val="right"/>
            </w:pPr>
            <w:r w:rsidRPr="00E02DB7">
              <w:rPr>
                <w:sz w:val="40"/>
              </w:rPr>
              <w:t>ST</w:t>
            </w:r>
            <w:r>
              <w:t>/SG/AC.10/C.3/2018/68</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E02DB7" w:rsidP="00F01738">
            <w:pPr>
              <w:spacing w:before="240"/>
            </w:pPr>
            <w:r>
              <w:t>Distr. générale</w:t>
            </w:r>
          </w:p>
          <w:p w:rsidR="00E02DB7" w:rsidRDefault="00E02DB7" w:rsidP="00E02DB7">
            <w:pPr>
              <w:spacing w:line="240" w:lineRule="exact"/>
            </w:pPr>
            <w:r>
              <w:t>27 août 2018</w:t>
            </w:r>
          </w:p>
          <w:p w:rsidR="00E02DB7" w:rsidRDefault="00E02DB7" w:rsidP="00E02DB7">
            <w:pPr>
              <w:spacing w:line="240" w:lineRule="exact"/>
            </w:pPr>
            <w:r>
              <w:t>Français</w:t>
            </w:r>
          </w:p>
          <w:p w:rsidR="00E02DB7" w:rsidRPr="00DB58B5" w:rsidRDefault="00E02DB7" w:rsidP="00E02DB7">
            <w:pPr>
              <w:spacing w:line="240" w:lineRule="exact"/>
            </w:pPr>
            <w:r>
              <w:t>Original : anglais</w:t>
            </w:r>
          </w:p>
        </w:tc>
      </w:tr>
    </w:tbl>
    <w:p w:rsidR="00E02DB7" w:rsidRPr="00CA0680" w:rsidRDefault="00E02DB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E02DB7" w:rsidRPr="00CA0680" w:rsidRDefault="00E02DB7" w:rsidP="000305D3">
      <w:pPr>
        <w:spacing w:before="120"/>
        <w:rPr>
          <w:b/>
        </w:rPr>
      </w:pPr>
      <w:r w:rsidRPr="00CA0680">
        <w:rPr>
          <w:b/>
        </w:rPr>
        <w:t>Sous</w:t>
      </w:r>
      <w:r>
        <w:rPr>
          <w:b/>
        </w:rPr>
        <w:t>-</w:t>
      </w:r>
      <w:r w:rsidRPr="00CA0680">
        <w:rPr>
          <w:b/>
        </w:rPr>
        <w:t>Comité d’experts du transport des marchandises dangereuses</w:t>
      </w:r>
    </w:p>
    <w:p w:rsidR="00E02DB7" w:rsidRDefault="00E02DB7" w:rsidP="000305D3">
      <w:pPr>
        <w:spacing w:before="120"/>
        <w:rPr>
          <w:b/>
        </w:rPr>
      </w:pPr>
      <w:r w:rsidRPr="00E02DB7">
        <w:rPr>
          <w:b/>
          <w:lang w:val="fr-FR"/>
        </w:rPr>
        <w:t>Cinquante-quatrième</w:t>
      </w:r>
      <w:r>
        <w:rPr>
          <w:b/>
        </w:rPr>
        <w:t xml:space="preserve"> </w:t>
      </w:r>
      <w:r w:rsidRPr="00CA0680">
        <w:rPr>
          <w:b/>
        </w:rPr>
        <w:t>session</w:t>
      </w:r>
    </w:p>
    <w:p w:rsidR="00E02DB7" w:rsidRDefault="00E02DB7" w:rsidP="000305D3">
      <w:r>
        <w:t xml:space="preserve">Genève, </w:t>
      </w:r>
      <w:r w:rsidRPr="00E02DB7">
        <w:rPr>
          <w:lang w:val="fr-FR"/>
        </w:rPr>
        <w:t>26 novembre-4 décembre 2018</w:t>
      </w:r>
    </w:p>
    <w:p w:rsidR="00E02DB7" w:rsidRDefault="00E02DB7" w:rsidP="000305D3">
      <w:r>
        <w:t>Point 2 b) de l’ordre du jour provisoire</w:t>
      </w:r>
    </w:p>
    <w:p w:rsidR="00E02DB7" w:rsidRDefault="00E02DB7" w:rsidP="00AC3823">
      <w:r w:rsidRPr="00E02DB7">
        <w:rPr>
          <w:b/>
          <w:bCs/>
          <w:lang w:val="fr-FR"/>
        </w:rPr>
        <w:t xml:space="preserve">Recommandations du Sous-Comité formulées à ses cinquante et unième, </w:t>
      </w:r>
      <w:r>
        <w:rPr>
          <w:b/>
          <w:bCs/>
          <w:lang w:val="fr-FR"/>
        </w:rPr>
        <w:br/>
      </w:r>
      <w:r w:rsidRPr="00E02DB7">
        <w:rPr>
          <w:b/>
          <w:bCs/>
          <w:lang w:val="fr-FR"/>
        </w:rPr>
        <w:t>cinquante</w:t>
      </w:r>
      <w:r>
        <w:rPr>
          <w:b/>
          <w:bCs/>
          <w:lang w:val="fr-FR"/>
        </w:rPr>
        <w:t>-</w:t>
      </w:r>
      <w:r w:rsidRPr="00E02DB7">
        <w:rPr>
          <w:b/>
          <w:bCs/>
          <w:lang w:val="fr-FR"/>
        </w:rPr>
        <w:t>deuxième et cinquante</w:t>
      </w:r>
      <w:r>
        <w:rPr>
          <w:b/>
          <w:bCs/>
          <w:lang w:val="fr-FR"/>
        </w:rPr>
        <w:t>-</w:t>
      </w:r>
      <w:r w:rsidRPr="00E02DB7">
        <w:rPr>
          <w:b/>
          <w:bCs/>
          <w:lang w:val="fr-FR"/>
        </w:rPr>
        <w:t>troisième sessions et questions en suspens</w:t>
      </w:r>
      <w:r>
        <w:rPr>
          <w:b/>
          <w:bCs/>
          <w:lang w:val="fr-FR"/>
        </w:rPr>
        <w:t> </w:t>
      </w:r>
      <w:r w:rsidRPr="00E02DB7">
        <w:rPr>
          <w:b/>
          <w:bCs/>
          <w:lang w:val="fr-FR"/>
        </w:rPr>
        <w:t>:</w:t>
      </w:r>
      <w:r w:rsidRPr="00E02DB7">
        <w:rPr>
          <w:b/>
          <w:bCs/>
          <w:lang w:val="fr-FR"/>
        </w:rPr>
        <w:br/>
        <w:t>Explosifs et questions connexes</w:t>
      </w:r>
    </w:p>
    <w:p w:rsidR="00E02DB7" w:rsidRPr="00E02DB7" w:rsidRDefault="00E02DB7" w:rsidP="00C72629">
      <w:pPr>
        <w:pStyle w:val="HChG"/>
        <w:rPr>
          <w:lang w:val="en-US"/>
        </w:rPr>
      </w:pPr>
      <w:r w:rsidRPr="00E02DB7">
        <w:rPr>
          <w:lang w:val="fr-FR"/>
        </w:rPr>
        <w:tab/>
      </w:r>
      <w:r w:rsidRPr="00E02DB7">
        <w:rPr>
          <w:lang w:val="fr-FR"/>
        </w:rPr>
        <w:tab/>
      </w:r>
      <w:r w:rsidRPr="00E02DB7">
        <w:rPr>
          <w:lang w:val="en-US"/>
        </w:rPr>
        <w:t>N</w:t>
      </w:r>
      <w:r w:rsidR="00C72629" w:rsidRPr="00C72629">
        <w:rPr>
          <w:lang w:val="en-US"/>
        </w:rPr>
        <w:t>o</w:t>
      </w:r>
      <w:r w:rsidRPr="00E02DB7">
        <w:rPr>
          <w:vertAlign w:val="superscript"/>
          <w:lang w:val="en-US"/>
        </w:rPr>
        <w:t xml:space="preserve"> </w:t>
      </w:r>
      <w:r w:rsidRPr="00E02DB7">
        <w:rPr>
          <w:lang w:val="en-US"/>
        </w:rPr>
        <w:t>ONU 0222 (Nitrate d’ammonium)</w:t>
      </w:r>
    </w:p>
    <w:p w:rsidR="00E02DB7" w:rsidRPr="00E02DB7" w:rsidRDefault="00E02DB7" w:rsidP="00C72629">
      <w:pPr>
        <w:pStyle w:val="H1G"/>
        <w:rPr>
          <w:lang w:val="en-US"/>
        </w:rPr>
      </w:pPr>
      <w:r w:rsidRPr="00E02DB7">
        <w:rPr>
          <w:lang w:val="en-US"/>
        </w:rPr>
        <w:tab/>
      </w:r>
      <w:r w:rsidRPr="00E02DB7">
        <w:rPr>
          <w:lang w:val="en-US"/>
        </w:rPr>
        <w:tab/>
        <w:t>Communication de l’Institute of Makers of Explosives (IME)</w:t>
      </w:r>
      <w:r w:rsidRPr="00C72629">
        <w:rPr>
          <w:rStyle w:val="FootnoteReference"/>
          <w:b w:val="0"/>
          <w:sz w:val="20"/>
          <w:vertAlign w:val="baseline"/>
        </w:rPr>
        <w:footnoteReference w:customMarkFollows="1" w:id="2"/>
        <w:t>*</w:t>
      </w:r>
    </w:p>
    <w:p w:rsidR="00E02DB7" w:rsidRPr="00E02DB7" w:rsidRDefault="00E02DB7" w:rsidP="00C72629">
      <w:pPr>
        <w:pStyle w:val="HChG"/>
        <w:rPr>
          <w:lang w:val="fr-FR"/>
        </w:rPr>
      </w:pPr>
      <w:r w:rsidRPr="00E02DB7">
        <w:rPr>
          <w:lang w:val="en-US"/>
        </w:rPr>
        <w:tab/>
      </w:r>
      <w:r w:rsidRPr="00E02DB7">
        <w:rPr>
          <w:lang w:val="en-US"/>
        </w:rPr>
        <w:tab/>
      </w:r>
      <w:r w:rsidRPr="00E02DB7">
        <w:rPr>
          <w:lang w:val="fr-FR"/>
        </w:rPr>
        <w:t>Historique</w:t>
      </w:r>
    </w:p>
    <w:p w:rsidR="00E02DB7" w:rsidRPr="00E02DB7" w:rsidRDefault="00C72629" w:rsidP="00C72629">
      <w:pPr>
        <w:pStyle w:val="SingleTxtG"/>
        <w:rPr>
          <w:lang w:val="fr-FR"/>
        </w:rPr>
      </w:pPr>
      <w:r>
        <w:rPr>
          <w:lang w:val="fr-FR"/>
        </w:rPr>
        <w:t>1.</w:t>
      </w:r>
      <w:r>
        <w:rPr>
          <w:lang w:val="fr-FR"/>
        </w:rPr>
        <w:tab/>
      </w:r>
      <w:r w:rsidR="00E02DB7" w:rsidRPr="00E02DB7">
        <w:rPr>
          <w:lang w:val="fr-FR"/>
        </w:rPr>
        <w:t>Le nitrate d’ammonium affecté au N</w:t>
      </w:r>
      <w:r w:rsidR="00981398" w:rsidRPr="00981398">
        <w:rPr>
          <w:lang w:val="fr-FR"/>
        </w:rPr>
        <w:t>o</w:t>
      </w:r>
      <w:r w:rsidR="00E02DB7" w:rsidRPr="00E02DB7">
        <w:rPr>
          <w:vertAlign w:val="superscript"/>
          <w:lang w:val="fr-FR"/>
        </w:rPr>
        <w:t xml:space="preserve"> </w:t>
      </w:r>
      <w:r w:rsidR="00E02DB7" w:rsidRPr="00E02DB7">
        <w:rPr>
          <w:lang w:val="fr-FR"/>
        </w:rPr>
        <w:t>ONU 0222</w:t>
      </w:r>
      <w:r w:rsidR="00981398">
        <w:rPr>
          <w:lang w:val="fr-FR"/>
        </w:rPr>
        <w:t xml:space="preserve"> (classe </w:t>
      </w:r>
      <w:r w:rsidR="00E02DB7" w:rsidRPr="00E02DB7">
        <w:rPr>
          <w:lang w:val="fr-FR"/>
        </w:rPr>
        <w:t xml:space="preserve">1.1D) de la Liste des marchandises dangereuses n’est pas un produit fabriqué à des fins commerciales. Cette information a été confirmée à la cinquante-deuxième session du Sous-Comité d’experts du transport de marchandises dangereuses (Sous-Comité TMD), dont des membres ont indiqué que ce numéro était utilisé pour l’étiquetage du nitrate d’ammonium contaminé et des engrais au nitrate d’ammonium ayant </w:t>
      </w:r>
      <w:r w:rsidR="00981398">
        <w:rPr>
          <w:lang w:val="fr-FR"/>
        </w:rPr>
        <w:t>échoué aux épreuves de la série </w:t>
      </w:r>
      <w:r w:rsidR="00E02DB7" w:rsidRPr="00E02DB7">
        <w:rPr>
          <w:lang w:val="fr-FR"/>
        </w:rPr>
        <w:t>2.</w:t>
      </w:r>
    </w:p>
    <w:p w:rsidR="00E02DB7" w:rsidRPr="00E02DB7" w:rsidRDefault="00C72629" w:rsidP="00C72629">
      <w:pPr>
        <w:pStyle w:val="SingleTxtG"/>
        <w:rPr>
          <w:lang w:val="fr-FR"/>
        </w:rPr>
      </w:pPr>
      <w:r>
        <w:rPr>
          <w:lang w:val="fr-FR"/>
        </w:rPr>
        <w:t>2.</w:t>
      </w:r>
      <w:r>
        <w:rPr>
          <w:lang w:val="fr-FR"/>
        </w:rPr>
        <w:tab/>
      </w:r>
      <w:r w:rsidR="00E02DB7" w:rsidRPr="00E02DB7">
        <w:rPr>
          <w:lang w:val="fr-FR"/>
        </w:rPr>
        <w:t>À la cinquante-deuxième session, au motif qu’il n’était pas utilisé à des fins commerciales, l’Institute of Makers of Explosives (IME) a suggéré d’examiner la possibilité de retirer le N</w:t>
      </w:r>
      <w:r w:rsidR="00E02DB7" w:rsidRPr="00981398">
        <w:rPr>
          <w:lang w:val="fr-FR"/>
        </w:rPr>
        <w:t>o</w:t>
      </w:r>
      <w:r w:rsidR="00E02DB7" w:rsidRPr="00E02DB7">
        <w:rPr>
          <w:vertAlign w:val="superscript"/>
          <w:lang w:val="fr-FR"/>
        </w:rPr>
        <w:t xml:space="preserve"> </w:t>
      </w:r>
      <w:r w:rsidR="00E02DB7" w:rsidRPr="00E02DB7">
        <w:rPr>
          <w:lang w:val="fr-FR"/>
        </w:rPr>
        <w:t>ONU 0222 de la Liste des marchandises dangereuses</w:t>
      </w:r>
      <w:r w:rsidR="00981398">
        <w:rPr>
          <w:rStyle w:val="FootnoteReference"/>
        </w:rPr>
        <w:footnoteReference w:id="3"/>
      </w:r>
      <w:r w:rsidR="00E02DB7" w:rsidRPr="00E02DB7">
        <w:rPr>
          <w:lang w:val="fr-FR"/>
        </w:rPr>
        <w:t>. La question a été renvoyée au Groupe de travail des explosifs, lequel a estimé que le No</w:t>
      </w:r>
      <w:r w:rsidR="00876A94">
        <w:rPr>
          <w:lang w:val="fr-FR"/>
        </w:rPr>
        <w:t> ONU </w:t>
      </w:r>
      <w:r w:rsidR="00E02DB7" w:rsidRPr="00E02DB7">
        <w:rPr>
          <w:lang w:val="fr-FR"/>
        </w:rPr>
        <w:t>0222 ne devait pas être retiré de la Liste des marchandises dangereuses, certaines délégations (dont celles du Royaume-Uni de Grande-Bretagne et d’Irlande du Nord, de l’Allemagne, des États-Unis d’Amérique, de la Pologne, de la Suède et de l’Australian Explosives Industry and Safety Group (AEISG)) ayant fait valoir l’utilité de cette rubrique pour le nitrate d’ammonium contaminé ou le nitrate d’ammonium dont la classification est inconnue. Confirmant également que le nitrate d’ammonium affecté au N</w:t>
      </w:r>
      <w:r w:rsidR="00E02DB7" w:rsidRPr="00C665DD">
        <w:rPr>
          <w:lang w:val="fr-FR"/>
        </w:rPr>
        <w:t>o</w:t>
      </w:r>
      <w:r w:rsidR="00C665DD" w:rsidRPr="00C665DD">
        <w:rPr>
          <w:lang w:val="fr-FR"/>
        </w:rPr>
        <w:t> </w:t>
      </w:r>
      <w:r w:rsidR="00C665DD">
        <w:rPr>
          <w:lang w:val="fr-FR"/>
        </w:rPr>
        <w:t>ONU </w:t>
      </w:r>
      <w:r w:rsidR="00E02DB7" w:rsidRPr="00E02DB7">
        <w:rPr>
          <w:lang w:val="fr-FR"/>
        </w:rPr>
        <w:t xml:space="preserve">0222 n’était pas fabriqué à des fins commerciales, le Groupe de travail des explosifs a néanmoins jugé préférable, compte tenu des observations formulées par certaines délégations, que </w:t>
      </w:r>
      <w:r w:rsidR="00E02DB7" w:rsidRPr="00E02DB7">
        <w:rPr>
          <w:lang w:val="fr-FR"/>
        </w:rPr>
        <w:lastRenderedPageBreak/>
        <w:t>ladite rubrique soit conservée et utilisée à des fins particulières, notamment pour le transport des engrais ayant échoué aux épreuves de la série 2</w:t>
      </w:r>
      <w:r w:rsidR="00876A94">
        <w:rPr>
          <w:rStyle w:val="FootnoteReference"/>
        </w:rPr>
        <w:footnoteReference w:id="4"/>
      </w:r>
      <w:r w:rsidR="00E02DB7" w:rsidRPr="00E02DB7">
        <w:rPr>
          <w:lang w:val="fr-FR"/>
        </w:rPr>
        <w:t xml:space="preserve">. </w:t>
      </w:r>
    </w:p>
    <w:p w:rsidR="00E02DB7" w:rsidRPr="00E02DB7" w:rsidRDefault="00C72629" w:rsidP="00C72629">
      <w:pPr>
        <w:pStyle w:val="SingleTxtG"/>
        <w:rPr>
          <w:lang w:val="fr-FR"/>
        </w:rPr>
      </w:pPr>
      <w:r>
        <w:rPr>
          <w:lang w:val="fr-FR"/>
        </w:rPr>
        <w:t>3.</w:t>
      </w:r>
      <w:r>
        <w:rPr>
          <w:lang w:val="fr-FR"/>
        </w:rPr>
        <w:tab/>
      </w:r>
      <w:r w:rsidR="00E02DB7" w:rsidRPr="00E02DB7">
        <w:rPr>
          <w:lang w:val="fr-FR"/>
        </w:rPr>
        <w:t>Le Sous-Comité a pris note des conclusions du Groupe de travail des explosifs</w:t>
      </w:r>
      <w:r w:rsidR="00C665DD">
        <w:rPr>
          <w:rStyle w:val="FootnoteReference"/>
        </w:rPr>
        <w:footnoteReference w:id="5"/>
      </w:r>
      <w:r w:rsidR="00C665DD">
        <w:rPr>
          <w:lang w:val="fr-FR"/>
        </w:rPr>
        <w:t xml:space="preserve"> </w:t>
      </w:r>
      <w:r w:rsidR="00E02DB7" w:rsidRPr="00E02DB7">
        <w:rPr>
          <w:lang w:val="fr-FR"/>
        </w:rPr>
        <w:t xml:space="preserve">et du fait que l’IME </w:t>
      </w:r>
      <w:r w:rsidR="00C665DD">
        <w:rPr>
          <w:lang w:val="fr-FR"/>
        </w:rPr>
        <w:t>« </w:t>
      </w:r>
      <w:r w:rsidR="00E02DB7" w:rsidRPr="00E02DB7">
        <w:rPr>
          <w:lang w:val="fr-FR"/>
        </w:rPr>
        <w:t>ne poursuivrait pas ses travaux sur cette question</w:t>
      </w:r>
      <w:r w:rsidR="00C665DD">
        <w:rPr>
          <w:lang w:val="fr-FR"/>
        </w:rPr>
        <w:t> »</w:t>
      </w:r>
      <w:r w:rsidR="00E02DB7" w:rsidRPr="00E02DB7">
        <w:rPr>
          <w:lang w:val="fr-FR"/>
        </w:rPr>
        <w:t xml:space="preserve">. Toutefois, la rubrique en question de la Liste des marchandises dangereuses pouvait toujours être mal interprétée ou mal utilisée. L’IME a donc proposé une autre solution à ce problème. </w:t>
      </w:r>
    </w:p>
    <w:p w:rsidR="00E02DB7" w:rsidRPr="00E02DB7" w:rsidRDefault="00C72629" w:rsidP="00C72629">
      <w:pPr>
        <w:pStyle w:val="SingleTxtG"/>
        <w:rPr>
          <w:lang w:val="fr-FR"/>
        </w:rPr>
      </w:pPr>
      <w:r>
        <w:rPr>
          <w:lang w:val="fr-FR"/>
        </w:rPr>
        <w:t>4.</w:t>
      </w:r>
      <w:r>
        <w:rPr>
          <w:lang w:val="fr-FR"/>
        </w:rPr>
        <w:tab/>
      </w:r>
      <w:r w:rsidR="00E02DB7" w:rsidRPr="00E02DB7">
        <w:rPr>
          <w:lang w:val="fr-FR"/>
        </w:rPr>
        <w:t>À la cinquante-troisième session, le Groupe de travail des explosifs a examiné le document informel INF.21 soumis par l’IME, dans lequel il était proposé de modi</w:t>
      </w:r>
      <w:r w:rsidR="006672DA">
        <w:rPr>
          <w:lang w:val="fr-FR"/>
        </w:rPr>
        <w:t>fier la disposition spéciale SP </w:t>
      </w:r>
      <w:r w:rsidR="00E02DB7" w:rsidRPr="00E02DB7">
        <w:rPr>
          <w:lang w:val="fr-FR"/>
        </w:rPr>
        <w:t>370 de manière à indiquer plus clairement les substances auxquelles le N</w:t>
      </w:r>
      <w:r w:rsidR="00E02DB7" w:rsidRPr="006672DA">
        <w:rPr>
          <w:lang w:val="fr-FR"/>
        </w:rPr>
        <w:t>o</w:t>
      </w:r>
      <w:r w:rsidR="006672DA">
        <w:rPr>
          <w:lang w:val="fr-FR"/>
        </w:rPr>
        <w:t> ONU </w:t>
      </w:r>
      <w:r w:rsidR="00E02DB7" w:rsidRPr="00E02DB7">
        <w:rPr>
          <w:lang w:val="fr-FR"/>
        </w:rPr>
        <w:t>0222 s’appliquait et celles auxquelles cette rubrique ne s’appliquait pas. Certains experts ont appuyé cette proposition, d’autres ont dit qu’ils ne voyaient ni la nécessité d’une modificatio</w:t>
      </w:r>
      <w:r w:rsidR="006672DA">
        <w:rPr>
          <w:lang w:val="fr-FR"/>
        </w:rPr>
        <w:t>n de la disposition spéciale SP </w:t>
      </w:r>
      <w:r w:rsidR="00E02DB7" w:rsidRPr="00E02DB7">
        <w:rPr>
          <w:lang w:val="fr-FR"/>
        </w:rPr>
        <w:t>370 ni son utilité, mais qu’ils ne s’y opposeraient vraisemblablement pas étant donné que la modification proposée ne devrait pas avoir d’incidences négatives. En outre, il a été suggéré</w:t>
      </w:r>
      <w:r w:rsidR="006672DA">
        <w:rPr>
          <w:lang w:val="fr-FR"/>
        </w:rPr>
        <w:t xml:space="preserve"> que la disposition spéciale SP </w:t>
      </w:r>
      <w:r w:rsidR="00E02DB7" w:rsidRPr="00E02DB7">
        <w:rPr>
          <w:lang w:val="fr-FR"/>
        </w:rPr>
        <w:t>370 soit modifiée de manière à indiquer expressément les produits auxquels le N</w:t>
      </w:r>
      <w:r w:rsidR="00E02DB7" w:rsidRPr="006672DA">
        <w:rPr>
          <w:lang w:val="fr-FR"/>
        </w:rPr>
        <w:t>o</w:t>
      </w:r>
      <w:r w:rsidR="006672DA">
        <w:rPr>
          <w:lang w:val="fr-FR"/>
        </w:rPr>
        <w:t> ONU </w:t>
      </w:r>
      <w:r w:rsidR="00E02DB7" w:rsidRPr="00E02DB7">
        <w:rPr>
          <w:lang w:val="fr-FR"/>
        </w:rPr>
        <w:t>0222 ne s’appliquait pas</w:t>
      </w:r>
      <w:r w:rsidR="006672DA">
        <w:rPr>
          <w:rStyle w:val="FootnoteReference"/>
        </w:rPr>
        <w:footnoteReference w:id="6"/>
      </w:r>
      <w:r w:rsidR="00E02DB7" w:rsidRPr="00E02DB7">
        <w:rPr>
          <w:lang w:val="fr-FR"/>
        </w:rPr>
        <w:t>.</w:t>
      </w:r>
    </w:p>
    <w:p w:rsidR="00E02DB7" w:rsidRPr="00E02DB7" w:rsidRDefault="00E02DB7" w:rsidP="006672DA">
      <w:pPr>
        <w:pStyle w:val="HChG"/>
        <w:rPr>
          <w:lang w:val="fr-FR"/>
        </w:rPr>
      </w:pPr>
      <w:r w:rsidRPr="00E02DB7">
        <w:rPr>
          <w:lang w:val="fr-FR"/>
        </w:rPr>
        <w:tab/>
      </w:r>
      <w:r w:rsidRPr="00E02DB7">
        <w:rPr>
          <w:lang w:val="fr-FR"/>
        </w:rPr>
        <w:tab/>
        <w:t>Examen</w:t>
      </w:r>
    </w:p>
    <w:p w:rsidR="00E02DB7" w:rsidRPr="00E02DB7" w:rsidRDefault="00C72629" w:rsidP="00C72629">
      <w:pPr>
        <w:pStyle w:val="SingleTxtG"/>
        <w:rPr>
          <w:lang w:val="fr-FR"/>
        </w:rPr>
      </w:pPr>
      <w:r>
        <w:rPr>
          <w:lang w:val="fr-FR"/>
        </w:rPr>
        <w:t>5.</w:t>
      </w:r>
      <w:r>
        <w:rPr>
          <w:lang w:val="fr-FR"/>
        </w:rPr>
        <w:tab/>
      </w:r>
      <w:r w:rsidR="00E02DB7" w:rsidRPr="00E02DB7">
        <w:rPr>
          <w:lang w:val="fr-FR"/>
        </w:rPr>
        <w:t>Cette rubrique étant inscrite dans la Liste des marcha</w:t>
      </w:r>
      <w:r w:rsidR="006672DA">
        <w:rPr>
          <w:lang w:val="fr-FR"/>
        </w:rPr>
        <w:t>ndises dangereuses, au chapitre </w:t>
      </w:r>
      <w:r w:rsidR="00E02DB7" w:rsidRPr="00E02DB7">
        <w:rPr>
          <w:lang w:val="fr-FR"/>
        </w:rPr>
        <w:t>3.2 du Règlement type pour le transport des marchandises dangereuses, certaines autorités sont amenées à y recourir puisqu’elle concerne un produit chimique (le nitrate d’ammonium) sensible sur le plan de la sûreté.</w:t>
      </w:r>
    </w:p>
    <w:p w:rsidR="00E02DB7" w:rsidRPr="00E02DB7" w:rsidRDefault="00C72629" w:rsidP="00C72629">
      <w:pPr>
        <w:pStyle w:val="SingleTxtG"/>
        <w:rPr>
          <w:lang w:val="fr-FR"/>
        </w:rPr>
      </w:pPr>
      <w:r>
        <w:rPr>
          <w:lang w:val="fr-FR"/>
        </w:rPr>
        <w:t>6.</w:t>
      </w:r>
      <w:r>
        <w:rPr>
          <w:lang w:val="fr-FR"/>
        </w:rPr>
        <w:tab/>
      </w:r>
      <w:r w:rsidR="00E02DB7" w:rsidRPr="00E02DB7">
        <w:rPr>
          <w:lang w:val="fr-FR"/>
        </w:rPr>
        <w:t>Aux terme</w:t>
      </w:r>
      <w:r w:rsidR="00A9739F">
        <w:rPr>
          <w:lang w:val="fr-FR"/>
        </w:rPr>
        <w:t>s de la disposition spéciale SP </w:t>
      </w:r>
      <w:r w:rsidR="00E02DB7" w:rsidRPr="00E02DB7">
        <w:rPr>
          <w:lang w:val="fr-FR"/>
        </w:rPr>
        <w:t>370, qui ne vise que le N</w:t>
      </w:r>
      <w:r w:rsidR="00E02DB7" w:rsidRPr="00A9739F">
        <w:rPr>
          <w:lang w:val="fr-FR"/>
        </w:rPr>
        <w:t>o</w:t>
      </w:r>
      <w:r w:rsidR="00A9739F">
        <w:rPr>
          <w:lang w:val="fr-FR"/>
        </w:rPr>
        <w:t> ONU </w:t>
      </w:r>
      <w:r w:rsidR="00E02DB7" w:rsidRPr="00E02DB7">
        <w:rPr>
          <w:lang w:val="fr-FR"/>
        </w:rPr>
        <w:t>0222, celle-ci s’</w:t>
      </w:r>
      <w:r w:rsidR="00A9739F">
        <w:rPr>
          <w:lang w:val="fr-FR"/>
        </w:rPr>
        <w:t>applique </w:t>
      </w:r>
      <w:r w:rsidR="00E02DB7" w:rsidRPr="00E02DB7">
        <w:rPr>
          <w:lang w:val="fr-FR"/>
        </w:rPr>
        <w:t xml:space="preserve">: </w:t>
      </w:r>
      <w:r w:rsidR="00A9739F">
        <w:rPr>
          <w:lang w:val="fr-FR"/>
        </w:rPr>
        <w:t>« </w:t>
      </w:r>
      <w:r w:rsidR="00E02DB7" w:rsidRPr="00E02DB7">
        <w:rPr>
          <w:lang w:val="fr-FR"/>
        </w:rPr>
        <w:t>Au nitrate d’ammonium contenant plus de 0,2</w:t>
      </w:r>
      <w:r w:rsidR="00A9739F">
        <w:rPr>
          <w:lang w:val="fr-FR"/>
        </w:rPr>
        <w:t> </w:t>
      </w:r>
      <w:r w:rsidR="00E02DB7" w:rsidRPr="00E02DB7">
        <w:rPr>
          <w:lang w:val="fr-FR"/>
        </w:rPr>
        <w:t>% de matière combustible, y compris les matières organiques exprimées en équivalent</w:t>
      </w:r>
      <w:r w:rsidR="00FB3025">
        <w:rPr>
          <w:lang w:val="fr-FR"/>
        </w:rPr>
        <w:t>-</w:t>
      </w:r>
      <w:r w:rsidR="00E02DB7" w:rsidRPr="00E02DB7">
        <w:rPr>
          <w:lang w:val="fr-FR"/>
        </w:rPr>
        <w:t>carbone, à l’exclusion de toute autre matière</w:t>
      </w:r>
      <w:r w:rsidR="00A9739F">
        <w:rPr>
          <w:lang w:val="fr-FR"/>
        </w:rPr>
        <w:t> </w:t>
      </w:r>
      <w:r w:rsidR="00E02DB7" w:rsidRPr="00E02DB7">
        <w:rPr>
          <w:lang w:val="fr-FR"/>
        </w:rPr>
        <w:t>; et au nitrate d’ammonium ne contenant pas plus de 0,2</w:t>
      </w:r>
      <w:r w:rsidR="00A9739F">
        <w:rPr>
          <w:lang w:val="fr-FR"/>
        </w:rPr>
        <w:t> </w:t>
      </w:r>
      <w:r w:rsidR="00E02DB7" w:rsidRPr="00E02DB7">
        <w:rPr>
          <w:lang w:val="fr-FR"/>
        </w:rPr>
        <w:t>% de matière combustible, y compris les matières organiques exp</w:t>
      </w:r>
      <w:r w:rsidR="00FB3025">
        <w:rPr>
          <w:lang w:val="fr-FR"/>
        </w:rPr>
        <w:t>rimées en équivalent</w:t>
      </w:r>
      <w:r w:rsidR="00FB3025">
        <w:rPr>
          <w:lang w:val="fr-FR"/>
        </w:rPr>
        <w:noBreakHyphen/>
      </w:r>
      <w:r w:rsidR="00E02DB7" w:rsidRPr="00E02DB7">
        <w:rPr>
          <w:lang w:val="fr-FR"/>
        </w:rPr>
        <w:t>carbone, à l’exclusion de toute autre matière, lorsqu’il donne un résultat positif selon la série d’épreuves 2 (...)</w:t>
      </w:r>
      <w:r w:rsidR="00A9739F">
        <w:rPr>
          <w:lang w:val="fr-FR"/>
        </w:rPr>
        <w:t> »</w:t>
      </w:r>
      <w:r w:rsidR="00E02DB7" w:rsidRPr="00E02DB7">
        <w:rPr>
          <w:lang w:val="fr-FR"/>
        </w:rPr>
        <w:t xml:space="preserve">. </w:t>
      </w:r>
    </w:p>
    <w:p w:rsidR="00E02DB7" w:rsidRPr="00E02DB7" w:rsidRDefault="00C72629" w:rsidP="00C72629">
      <w:pPr>
        <w:pStyle w:val="SingleTxtG"/>
        <w:rPr>
          <w:lang w:val="fr-FR"/>
        </w:rPr>
      </w:pPr>
      <w:r>
        <w:rPr>
          <w:lang w:val="fr-FR"/>
        </w:rPr>
        <w:t>7.</w:t>
      </w:r>
      <w:r>
        <w:rPr>
          <w:lang w:val="fr-FR"/>
        </w:rPr>
        <w:tab/>
      </w:r>
      <w:r w:rsidR="00E02DB7" w:rsidRPr="00E02DB7">
        <w:rPr>
          <w:lang w:val="fr-FR"/>
        </w:rPr>
        <w:t>Le mélange de nitrate d’ammonium et de fuel-oil (ANFO), notamment le diesel, servant à la fabrication des explosifs affectés à la division 1.5 est un produit commercial et il est classé et transporté sous le N</w:t>
      </w:r>
      <w:r w:rsidR="00E02DB7" w:rsidRPr="00FB3025">
        <w:rPr>
          <w:lang w:val="fr-FR"/>
        </w:rPr>
        <w:t>o </w:t>
      </w:r>
      <w:r w:rsidR="00FB3025">
        <w:rPr>
          <w:lang w:val="fr-FR"/>
        </w:rPr>
        <w:t>ONU </w:t>
      </w:r>
      <w:r w:rsidR="00E02DB7" w:rsidRPr="00E02DB7">
        <w:rPr>
          <w:lang w:val="fr-FR"/>
        </w:rPr>
        <w:t>0331 (1.5D) ou sous le N</w:t>
      </w:r>
      <w:r w:rsidR="00E02DB7" w:rsidRPr="00FB3025">
        <w:rPr>
          <w:lang w:val="fr-FR"/>
        </w:rPr>
        <w:t>o </w:t>
      </w:r>
      <w:r w:rsidR="00E02DB7" w:rsidRPr="00E02DB7">
        <w:rPr>
          <w:lang w:val="fr-FR"/>
        </w:rPr>
        <w:t>ONU 0082 (1.1D). Toutefois, étant donné</w:t>
      </w:r>
      <w:r w:rsidR="00FB3025">
        <w:rPr>
          <w:lang w:val="fr-FR"/>
        </w:rPr>
        <w:t xml:space="preserve"> que la disposition spéciale SP </w:t>
      </w:r>
      <w:r w:rsidR="00E02DB7" w:rsidRPr="00E02DB7">
        <w:rPr>
          <w:lang w:val="fr-FR"/>
        </w:rPr>
        <w:t>370 peut également s’appliquer à un tel mélange, celui-ci pourrait aussi relever du N</w:t>
      </w:r>
      <w:r w:rsidR="00E02DB7" w:rsidRPr="00FB3025">
        <w:rPr>
          <w:lang w:val="fr-FR"/>
        </w:rPr>
        <w:t>o</w:t>
      </w:r>
      <w:r w:rsidR="00FB3025">
        <w:rPr>
          <w:lang w:val="fr-FR"/>
        </w:rPr>
        <w:t> </w:t>
      </w:r>
      <w:r w:rsidR="00E02DB7" w:rsidRPr="00E02DB7">
        <w:rPr>
          <w:lang w:val="fr-FR"/>
        </w:rPr>
        <w:t>ONU 0222. Ainsi que l’a confirmé le Groupe de travail des explosifs à la cinquante-deuxième session, le N</w:t>
      </w:r>
      <w:r w:rsidR="00E02DB7" w:rsidRPr="00FB3025">
        <w:rPr>
          <w:lang w:val="fr-FR"/>
        </w:rPr>
        <w:t>o</w:t>
      </w:r>
      <w:r w:rsidR="00FB3025">
        <w:rPr>
          <w:lang w:val="fr-FR"/>
        </w:rPr>
        <w:t> </w:t>
      </w:r>
      <w:r w:rsidR="00E02DB7" w:rsidRPr="00E02DB7">
        <w:rPr>
          <w:lang w:val="fr-FR"/>
        </w:rPr>
        <w:t>ONU 0222 correspond à des produits qui ne sont pas fabriqués à des fins commerciales et cette rubrique devrait être réservée à des fins spéciales comme indiqué a</w:t>
      </w:r>
      <w:r w:rsidR="00FB3025">
        <w:rPr>
          <w:lang w:val="fr-FR"/>
        </w:rPr>
        <w:t>u paragraphe </w:t>
      </w:r>
      <w:r w:rsidR="00E02DB7" w:rsidRPr="00E02DB7">
        <w:rPr>
          <w:lang w:val="fr-FR"/>
        </w:rPr>
        <w:t>2 ci</w:t>
      </w:r>
      <w:r w:rsidR="00FB3025">
        <w:rPr>
          <w:lang w:val="fr-FR"/>
        </w:rPr>
        <w:noBreakHyphen/>
      </w:r>
      <w:r w:rsidR="00E02DB7" w:rsidRPr="00E02DB7">
        <w:rPr>
          <w:lang w:val="fr-FR"/>
        </w:rPr>
        <w:t>dessus. Par conséquent, bien que ce soit possible, assigner un mélange nitrate-fuel fabriqué à des fins commerciales au N</w:t>
      </w:r>
      <w:r w:rsidR="00E02DB7" w:rsidRPr="002F0FB7">
        <w:rPr>
          <w:lang w:val="fr-FR"/>
        </w:rPr>
        <w:t>o</w:t>
      </w:r>
      <w:r w:rsidR="002F0FB7">
        <w:rPr>
          <w:lang w:val="fr-FR"/>
        </w:rPr>
        <w:t> ONU </w:t>
      </w:r>
      <w:r w:rsidR="00E02DB7" w:rsidRPr="00E02DB7">
        <w:rPr>
          <w:lang w:val="fr-FR"/>
        </w:rPr>
        <w:t>0222 serait une erreur puisque cette rubrique doit être réservée aux produits non commerciaux fabriqués à des fins particulières.</w:t>
      </w:r>
    </w:p>
    <w:p w:rsidR="00E02DB7" w:rsidRPr="00E02DB7" w:rsidRDefault="00C72629" w:rsidP="00C72629">
      <w:pPr>
        <w:pStyle w:val="SingleTxtG"/>
        <w:rPr>
          <w:lang w:val="fr-FR"/>
        </w:rPr>
      </w:pPr>
      <w:r>
        <w:rPr>
          <w:lang w:val="fr-FR"/>
        </w:rPr>
        <w:t>8.</w:t>
      </w:r>
      <w:r>
        <w:rPr>
          <w:lang w:val="fr-FR"/>
        </w:rPr>
        <w:tab/>
      </w:r>
      <w:r w:rsidR="00E02DB7" w:rsidRPr="00E02DB7">
        <w:rPr>
          <w:lang w:val="fr-FR"/>
        </w:rPr>
        <w:t>En outre, plusieurs autres rubriques de la Liste des marchandises dangereuses sont consacrées au nitrate d’ammonium. Toutefois, comme la Liste est organisée par numéros ONU, le N</w:t>
      </w:r>
      <w:r w:rsidR="00E02DB7" w:rsidRPr="002F0FB7">
        <w:rPr>
          <w:lang w:val="fr-FR"/>
        </w:rPr>
        <w:t>o</w:t>
      </w:r>
      <w:r w:rsidR="002F0FB7">
        <w:rPr>
          <w:lang w:val="fr-FR"/>
        </w:rPr>
        <w:t> </w:t>
      </w:r>
      <w:r w:rsidR="00E02DB7" w:rsidRPr="00E02DB7">
        <w:rPr>
          <w:lang w:val="fr-FR"/>
        </w:rPr>
        <w:t>ONU</w:t>
      </w:r>
      <w:r w:rsidR="002F0FB7">
        <w:rPr>
          <w:lang w:val="fr-FR"/>
        </w:rPr>
        <w:t> </w:t>
      </w:r>
      <w:r w:rsidR="00E02DB7" w:rsidRPr="00E02DB7">
        <w:rPr>
          <w:lang w:val="fr-FR"/>
        </w:rPr>
        <w:t>0222 est le premier résultat que l’on obtient si l’on fait une recherche portant sur le nitrate d’ammonium. Il est fort probable qu’une personne cherchant le nitrate d’ammonium dans la Liste s’arrête au premier résultat, en particulier si elle ne connaît pas bien les systèmes de classification dans le domaine des transports, et pense à tort que le nitrate d’ammonium ne relève que du N</w:t>
      </w:r>
      <w:r w:rsidR="00E02DB7" w:rsidRPr="002F0FB7">
        <w:rPr>
          <w:lang w:val="fr-FR"/>
        </w:rPr>
        <w:t>o</w:t>
      </w:r>
      <w:r w:rsidR="002F0FB7">
        <w:rPr>
          <w:lang w:val="fr-FR"/>
        </w:rPr>
        <w:t> ONU </w:t>
      </w:r>
      <w:r w:rsidR="00E02DB7" w:rsidRPr="00E02DB7">
        <w:rPr>
          <w:lang w:val="fr-FR"/>
        </w:rPr>
        <w:t>0222. Le problème a déjà été constaté par certains organismes de réglementation des États-Unis d’Amérique. Une simple explication aiderait les fabricants d’explosifs à lever les incertitudes concernant les produits auxquels s’applique le N</w:t>
      </w:r>
      <w:r w:rsidR="00E02DB7" w:rsidRPr="002F0FB7">
        <w:rPr>
          <w:lang w:val="fr-FR"/>
        </w:rPr>
        <w:t>o</w:t>
      </w:r>
      <w:r w:rsidR="002F0FB7">
        <w:rPr>
          <w:lang w:val="fr-FR"/>
        </w:rPr>
        <w:t> ONU </w:t>
      </w:r>
      <w:r w:rsidR="00E02DB7" w:rsidRPr="00E02DB7">
        <w:rPr>
          <w:lang w:val="fr-FR"/>
        </w:rPr>
        <w:t>0222.</w:t>
      </w:r>
    </w:p>
    <w:p w:rsidR="00E02DB7" w:rsidRPr="00E02DB7" w:rsidRDefault="00C72629" w:rsidP="00C72629">
      <w:pPr>
        <w:pStyle w:val="SingleTxtG"/>
        <w:rPr>
          <w:lang w:val="fr-FR"/>
        </w:rPr>
      </w:pPr>
      <w:r>
        <w:rPr>
          <w:lang w:val="fr-FR"/>
        </w:rPr>
        <w:lastRenderedPageBreak/>
        <w:t>9.</w:t>
      </w:r>
      <w:r>
        <w:rPr>
          <w:lang w:val="fr-FR"/>
        </w:rPr>
        <w:tab/>
      </w:r>
      <w:r w:rsidR="00E02DB7" w:rsidRPr="00E02DB7">
        <w:rPr>
          <w:lang w:val="fr-FR"/>
        </w:rPr>
        <w:t>Pour éviter toute confusion, il est proposé de modi</w:t>
      </w:r>
      <w:r w:rsidR="002F0FB7">
        <w:rPr>
          <w:lang w:val="fr-FR"/>
        </w:rPr>
        <w:t>fier la disposition spéciale SP </w:t>
      </w:r>
      <w:r w:rsidR="00E02DB7" w:rsidRPr="00E02DB7">
        <w:rPr>
          <w:lang w:val="fr-FR"/>
        </w:rPr>
        <w:t>370, qui ne s’applique qu’au N</w:t>
      </w:r>
      <w:r w:rsidR="00E02DB7" w:rsidRPr="002F0FB7">
        <w:rPr>
          <w:lang w:val="fr-FR"/>
        </w:rPr>
        <w:t>o</w:t>
      </w:r>
      <w:r w:rsidR="002F0FB7">
        <w:rPr>
          <w:lang w:val="fr-FR"/>
        </w:rPr>
        <w:t> ONU </w:t>
      </w:r>
      <w:r w:rsidR="00E02DB7" w:rsidRPr="00E02DB7">
        <w:rPr>
          <w:lang w:val="fr-FR"/>
        </w:rPr>
        <w:t xml:space="preserve">0222, de manière à énoncer plus clairement à quels produits elle s’applique. </w:t>
      </w:r>
    </w:p>
    <w:p w:rsidR="00E02DB7" w:rsidRPr="00E02DB7" w:rsidRDefault="00C72629" w:rsidP="00C72629">
      <w:pPr>
        <w:pStyle w:val="SingleTxtG"/>
        <w:rPr>
          <w:lang w:val="fr-FR"/>
        </w:rPr>
      </w:pPr>
      <w:r>
        <w:rPr>
          <w:lang w:val="fr-FR"/>
        </w:rPr>
        <w:t>10.</w:t>
      </w:r>
      <w:r>
        <w:rPr>
          <w:lang w:val="fr-FR"/>
        </w:rPr>
        <w:tab/>
      </w:r>
      <w:r w:rsidR="00E02DB7" w:rsidRPr="00E02DB7">
        <w:rPr>
          <w:lang w:val="fr-FR"/>
        </w:rPr>
        <w:t>On notera aussi que dans le libellé actue</w:t>
      </w:r>
      <w:r w:rsidR="002F0FB7">
        <w:rPr>
          <w:lang w:val="fr-FR"/>
        </w:rPr>
        <w:t>l de la disposition spéciale SP </w:t>
      </w:r>
      <w:r w:rsidR="00E02DB7" w:rsidRPr="00E02DB7">
        <w:rPr>
          <w:lang w:val="fr-FR"/>
        </w:rPr>
        <w:t xml:space="preserve">370, la conjonction </w:t>
      </w:r>
      <w:r w:rsidR="002F0FB7">
        <w:rPr>
          <w:lang w:val="fr-FR"/>
        </w:rPr>
        <w:t>« </w:t>
      </w:r>
      <w:r w:rsidR="00E02DB7" w:rsidRPr="00E02DB7">
        <w:rPr>
          <w:lang w:val="fr-FR"/>
        </w:rPr>
        <w:t>et</w:t>
      </w:r>
      <w:r w:rsidR="002F0FB7">
        <w:rPr>
          <w:lang w:val="fr-FR"/>
        </w:rPr>
        <w:t> »</w:t>
      </w:r>
      <w:r w:rsidR="00E02DB7" w:rsidRPr="00E02DB7">
        <w:rPr>
          <w:lang w:val="fr-FR"/>
        </w:rPr>
        <w:t xml:space="preserve"> relie les deux critères à remplir qui sont énumérés. Cette disposition spéciale s’appliquant au nitrate d’ammonium lorsqu’il répond à l’un des deux critères énoncés, l’IME estime que la conjonction </w:t>
      </w:r>
      <w:r w:rsidR="00CC0F66">
        <w:rPr>
          <w:lang w:val="fr-FR"/>
        </w:rPr>
        <w:t>« </w:t>
      </w:r>
      <w:r w:rsidR="00E02DB7" w:rsidRPr="00E02DB7">
        <w:rPr>
          <w:lang w:val="fr-FR"/>
        </w:rPr>
        <w:t>ou</w:t>
      </w:r>
      <w:r w:rsidR="00CC0F66">
        <w:rPr>
          <w:lang w:val="fr-FR"/>
        </w:rPr>
        <w:t> »</w:t>
      </w:r>
      <w:r w:rsidR="00E02DB7" w:rsidRPr="00E02DB7">
        <w:rPr>
          <w:lang w:val="fr-FR"/>
        </w:rPr>
        <w:t xml:space="preserve"> serait plus indiquée. </w:t>
      </w:r>
    </w:p>
    <w:p w:rsidR="00E02DB7" w:rsidRPr="00E02DB7" w:rsidRDefault="00E02DB7" w:rsidP="00E02DB7">
      <w:pPr>
        <w:pStyle w:val="HChG"/>
        <w:rPr>
          <w:lang w:val="fr-FR"/>
        </w:rPr>
      </w:pPr>
      <w:r w:rsidRPr="00E02DB7">
        <w:rPr>
          <w:lang w:val="fr-FR"/>
        </w:rPr>
        <w:tab/>
      </w:r>
      <w:r w:rsidRPr="00E02DB7">
        <w:rPr>
          <w:lang w:val="fr-FR"/>
        </w:rPr>
        <w:tab/>
        <w:t>Proposition</w:t>
      </w:r>
    </w:p>
    <w:p w:rsidR="00E02DB7" w:rsidRPr="00E02DB7" w:rsidRDefault="00C72629" w:rsidP="00C72629">
      <w:pPr>
        <w:pStyle w:val="SingleTxtG"/>
        <w:rPr>
          <w:lang w:val="fr-FR"/>
        </w:rPr>
      </w:pPr>
      <w:r>
        <w:rPr>
          <w:lang w:val="fr-FR"/>
        </w:rPr>
        <w:t>11.</w:t>
      </w:r>
      <w:r>
        <w:rPr>
          <w:lang w:val="fr-FR"/>
        </w:rPr>
        <w:tab/>
      </w:r>
      <w:r w:rsidR="00E02DB7" w:rsidRPr="00E02DB7">
        <w:rPr>
          <w:lang w:val="fr-FR"/>
        </w:rPr>
        <w:t xml:space="preserve">Modifier la </w:t>
      </w:r>
      <w:r w:rsidR="00CC0F66">
        <w:rPr>
          <w:lang w:val="fr-FR"/>
        </w:rPr>
        <w:t>disposition spéciale SP </w:t>
      </w:r>
      <w:r w:rsidR="00E02DB7" w:rsidRPr="00E02DB7">
        <w:rPr>
          <w:lang w:val="fr-FR"/>
        </w:rPr>
        <w:t>370 comme suit :</w:t>
      </w:r>
    </w:p>
    <w:p w:rsidR="00E02DB7" w:rsidRPr="00E02DB7" w:rsidRDefault="00CC0F66" w:rsidP="00CC0F66">
      <w:pPr>
        <w:pStyle w:val="SingleTxtG"/>
        <w:ind w:left="2268" w:hanging="567"/>
        <w:rPr>
          <w:lang w:val="fr-FR"/>
        </w:rPr>
      </w:pPr>
      <w:r>
        <w:rPr>
          <w:lang w:val="fr-FR"/>
        </w:rPr>
        <w:t>370</w:t>
      </w:r>
      <w:r w:rsidR="00E02DB7" w:rsidRPr="00E02DB7">
        <w:rPr>
          <w:lang w:val="fr-FR"/>
        </w:rPr>
        <w:tab/>
        <w:t xml:space="preserve">Cette rubrique </w:t>
      </w:r>
      <w:r w:rsidR="00E02DB7" w:rsidRPr="00E02DB7">
        <w:rPr>
          <w:u w:val="single"/>
          <w:lang w:val="fr-FR"/>
        </w:rPr>
        <w:t>ne</w:t>
      </w:r>
      <w:r w:rsidR="00E02DB7" w:rsidRPr="00E02DB7">
        <w:rPr>
          <w:lang w:val="fr-FR"/>
        </w:rPr>
        <w:t xml:space="preserve"> s’applique </w:t>
      </w:r>
      <w:r w:rsidR="00E02DB7" w:rsidRPr="00E02DB7">
        <w:rPr>
          <w:u w:val="single"/>
          <w:lang w:val="fr-FR"/>
        </w:rPr>
        <w:t>au nitrate d’ammonium que s’il répond à l’</w:t>
      </w:r>
      <w:r>
        <w:rPr>
          <w:u w:val="single"/>
          <w:lang w:val="fr-FR"/>
        </w:rPr>
        <w:t>un des critères suivants </w:t>
      </w:r>
      <w:r w:rsidR="00E02DB7" w:rsidRPr="00E02DB7">
        <w:rPr>
          <w:u w:val="single"/>
          <w:lang w:val="fr-FR"/>
        </w:rPr>
        <w:t>:</w:t>
      </w:r>
      <w:r w:rsidR="00E02DB7" w:rsidRPr="00E02DB7">
        <w:rPr>
          <w:lang w:val="fr-FR"/>
        </w:rPr>
        <w:t xml:space="preserve"> </w:t>
      </w:r>
    </w:p>
    <w:p w:rsidR="00E02DB7" w:rsidRPr="00E02DB7" w:rsidRDefault="00CC0F66" w:rsidP="00CC0F66">
      <w:pPr>
        <w:pStyle w:val="SingleTxtG"/>
        <w:ind w:left="2835" w:hanging="567"/>
        <w:rPr>
          <w:lang w:val="fr-FR"/>
        </w:rPr>
      </w:pPr>
      <w:r>
        <w:rPr>
          <w:lang w:val="fr-FR"/>
        </w:rPr>
        <w:t>−</w:t>
      </w:r>
      <w:r>
        <w:rPr>
          <w:lang w:val="fr-FR"/>
        </w:rPr>
        <w:tab/>
      </w:r>
      <w:r w:rsidR="00E02DB7" w:rsidRPr="00E02DB7">
        <w:rPr>
          <w:lang w:val="fr-FR"/>
        </w:rPr>
        <w:t xml:space="preserve">Au </w:t>
      </w:r>
      <w:r w:rsidR="00E02DB7" w:rsidRPr="00CC0F66">
        <w:rPr>
          <w:lang w:val="fr-FR"/>
        </w:rPr>
        <w:t>N</w:t>
      </w:r>
      <w:r w:rsidR="00E02DB7" w:rsidRPr="00E02DB7">
        <w:rPr>
          <w:lang w:val="fr-FR"/>
        </w:rPr>
        <w:t>itrate d’ammonium contenant plus de 0,2</w:t>
      </w:r>
      <w:r>
        <w:rPr>
          <w:lang w:val="fr-FR"/>
        </w:rPr>
        <w:t> </w:t>
      </w:r>
      <w:r w:rsidR="00E02DB7" w:rsidRPr="00E02DB7">
        <w:rPr>
          <w:lang w:val="fr-FR"/>
        </w:rPr>
        <w:t>% de matière combustible, y compris les matières organiques exprimées en équivalent</w:t>
      </w:r>
      <w:r w:rsidR="00FB3025">
        <w:rPr>
          <w:lang w:val="fr-FR"/>
        </w:rPr>
        <w:t>-</w:t>
      </w:r>
      <w:r w:rsidR="00E02DB7" w:rsidRPr="00E02DB7">
        <w:rPr>
          <w:lang w:val="fr-FR"/>
        </w:rPr>
        <w:t>carbone, à l’e</w:t>
      </w:r>
      <w:r>
        <w:rPr>
          <w:lang w:val="fr-FR"/>
        </w:rPr>
        <w:t>xclusion de toute autre matière </w:t>
      </w:r>
      <w:r w:rsidR="00E02DB7" w:rsidRPr="00E02DB7">
        <w:rPr>
          <w:lang w:val="fr-FR"/>
        </w:rPr>
        <w:t xml:space="preserve">; </w:t>
      </w:r>
      <w:r w:rsidR="00E02DB7" w:rsidRPr="00CC0F66">
        <w:rPr>
          <w:strike/>
          <w:lang w:val="fr-FR"/>
        </w:rPr>
        <w:t>et</w:t>
      </w:r>
      <w:r w:rsidR="00E02DB7" w:rsidRPr="000E641A">
        <w:rPr>
          <w:strike/>
          <w:lang w:val="fr-FR"/>
        </w:rPr>
        <w:t xml:space="preserve"> </w:t>
      </w:r>
      <w:r w:rsidR="00E02DB7" w:rsidRPr="00E02DB7">
        <w:rPr>
          <w:u w:val="single"/>
          <w:lang w:val="fr-FR"/>
        </w:rPr>
        <w:t>ou</w:t>
      </w:r>
    </w:p>
    <w:p w:rsidR="00E02DB7" w:rsidRPr="00E02DB7" w:rsidRDefault="00CC0F66" w:rsidP="00CC0F66">
      <w:pPr>
        <w:pStyle w:val="SingleTxtG"/>
        <w:ind w:left="2835" w:hanging="567"/>
        <w:rPr>
          <w:lang w:val="fr-FR"/>
        </w:rPr>
      </w:pPr>
      <w:r>
        <w:rPr>
          <w:lang w:val="fr-FR"/>
        </w:rPr>
        <w:t>−</w:t>
      </w:r>
      <w:r>
        <w:rPr>
          <w:lang w:val="fr-FR"/>
        </w:rPr>
        <w:tab/>
      </w:r>
      <w:r w:rsidR="00E02DB7" w:rsidRPr="00E02DB7">
        <w:rPr>
          <w:lang w:val="fr-FR"/>
        </w:rPr>
        <w:t xml:space="preserve">Au </w:t>
      </w:r>
      <w:r w:rsidR="00E02DB7" w:rsidRPr="000E641A">
        <w:rPr>
          <w:lang w:val="fr-FR"/>
        </w:rPr>
        <w:t>N</w:t>
      </w:r>
      <w:r w:rsidR="00E02DB7" w:rsidRPr="00E02DB7">
        <w:rPr>
          <w:lang w:val="fr-FR"/>
        </w:rPr>
        <w:t>itrate d’ammonium ne contenant pas plus de 0,2</w:t>
      </w:r>
      <w:r w:rsidR="000E641A">
        <w:rPr>
          <w:lang w:val="fr-FR"/>
        </w:rPr>
        <w:t> </w:t>
      </w:r>
      <w:r w:rsidR="00E02DB7" w:rsidRPr="00E02DB7">
        <w:rPr>
          <w:lang w:val="fr-FR"/>
        </w:rPr>
        <w:t>% de matière combustible, y compris les matières organiques exprimées en équivalent</w:t>
      </w:r>
      <w:r w:rsidR="00FB3025">
        <w:rPr>
          <w:lang w:val="fr-FR"/>
        </w:rPr>
        <w:t>-</w:t>
      </w:r>
      <w:r w:rsidR="00E02DB7" w:rsidRPr="00E02DB7">
        <w:rPr>
          <w:lang w:val="fr-FR"/>
        </w:rPr>
        <w:t>carbone, à l’exclusion de toute autre matière, lorsqu’il donne un résultat positif selon la série d’</w:t>
      </w:r>
      <w:r w:rsidR="000E641A">
        <w:rPr>
          <w:lang w:val="fr-FR"/>
        </w:rPr>
        <w:t>épreuves </w:t>
      </w:r>
      <w:r w:rsidR="00E02DB7" w:rsidRPr="00E02DB7">
        <w:rPr>
          <w:lang w:val="fr-FR"/>
        </w:rPr>
        <w:t>2 (voir la première partie du Manuel d’épreuves et de critères). Voir aussi N</w:t>
      </w:r>
      <w:r w:rsidR="00E02DB7" w:rsidRPr="000E641A">
        <w:rPr>
          <w:lang w:val="fr-FR"/>
        </w:rPr>
        <w:t>o </w:t>
      </w:r>
      <w:r w:rsidR="00E02DB7" w:rsidRPr="00E02DB7">
        <w:rPr>
          <w:lang w:val="fr-FR"/>
        </w:rPr>
        <w:t>ONU</w:t>
      </w:r>
      <w:r w:rsidR="000E641A">
        <w:rPr>
          <w:lang w:val="fr-FR"/>
        </w:rPr>
        <w:t> </w:t>
      </w:r>
      <w:r w:rsidR="00E02DB7" w:rsidRPr="00E02DB7">
        <w:rPr>
          <w:lang w:val="fr-FR"/>
        </w:rPr>
        <w:t xml:space="preserve">1942. </w:t>
      </w:r>
    </w:p>
    <w:p w:rsidR="00E02DB7" w:rsidRPr="00E02DB7" w:rsidRDefault="00E02DB7" w:rsidP="000E641A">
      <w:pPr>
        <w:pStyle w:val="SingleTxtG"/>
        <w:ind w:left="2268" w:firstLine="567"/>
        <w:rPr>
          <w:u w:val="single"/>
          <w:lang w:val="fr-FR"/>
        </w:rPr>
      </w:pPr>
      <w:r w:rsidRPr="00E02DB7">
        <w:rPr>
          <w:u w:val="single"/>
          <w:lang w:val="fr-FR"/>
        </w:rPr>
        <w:t xml:space="preserve">Cette rubrique ne doit pas être utilisée pour les explosifs de mine au nitrate d’ammonium relevant du </w:t>
      </w:r>
      <w:r w:rsidRPr="000E641A">
        <w:rPr>
          <w:u w:val="single"/>
          <w:lang w:val="fr-FR"/>
        </w:rPr>
        <w:t>No </w:t>
      </w:r>
      <w:r w:rsidR="000E641A" w:rsidRPr="000E641A">
        <w:rPr>
          <w:u w:val="single"/>
          <w:lang w:val="fr-FR"/>
        </w:rPr>
        <w:t>ONU </w:t>
      </w:r>
      <w:r w:rsidRPr="00E02DB7">
        <w:rPr>
          <w:u w:val="single"/>
          <w:lang w:val="fr-FR"/>
        </w:rPr>
        <w:t xml:space="preserve">0082 ou du </w:t>
      </w:r>
      <w:r w:rsidRPr="000E641A">
        <w:rPr>
          <w:u w:val="single"/>
          <w:lang w:val="fr-FR"/>
        </w:rPr>
        <w:t xml:space="preserve">No ONU </w:t>
      </w:r>
      <w:r w:rsidRPr="00E02DB7">
        <w:rPr>
          <w:u w:val="single"/>
          <w:lang w:val="fr-FR"/>
        </w:rPr>
        <w:t>0331, ni pour le nitrate d’ammonium pouvant être adéquatement classé dans une des rubriques ci-après :</w:t>
      </w:r>
    </w:p>
    <w:p w:rsidR="00E02DB7" w:rsidRPr="00E02DB7" w:rsidRDefault="000E641A" w:rsidP="00CC0F66">
      <w:pPr>
        <w:pStyle w:val="SingleTxtG"/>
        <w:ind w:left="2835" w:hanging="567"/>
        <w:rPr>
          <w:u w:val="single"/>
          <w:lang w:val="fr-FR"/>
        </w:rPr>
      </w:pPr>
      <w:r>
        <w:rPr>
          <w:lang w:val="fr-FR"/>
        </w:rPr>
        <w:t>−</w:t>
      </w:r>
      <w:r>
        <w:rPr>
          <w:lang w:val="fr-FR"/>
        </w:rPr>
        <w:tab/>
      </w:r>
      <w:r w:rsidR="00E02DB7" w:rsidRPr="00435D86">
        <w:rPr>
          <w:spacing w:val="-2"/>
          <w:u w:val="single"/>
          <w:lang w:val="fr-FR"/>
        </w:rPr>
        <w:t>No ONU 1942, NITRATE D’AMMONIUM contenant au plus 0,2</w:t>
      </w:r>
      <w:r w:rsidRPr="00435D86">
        <w:rPr>
          <w:spacing w:val="-2"/>
          <w:u w:val="single"/>
          <w:lang w:val="fr-FR"/>
        </w:rPr>
        <w:t> </w:t>
      </w:r>
      <w:r w:rsidR="00E02DB7" w:rsidRPr="00435D86">
        <w:rPr>
          <w:spacing w:val="-2"/>
          <w:u w:val="single"/>
          <w:lang w:val="fr-FR"/>
        </w:rPr>
        <w:t>% de matières combustibles, y compris les matières organiques exprimées en équivalent</w:t>
      </w:r>
      <w:r w:rsidR="00FB3025" w:rsidRPr="00435D86">
        <w:rPr>
          <w:spacing w:val="-2"/>
          <w:u w:val="single"/>
          <w:lang w:val="fr-FR"/>
        </w:rPr>
        <w:t>-</w:t>
      </w:r>
      <w:r w:rsidR="00E02DB7" w:rsidRPr="00435D86">
        <w:rPr>
          <w:spacing w:val="-2"/>
          <w:u w:val="single"/>
          <w:lang w:val="fr-FR"/>
        </w:rPr>
        <w:t>carbone, à l’exclusion de toute autre matière, 5.1</w:t>
      </w:r>
    </w:p>
    <w:p w:rsidR="00E02DB7" w:rsidRPr="00E02DB7" w:rsidRDefault="00435D86" w:rsidP="00CC0F66">
      <w:pPr>
        <w:pStyle w:val="SingleTxtG"/>
        <w:ind w:left="2835" w:hanging="567"/>
        <w:rPr>
          <w:u w:val="single"/>
          <w:lang w:val="fr-FR"/>
        </w:rPr>
      </w:pPr>
      <w:r>
        <w:rPr>
          <w:lang w:val="fr-FR"/>
        </w:rPr>
        <w:t>−</w:t>
      </w:r>
      <w:r>
        <w:rPr>
          <w:lang w:val="fr-FR"/>
        </w:rPr>
        <w:tab/>
      </w:r>
      <w:r w:rsidR="00E02DB7" w:rsidRPr="00E02DB7">
        <w:rPr>
          <w:u w:val="single"/>
          <w:lang w:val="fr-FR"/>
        </w:rPr>
        <w:t>N</w:t>
      </w:r>
      <w:r w:rsidR="00E02DB7" w:rsidRPr="00435D86">
        <w:rPr>
          <w:u w:val="single"/>
          <w:lang w:val="fr-FR"/>
        </w:rPr>
        <w:t>o </w:t>
      </w:r>
      <w:r w:rsidR="00E02DB7" w:rsidRPr="00E02DB7">
        <w:rPr>
          <w:u w:val="single"/>
          <w:lang w:val="fr-FR"/>
        </w:rPr>
        <w:t>ONU 2067, ENGRAIS</w:t>
      </w:r>
      <w:r w:rsidR="00E02DB7" w:rsidRPr="00435D86">
        <w:rPr>
          <w:u w:val="single"/>
          <w:lang w:val="fr-FR"/>
        </w:rPr>
        <w:t xml:space="preserve"> </w:t>
      </w:r>
      <w:r w:rsidR="00E02DB7" w:rsidRPr="00E02DB7">
        <w:rPr>
          <w:u w:val="single"/>
          <w:lang w:val="fr-FR"/>
        </w:rPr>
        <w:t>AU NITRATE D’AMMONIUM, 5.1</w:t>
      </w:r>
    </w:p>
    <w:p w:rsidR="00446FE5" w:rsidRDefault="00435D86" w:rsidP="00CC0F66">
      <w:pPr>
        <w:pStyle w:val="SingleTxtG"/>
        <w:ind w:left="2835" w:hanging="567"/>
        <w:rPr>
          <w:u w:val="single"/>
          <w:lang w:val="fr-FR"/>
        </w:rPr>
      </w:pPr>
      <w:r>
        <w:rPr>
          <w:lang w:val="fr-FR"/>
        </w:rPr>
        <w:t>−</w:t>
      </w:r>
      <w:r>
        <w:rPr>
          <w:lang w:val="fr-FR"/>
        </w:rPr>
        <w:tab/>
      </w:r>
      <w:r w:rsidR="00E02DB7" w:rsidRPr="00E02DB7">
        <w:rPr>
          <w:u w:val="single"/>
          <w:lang w:val="fr-FR"/>
        </w:rPr>
        <w:t>N</w:t>
      </w:r>
      <w:r w:rsidR="00E02DB7" w:rsidRPr="00435D86">
        <w:rPr>
          <w:u w:val="single"/>
          <w:lang w:val="fr-FR"/>
        </w:rPr>
        <w:t xml:space="preserve">o </w:t>
      </w:r>
      <w:r w:rsidR="00E02DB7" w:rsidRPr="00E02DB7">
        <w:rPr>
          <w:u w:val="single"/>
          <w:lang w:val="fr-FR"/>
        </w:rPr>
        <w:t>ONU 2071, ENGRAIS AU NITRATE D’AMMONIUM, 9</w:t>
      </w:r>
      <w:r>
        <w:rPr>
          <w:u w:val="single"/>
          <w:lang w:val="fr-FR"/>
        </w:rPr>
        <w:t>.</w:t>
      </w:r>
    </w:p>
    <w:p w:rsidR="00E02DB7" w:rsidRPr="00E02DB7" w:rsidRDefault="00E02DB7" w:rsidP="00E02DB7">
      <w:pPr>
        <w:pStyle w:val="SingleTxtG"/>
        <w:spacing w:before="240" w:after="0"/>
        <w:jc w:val="center"/>
        <w:rPr>
          <w:u w:val="single"/>
        </w:rPr>
      </w:pPr>
      <w:r>
        <w:rPr>
          <w:u w:val="single"/>
        </w:rPr>
        <w:tab/>
      </w:r>
      <w:r>
        <w:rPr>
          <w:u w:val="single"/>
        </w:rPr>
        <w:tab/>
      </w:r>
      <w:r>
        <w:rPr>
          <w:u w:val="single"/>
        </w:rPr>
        <w:tab/>
      </w:r>
    </w:p>
    <w:sectPr w:rsidR="00E02DB7" w:rsidRPr="00E02DB7" w:rsidSect="00E02DB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94B" w:rsidRDefault="009F594B" w:rsidP="00F95C08">
      <w:pPr>
        <w:spacing w:line="240" w:lineRule="auto"/>
      </w:pPr>
    </w:p>
  </w:endnote>
  <w:endnote w:type="continuationSeparator" w:id="0">
    <w:p w:rsidR="009F594B" w:rsidRPr="00AC3823" w:rsidRDefault="009F594B" w:rsidP="00AC3823">
      <w:pPr>
        <w:pStyle w:val="Footer"/>
      </w:pPr>
    </w:p>
  </w:endnote>
  <w:endnote w:type="continuationNotice" w:id="1">
    <w:p w:rsidR="009F594B" w:rsidRDefault="009F59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DB7" w:rsidRPr="00E02DB7" w:rsidRDefault="00E02DB7" w:rsidP="00E02DB7">
    <w:pPr>
      <w:pStyle w:val="Footer"/>
      <w:tabs>
        <w:tab w:val="right" w:pos="9638"/>
      </w:tabs>
    </w:pPr>
    <w:r w:rsidRPr="00E02DB7">
      <w:rPr>
        <w:b/>
        <w:sz w:val="18"/>
      </w:rPr>
      <w:fldChar w:fldCharType="begin"/>
    </w:r>
    <w:r w:rsidRPr="00E02DB7">
      <w:rPr>
        <w:b/>
        <w:sz w:val="18"/>
      </w:rPr>
      <w:instrText xml:space="preserve"> PAGE  \* MERGEFORMAT </w:instrText>
    </w:r>
    <w:r w:rsidRPr="00E02DB7">
      <w:rPr>
        <w:b/>
        <w:sz w:val="18"/>
      </w:rPr>
      <w:fldChar w:fldCharType="separate"/>
    </w:r>
    <w:r w:rsidR="00A36D04">
      <w:rPr>
        <w:b/>
        <w:noProof/>
        <w:sz w:val="18"/>
      </w:rPr>
      <w:t>2</w:t>
    </w:r>
    <w:r w:rsidRPr="00E02DB7">
      <w:rPr>
        <w:b/>
        <w:sz w:val="18"/>
      </w:rPr>
      <w:fldChar w:fldCharType="end"/>
    </w:r>
    <w:r>
      <w:rPr>
        <w:b/>
        <w:sz w:val="18"/>
      </w:rPr>
      <w:tab/>
    </w:r>
    <w:r>
      <w:t>GE.18-14017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DB7" w:rsidRPr="00E02DB7" w:rsidRDefault="00E02DB7" w:rsidP="00E02DB7">
    <w:pPr>
      <w:pStyle w:val="Footer"/>
      <w:tabs>
        <w:tab w:val="right" w:pos="9638"/>
      </w:tabs>
      <w:rPr>
        <w:b/>
        <w:sz w:val="18"/>
      </w:rPr>
    </w:pPr>
    <w:r>
      <w:t>GE.18-14017</w:t>
    </w:r>
    <w:r>
      <w:tab/>
    </w:r>
    <w:r w:rsidRPr="00E02DB7">
      <w:rPr>
        <w:b/>
        <w:sz w:val="18"/>
      </w:rPr>
      <w:fldChar w:fldCharType="begin"/>
    </w:r>
    <w:r w:rsidRPr="00E02DB7">
      <w:rPr>
        <w:b/>
        <w:sz w:val="18"/>
      </w:rPr>
      <w:instrText xml:space="preserve"> PAGE  \* MERGEFORMAT </w:instrText>
    </w:r>
    <w:r w:rsidRPr="00E02DB7">
      <w:rPr>
        <w:b/>
        <w:sz w:val="18"/>
      </w:rPr>
      <w:fldChar w:fldCharType="separate"/>
    </w:r>
    <w:r w:rsidR="00A36D04">
      <w:rPr>
        <w:b/>
        <w:noProof/>
        <w:sz w:val="18"/>
      </w:rPr>
      <w:t>3</w:t>
    </w:r>
    <w:r w:rsidRPr="00E02D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E02DB7" w:rsidRDefault="00E02DB7" w:rsidP="00E02DB7">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18-14017  (F)    240918    041018</w:t>
    </w:r>
    <w:r>
      <w:rPr>
        <w:sz w:val="20"/>
      </w:rPr>
      <w:br/>
    </w:r>
    <w:r w:rsidRPr="00E02DB7">
      <w:rPr>
        <w:rFonts w:ascii="C39T30Lfz" w:hAnsi="C39T30Lfz"/>
        <w:sz w:val="56"/>
      </w:rPr>
      <w:t></w:t>
    </w:r>
    <w:r w:rsidRPr="00E02DB7">
      <w:rPr>
        <w:rFonts w:ascii="C39T30Lfz" w:hAnsi="C39T30Lfz"/>
        <w:sz w:val="56"/>
      </w:rPr>
      <w:t></w:t>
    </w:r>
    <w:r w:rsidRPr="00E02DB7">
      <w:rPr>
        <w:rFonts w:ascii="C39T30Lfz" w:hAnsi="C39T30Lfz"/>
        <w:sz w:val="56"/>
      </w:rPr>
      <w:t></w:t>
    </w:r>
    <w:r w:rsidRPr="00E02DB7">
      <w:rPr>
        <w:rFonts w:ascii="C39T30Lfz" w:hAnsi="C39T30Lfz"/>
        <w:sz w:val="56"/>
      </w:rPr>
      <w:t></w:t>
    </w:r>
    <w:r w:rsidRPr="00E02DB7">
      <w:rPr>
        <w:rFonts w:ascii="C39T30Lfz" w:hAnsi="C39T30Lfz"/>
        <w:sz w:val="56"/>
      </w:rPr>
      <w:t></w:t>
    </w:r>
    <w:r w:rsidRPr="00E02DB7">
      <w:rPr>
        <w:rFonts w:ascii="C39T30Lfz" w:hAnsi="C39T30Lfz"/>
        <w:sz w:val="56"/>
      </w:rPr>
      <w:t></w:t>
    </w:r>
    <w:r w:rsidRPr="00E02DB7">
      <w:rPr>
        <w:rFonts w:ascii="C39T30Lfz" w:hAnsi="C39T30Lfz"/>
        <w:sz w:val="56"/>
      </w:rPr>
      <w:t></w:t>
    </w:r>
    <w:r w:rsidRPr="00E02DB7">
      <w:rPr>
        <w:rFonts w:ascii="C39T30Lfz" w:hAnsi="C39T30Lfz"/>
        <w:sz w:val="56"/>
      </w:rPr>
      <w:t></w:t>
    </w:r>
    <w:r w:rsidRPr="00E02DB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6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6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94B" w:rsidRPr="00AC3823" w:rsidRDefault="009F594B" w:rsidP="00AC3823">
      <w:pPr>
        <w:pStyle w:val="Footer"/>
        <w:tabs>
          <w:tab w:val="right" w:pos="2155"/>
        </w:tabs>
        <w:spacing w:after="80" w:line="240" w:lineRule="atLeast"/>
        <w:ind w:left="680"/>
        <w:rPr>
          <w:u w:val="single"/>
        </w:rPr>
      </w:pPr>
      <w:r>
        <w:rPr>
          <w:u w:val="single"/>
        </w:rPr>
        <w:tab/>
      </w:r>
    </w:p>
  </w:footnote>
  <w:footnote w:type="continuationSeparator" w:id="0">
    <w:p w:rsidR="009F594B" w:rsidRPr="00AC3823" w:rsidRDefault="009F594B" w:rsidP="00AC3823">
      <w:pPr>
        <w:pStyle w:val="Footer"/>
        <w:tabs>
          <w:tab w:val="right" w:pos="2155"/>
        </w:tabs>
        <w:spacing w:after="80" w:line="240" w:lineRule="atLeast"/>
        <w:ind w:left="680"/>
        <w:rPr>
          <w:u w:val="single"/>
        </w:rPr>
      </w:pPr>
      <w:r>
        <w:rPr>
          <w:u w:val="single"/>
        </w:rPr>
        <w:tab/>
      </w:r>
    </w:p>
  </w:footnote>
  <w:footnote w:type="continuationNotice" w:id="1">
    <w:p w:rsidR="009F594B" w:rsidRPr="00AC3823" w:rsidRDefault="009F594B">
      <w:pPr>
        <w:spacing w:line="240" w:lineRule="auto"/>
        <w:rPr>
          <w:sz w:val="2"/>
          <w:szCs w:val="2"/>
        </w:rPr>
      </w:pPr>
    </w:p>
  </w:footnote>
  <w:footnote w:id="2">
    <w:p w:rsidR="00E02DB7" w:rsidRPr="00C72629" w:rsidRDefault="00981398" w:rsidP="00981398">
      <w:pPr>
        <w:pStyle w:val="FootnoteText"/>
      </w:pPr>
      <w:r>
        <w:rPr>
          <w:sz w:val="22"/>
          <w:szCs w:val="22"/>
        </w:rPr>
        <w:tab/>
      </w:r>
      <w:r w:rsidR="00E02DB7" w:rsidRPr="00981398">
        <w:rPr>
          <w:rStyle w:val="FootnoteReference"/>
          <w:sz w:val="20"/>
          <w:vertAlign w:val="baseline"/>
        </w:rPr>
        <w:t>*</w:t>
      </w:r>
      <w:r>
        <w:tab/>
      </w:r>
      <w:r w:rsidR="00E02DB7" w:rsidRPr="00981398">
        <w:t>Conformément au programme de travail du Sous-Comité pour la période 2017</w:t>
      </w:r>
      <w:r w:rsidRPr="00981398">
        <w:t>-</w:t>
      </w:r>
      <w:r w:rsidR="00E02DB7" w:rsidRPr="00981398">
        <w:t>2018, approuvé par le Comité à sa huitième session (voir ST/SG/AC.10/C.3/100, par. 98, et ST/SG/AC.10/44, par. 14).</w:t>
      </w:r>
    </w:p>
  </w:footnote>
  <w:footnote w:id="3">
    <w:p w:rsidR="00981398" w:rsidRDefault="00981398" w:rsidP="00876A94">
      <w:pPr>
        <w:pStyle w:val="FootnoteText"/>
        <w:tabs>
          <w:tab w:val="left" w:pos="960"/>
        </w:tabs>
      </w:pPr>
      <w:r>
        <w:tab/>
      </w:r>
      <w:r w:rsidR="00876A94">
        <w:tab/>
      </w:r>
      <w:r>
        <w:rPr>
          <w:rStyle w:val="FootnoteReference"/>
        </w:rPr>
        <w:footnoteRef/>
      </w:r>
      <w:r>
        <w:tab/>
      </w:r>
      <w:r w:rsidRPr="00981398">
        <w:t>INF.15 (cinquante-deuxième session).</w:t>
      </w:r>
    </w:p>
  </w:footnote>
  <w:footnote w:id="4">
    <w:p w:rsidR="00876A94" w:rsidRDefault="00876A94" w:rsidP="00876A94">
      <w:pPr>
        <w:pStyle w:val="FootnoteText"/>
        <w:tabs>
          <w:tab w:val="left" w:pos="948"/>
        </w:tabs>
      </w:pPr>
      <w:r>
        <w:tab/>
      </w:r>
      <w:r w:rsidRPr="00876A94">
        <w:rPr>
          <w:rStyle w:val="FootnoteReference"/>
        </w:rPr>
        <w:footnoteRef/>
      </w:r>
      <w:r>
        <w:tab/>
      </w:r>
      <w:r>
        <w:tab/>
        <w:t>INF.53, par. </w:t>
      </w:r>
      <w:r w:rsidRPr="00876A94">
        <w:t>13 (cinquante-deuxième session).</w:t>
      </w:r>
    </w:p>
  </w:footnote>
  <w:footnote w:id="5">
    <w:p w:rsidR="00C665DD" w:rsidRDefault="00C665DD">
      <w:pPr>
        <w:pStyle w:val="FootnoteText"/>
      </w:pPr>
      <w:r>
        <w:tab/>
      </w:r>
      <w:r>
        <w:rPr>
          <w:rStyle w:val="FootnoteReference"/>
        </w:rPr>
        <w:footnoteRef/>
      </w:r>
      <w:r>
        <w:tab/>
      </w:r>
      <w:r w:rsidRPr="00C665DD">
        <w:t>ST/SG/AC.10/C.3/104 (Rapport du Sous-Comité d</w:t>
      </w:r>
      <w:r w:rsidR="002F0FB7">
        <w:t>’</w:t>
      </w:r>
      <w:r w:rsidRPr="00C665DD">
        <w:t>experts du transport des marchandises dangereuses sur sa cinquante-deuxième session).</w:t>
      </w:r>
    </w:p>
  </w:footnote>
  <w:footnote w:id="6">
    <w:p w:rsidR="006672DA" w:rsidRDefault="006672DA">
      <w:pPr>
        <w:pStyle w:val="FootnoteText"/>
      </w:pPr>
      <w:r>
        <w:tab/>
      </w:r>
      <w:r>
        <w:rPr>
          <w:rStyle w:val="FootnoteReference"/>
        </w:rPr>
        <w:footnoteRef/>
      </w:r>
      <w:r>
        <w:tab/>
      </w:r>
      <w:r w:rsidR="002F0FB7">
        <w:t>INF.67, par. </w:t>
      </w:r>
      <w:r w:rsidRPr="006672DA">
        <w:t>14 (cinquante-troisième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DB7" w:rsidRPr="00E02DB7" w:rsidRDefault="00AD5353">
    <w:pPr>
      <w:pStyle w:val="Header"/>
    </w:pPr>
    <w:r>
      <w:fldChar w:fldCharType="begin"/>
    </w:r>
    <w:r>
      <w:instrText xml:space="preserve"> TITLE  \* MERGEFORMAT </w:instrText>
    </w:r>
    <w:r>
      <w:fldChar w:fldCharType="separate"/>
    </w:r>
    <w:r>
      <w:t>ST/SG/AC.10/C.3/2018/68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DB7" w:rsidRPr="00E02DB7" w:rsidRDefault="00AD5353" w:rsidP="00E02DB7">
    <w:pPr>
      <w:pStyle w:val="Header"/>
      <w:jc w:val="right"/>
    </w:pPr>
    <w:r>
      <w:fldChar w:fldCharType="begin"/>
    </w:r>
    <w:r>
      <w:instrText xml:space="preserve"> TITLE  \* MERGEFORMAT </w:instrText>
    </w:r>
    <w:r>
      <w:fldChar w:fldCharType="separate"/>
    </w:r>
    <w:r>
      <w:t>ST/SG/AC.10/C.3/2018/68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063FA"/>
    <w:multiLevelType w:val="hybridMultilevel"/>
    <w:tmpl w:val="29B8CDBC"/>
    <w:lvl w:ilvl="0" w:tplc="6554D2D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4B"/>
    <w:rsid w:val="00017F94"/>
    <w:rsid w:val="00023842"/>
    <w:rsid w:val="000305D3"/>
    <w:rsid w:val="000334F9"/>
    <w:rsid w:val="0007796D"/>
    <w:rsid w:val="000B7790"/>
    <w:rsid w:val="000E641A"/>
    <w:rsid w:val="00111F2F"/>
    <w:rsid w:val="00132EA9"/>
    <w:rsid w:val="0014365E"/>
    <w:rsid w:val="00176178"/>
    <w:rsid w:val="001F525A"/>
    <w:rsid w:val="00223272"/>
    <w:rsid w:val="0024779E"/>
    <w:rsid w:val="00283190"/>
    <w:rsid w:val="002832AC"/>
    <w:rsid w:val="002D7C93"/>
    <w:rsid w:val="002F0FB7"/>
    <w:rsid w:val="003B4E17"/>
    <w:rsid w:val="00435D86"/>
    <w:rsid w:val="00441C3B"/>
    <w:rsid w:val="00446FE5"/>
    <w:rsid w:val="00452396"/>
    <w:rsid w:val="004E468C"/>
    <w:rsid w:val="005505B7"/>
    <w:rsid w:val="00573BE5"/>
    <w:rsid w:val="00584DC4"/>
    <w:rsid w:val="00586ED3"/>
    <w:rsid w:val="00596AA9"/>
    <w:rsid w:val="00633068"/>
    <w:rsid w:val="006672DA"/>
    <w:rsid w:val="0068456F"/>
    <w:rsid w:val="0071601D"/>
    <w:rsid w:val="007A62E6"/>
    <w:rsid w:val="0080684C"/>
    <w:rsid w:val="00871C75"/>
    <w:rsid w:val="00876A94"/>
    <w:rsid w:val="008776DC"/>
    <w:rsid w:val="008B40CD"/>
    <w:rsid w:val="009705C8"/>
    <w:rsid w:val="00981398"/>
    <w:rsid w:val="009C1CF4"/>
    <w:rsid w:val="009F594B"/>
    <w:rsid w:val="00A30353"/>
    <w:rsid w:val="00A36D04"/>
    <w:rsid w:val="00A9739F"/>
    <w:rsid w:val="00AC3823"/>
    <w:rsid w:val="00AD5353"/>
    <w:rsid w:val="00AE323C"/>
    <w:rsid w:val="00B00181"/>
    <w:rsid w:val="00B00B0D"/>
    <w:rsid w:val="00B765F7"/>
    <w:rsid w:val="00BA0CA9"/>
    <w:rsid w:val="00C02897"/>
    <w:rsid w:val="00C665DD"/>
    <w:rsid w:val="00C72629"/>
    <w:rsid w:val="00CC0F66"/>
    <w:rsid w:val="00D3439C"/>
    <w:rsid w:val="00DB1831"/>
    <w:rsid w:val="00DD3BFD"/>
    <w:rsid w:val="00DF6678"/>
    <w:rsid w:val="00E02DB7"/>
    <w:rsid w:val="00EF2E22"/>
    <w:rsid w:val="00F01738"/>
    <w:rsid w:val="00F660DF"/>
    <w:rsid w:val="00F730C8"/>
    <w:rsid w:val="00F95C08"/>
    <w:rsid w:val="00FB302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523D0D-ED41-4352-9CE0-67958FBB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3241E-02F2-4CFE-9526-39B51889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6762</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ST/SG/AC.10/C.3/2018/68</vt:lpstr>
      <vt:lpstr>ST/SG/AC.10/C.3/2018/68</vt:lpstr>
    </vt:vector>
  </TitlesOfParts>
  <Company>DCM</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ST/SG/AC.10/C.3/2018/68</dc:title>
  <dc:subject/>
  <dc:creator>Sandrine CLERE</dc:creator>
  <cp:keywords/>
  <cp:lastModifiedBy>Laurence Berthet</cp:lastModifiedBy>
  <cp:revision>3</cp:revision>
  <cp:lastPrinted>2018-10-04T09:32:00Z</cp:lastPrinted>
  <dcterms:created xsi:type="dcterms:W3CDTF">2018-10-04T09:32:00Z</dcterms:created>
  <dcterms:modified xsi:type="dcterms:W3CDTF">2018-10-04T09:32:00Z</dcterms:modified>
</cp:coreProperties>
</file>