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B4DB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2B4DBB" w:rsidP="002B4DBB">
            <w:pPr>
              <w:jc w:val="right"/>
            </w:pPr>
            <w:r w:rsidRPr="002B4DBB">
              <w:rPr>
                <w:sz w:val="40"/>
              </w:rPr>
              <w:t>ST</w:t>
            </w:r>
            <w:r>
              <w:t>/SG/AC.10/C.3/2018/66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2B4DBB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2B4DBB" w:rsidRDefault="002B4DBB" w:rsidP="002B4DBB">
            <w:pPr>
              <w:spacing w:line="240" w:lineRule="exact"/>
            </w:pPr>
            <w:r>
              <w:t>27 août 2018</w:t>
            </w:r>
          </w:p>
          <w:p w:rsidR="002B4DBB" w:rsidRDefault="002B4DBB" w:rsidP="002B4DBB">
            <w:pPr>
              <w:spacing w:line="240" w:lineRule="exact"/>
            </w:pPr>
            <w:r>
              <w:t>Français</w:t>
            </w:r>
          </w:p>
          <w:p w:rsidR="002B4DBB" w:rsidRPr="00DB58B5" w:rsidRDefault="002B4DBB" w:rsidP="002B4DBB">
            <w:pPr>
              <w:spacing w:line="240" w:lineRule="exact"/>
            </w:pPr>
            <w:r>
              <w:t>Original : anglais</w:t>
            </w:r>
          </w:p>
        </w:tc>
      </w:tr>
    </w:tbl>
    <w:p w:rsidR="002B4DBB" w:rsidRPr="00CA0680" w:rsidRDefault="002B4DB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D300E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D300E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2B4DBB" w:rsidRPr="00CA0680" w:rsidRDefault="002B4DBB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D300E0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2B4DBB" w:rsidRDefault="002B4DBB" w:rsidP="000305D3">
      <w:pPr>
        <w:spacing w:before="120"/>
        <w:rPr>
          <w:b/>
        </w:rPr>
      </w:pPr>
      <w:r>
        <w:rPr>
          <w:b/>
          <w:bCs/>
          <w:lang w:val="fr-FR"/>
        </w:rPr>
        <w:t>Cinquante-quatrième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2B4DBB" w:rsidRDefault="002B4DBB" w:rsidP="000305D3">
      <w:r>
        <w:t xml:space="preserve">Genève, </w:t>
      </w:r>
      <w:r>
        <w:rPr>
          <w:lang w:val="fr-FR"/>
        </w:rPr>
        <w:t>26 novembre-4 décembre 2018</w:t>
      </w:r>
    </w:p>
    <w:p w:rsidR="002B4DBB" w:rsidRDefault="002B4DBB" w:rsidP="000305D3">
      <w:r>
        <w:t>Point 2 e) de l</w:t>
      </w:r>
      <w:r w:rsidR="00D300E0">
        <w:t>’</w:t>
      </w:r>
      <w:r>
        <w:t>ordre du jour provisoire</w:t>
      </w:r>
    </w:p>
    <w:p w:rsidR="002B4DBB" w:rsidRDefault="002B4DBB" w:rsidP="00AC3823">
      <w:r w:rsidRPr="002B4DBB">
        <w:rPr>
          <w:b/>
          <w:bCs/>
          <w:lang w:val="fr-FR"/>
        </w:rPr>
        <w:t xml:space="preserve">Recommandations du Sous-Comité formulées à ses cinquante et unième, </w:t>
      </w:r>
      <w:r>
        <w:rPr>
          <w:b/>
          <w:bCs/>
          <w:lang w:val="fr-FR"/>
        </w:rPr>
        <w:br/>
      </w:r>
      <w:r w:rsidRPr="002B4DBB">
        <w:rPr>
          <w:b/>
          <w:bCs/>
          <w:lang w:val="fr-FR"/>
        </w:rPr>
        <w:t xml:space="preserve">cinquante-deuxième et cinquante-troisième sessions </w:t>
      </w:r>
      <w:r>
        <w:rPr>
          <w:b/>
          <w:bCs/>
          <w:lang w:val="fr-FR"/>
        </w:rPr>
        <w:br/>
      </w:r>
      <w:r w:rsidRPr="002B4DBB">
        <w:rPr>
          <w:b/>
          <w:bCs/>
          <w:lang w:val="fr-FR"/>
        </w:rPr>
        <w:t>et questions en suspens : Transport de gaz</w:t>
      </w:r>
    </w:p>
    <w:p w:rsidR="00D300E0" w:rsidRPr="00D300E0" w:rsidRDefault="00D300E0" w:rsidP="00D300E0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D300E0">
        <w:rPr>
          <w:lang w:val="fr-FR"/>
        </w:rPr>
        <w:t>Mise à jour des valeurs de la CL</w:t>
      </w:r>
      <w:r w:rsidRPr="00D300E0">
        <w:rPr>
          <w:vertAlign w:val="subscript"/>
          <w:lang w:val="fr-FR"/>
        </w:rPr>
        <w:t>50</w:t>
      </w:r>
      <w:r w:rsidRPr="00D300E0">
        <w:rPr>
          <w:lang w:val="fr-FR"/>
        </w:rPr>
        <w:t xml:space="preserve"> dans l</w:t>
      </w:r>
      <w:r>
        <w:rPr>
          <w:lang w:val="fr-FR"/>
        </w:rPr>
        <w:t>’</w:t>
      </w:r>
      <w:r w:rsidRPr="00D300E0">
        <w:rPr>
          <w:lang w:val="fr-FR"/>
        </w:rPr>
        <w:t>instruction d</w:t>
      </w:r>
      <w:r>
        <w:rPr>
          <w:lang w:val="fr-FR"/>
        </w:rPr>
        <w:t>’</w:t>
      </w:r>
      <w:r w:rsidRPr="00D300E0">
        <w:rPr>
          <w:lang w:val="fr-FR"/>
        </w:rPr>
        <w:t>emballage P200</w:t>
      </w:r>
    </w:p>
    <w:p w:rsidR="00D300E0" w:rsidRPr="00D300E0" w:rsidRDefault="00D300E0" w:rsidP="00D300E0">
      <w:pPr>
        <w:pStyle w:val="H1G"/>
      </w:pPr>
      <w:r w:rsidRPr="00D300E0">
        <w:rPr>
          <w:lang w:val="fr-FR"/>
        </w:rPr>
        <w:tab/>
      </w:r>
      <w:r w:rsidRPr="00D300E0">
        <w:rPr>
          <w:lang w:val="fr-FR"/>
        </w:rPr>
        <w:tab/>
        <w:t>Communication de l</w:t>
      </w:r>
      <w:r>
        <w:rPr>
          <w:lang w:val="fr-FR"/>
        </w:rPr>
        <w:t>’</w:t>
      </w:r>
      <w:r w:rsidRPr="00D300E0">
        <w:rPr>
          <w:lang w:val="fr-FR"/>
        </w:rPr>
        <w:t>Organisation internationale de normalisation (ISO)</w:t>
      </w:r>
      <w:r w:rsidRPr="00D300E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300E0" w:rsidRPr="00D300E0" w:rsidRDefault="00D300E0" w:rsidP="009F16BA">
      <w:pPr>
        <w:pStyle w:val="HChG"/>
      </w:pPr>
      <w:r w:rsidRPr="00D300E0">
        <w:rPr>
          <w:lang w:val="fr-FR"/>
        </w:rPr>
        <w:tab/>
      </w:r>
      <w:r w:rsidRPr="00D300E0">
        <w:rPr>
          <w:lang w:val="fr-FR"/>
        </w:rPr>
        <w:tab/>
        <w:t>Introduction</w:t>
      </w:r>
    </w:p>
    <w:p w:rsidR="00D300E0" w:rsidRPr="00D300E0" w:rsidRDefault="00D300E0" w:rsidP="00D300E0">
      <w:pPr>
        <w:pStyle w:val="SingleTxtG"/>
      </w:pPr>
      <w:r w:rsidRPr="00D300E0">
        <w:t>1.</w:t>
      </w:r>
      <w:r w:rsidRPr="00D300E0">
        <w:tab/>
      </w:r>
      <w:r w:rsidRPr="00D300E0">
        <w:rPr>
          <w:lang w:val="fr-FR"/>
        </w:rPr>
        <w:t>À la cinquante-troisième session du Sous-Comité d</w:t>
      </w:r>
      <w:r>
        <w:rPr>
          <w:lang w:val="fr-FR"/>
        </w:rPr>
        <w:t>’</w:t>
      </w:r>
      <w:r w:rsidRPr="00D300E0">
        <w:rPr>
          <w:lang w:val="fr-FR"/>
        </w:rPr>
        <w:t>experts du transport des marchandises dangereuses, l</w:t>
      </w:r>
      <w:r>
        <w:rPr>
          <w:lang w:val="fr-FR"/>
        </w:rPr>
        <w:t>’</w:t>
      </w:r>
      <w:r w:rsidRPr="00D300E0">
        <w:rPr>
          <w:lang w:val="fr-FR"/>
        </w:rPr>
        <w:t>ISO a présenté le document ST/SG/AC.10/C.3/2018/24. Dans ce document, il était proposé de modifier les valeurs de la CL</w:t>
      </w:r>
      <w:r w:rsidRPr="00D300E0">
        <w:rPr>
          <w:vertAlign w:val="subscript"/>
          <w:lang w:val="fr-FR"/>
        </w:rPr>
        <w:t>50</w:t>
      </w:r>
      <w:r w:rsidRPr="00D300E0">
        <w:rPr>
          <w:lang w:val="fr-FR"/>
        </w:rPr>
        <w:t xml:space="preserve"> dans le Règlement type pour huit gaz toxiques, car ces valeurs différaient de celles indiquées</w:t>
      </w:r>
      <w:r w:rsidR="009F16BA">
        <w:rPr>
          <w:lang w:val="fr-FR"/>
        </w:rPr>
        <w:t xml:space="preserve"> dans la norme ISO </w:t>
      </w:r>
      <w:proofErr w:type="gramStart"/>
      <w:r w:rsidRPr="00D300E0">
        <w:rPr>
          <w:lang w:val="fr-FR"/>
        </w:rPr>
        <w:t>10298:</w:t>
      </w:r>
      <w:proofErr w:type="gramEnd"/>
      <w:r w:rsidRPr="00D300E0">
        <w:rPr>
          <w:lang w:val="fr-FR"/>
        </w:rPr>
        <w:t xml:space="preserve">2018 Bouteilles à gaz </w:t>
      </w:r>
      <w:r w:rsidR="009F16BA">
        <w:rPr>
          <w:lang w:val="fr-FR"/>
        </w:rPr>
        <w:t>−</w:t>
      </w:r>
      <w:r w:rsidRPr="00D300E0">
        <w:rPr>
          <w:lang w:val="fr-FR"/>
        </w:rPr>
        <w:t xml:space="preserve"> </w:t>
      </w:r>
      <w:r w:rsidRPr="00D300E0">
        <w:rPr>
          <w:i/>
          <w:iCs/>
          <w:lang w:val="fr-FR"/>
        </w:rPr>
        <w:t>Gaz et mélange de gaz − Détermination de la toxicité pour le choix des raccords de sortie des robinets</w:t>
      </w:r>
      <w:r w:rsidRPr="00D300E0">
        <w:rPr>
          <w:lang w:val="fr-FR"/>
        </w:rPr>
        <w:t xml:space="preserve">. </w:t>
      </w:r>
      <w:bookmarkStart w:id="1" w:name="_Hlk520104175"/>
      <w:bookmarkEnd w:id="1"/>
    </w:p>
    <w:p w:rsidR="00D300E0" w:rsidRPr="00D300E0" w:rsidRDefault="00D300E0" w:rsidP="00D300E0">
      <w:pPr>
        <w:pStyle w:val="SingleTxtG"/>
      </w:pPr>
      <w:r w:rsidRPr="00D300E0">
        <w:t>2.</w:t>
      </w:r>
      <w:r w:rsidRPr="00D300E0">
        <w:tab/>
      </w:r>
      <w:r w:rsidRPr="00D300E0">
        <w:rPr>
          <w:lang w:val="fr-FR"/>
        </w:rPr>
        <w:t>Lors de l</w:t>
      </w:r>
      <w:r>
        <w:rPr>
          <w:lang w:val="fr-FR"/>
        </w:rPr>
        <w:t>’</w:t>
      </w:r>
      <w:r w:rsidRPr="00D300E0">
        <w:rPr>
          <w:lang w:val="fr-FR"/>
        </w:rPr>
        <w:t>examen du document ST/SG/AC.10/C.3/2018/24, le Sous-Comité avait souhaité connaître les sources d</w:t>
      </w:r>
      <w:r>
        <w:rPr>
          <w:lang w:val="fr-FR"/>
        </w:rPr>
        <w:t>’</w:t>
      </w:r>
      <w:r w:rsidRPr="00D300E0">
        <w:rPr>
          <w:lang w:val="fr-FR"/>
        </w:rPr>
        <w:t>information sur lesquelles les modifications apportées à la version 2018 de la norme ISO 10298 étaient fondées. L</w:t>
      </w:r>
      <w:r>
        <w:rPr>
          <w:lang w:val="fr-FR"/>
        </w:rPr>
        <w:t>’</w:t>
      </w:r>
      <w:r w:rsidRPr="00D300E0">
        <w:rPr>
          <w:lang w:val="fr-FR"/>
        </w:rPr>
        <w:t>Organisation s</w:t>
      </w:r>
      <w:r>
        <w:rPr>
          <w:lang w:val="fr-FR"/>
        </w:rPr>
        <w:t>’</w:t>
      </w:r>
      <w:r w:rsidRPr="00D300E0">
        <w:rPr>
          <w:lang w:val="fr-FR"/>
        </w:rPr>
        <w:t xml:space="preserve">était engagée à communiquer ces sources au Sous-Comité. </w:t>
      </w:r>
    </w:p>
    <w:p w:rsidR="00D300E0" w:rsidRPr="00D300E0" w:rsidRDefault="00D300E0" w:rsidP="009F16BA">
      <w:pPr>
        <w:pStyle w:val="HChG"/>
      </w:pPr>
      <w:r w:rsidRPr="00D300E0">
        <w:rPr>
          <w:lang w:val="fr-FR"/>
        </w:rPr>
        <w:tab/>
      </w:r>
      <w:r w:rsidRPr="00D300E0">
        <w:rPr>
          <w:lang w:val="fr-FR"/>
        </w:rPr>
        <w:tab/>
        <w:t>Sources</w:t>
      </w:r>
    </w:p>
    <w:p w:rsidR="00D300E0" w:rsidRPr="00D300E0" w:rsidRDefault="00D300E0" w:rsidP="00D300E0">
      <w:pPr>
        <w:pStyle w:val="SingleTxtG"/>
      </w:pPr>
      <w:r w:rsidRPr="00D300E0">
        <w:t>3.</w:t>
      </w:r>
      <w:r w:rsidRPr="00D300E0">
        <w:tab/>
      </w:r>
      <w:r w:rsidRPr="00D300E0">
        <w:rPr>
          <w:lang w:val="fr-FR"/>
        </w:rPr>
        <w:t>Les sources sur la base desquelles les valeurs de la CL</w:t>
      </w:r>
      <w:r w:rsidRPr="00D300E0">
        <w:rPr>
          <w:vertAlign w:val="subscript"/>
          <w:lang w:val="fr-FR"/>
        </w:rPr>
        <w:t>50</w:t>
      </w:r>
      <w:r w:rsidRPr="00D300E0">
        <w:rPr>
          <w:lang w:val="fr-FR"/>
        </w:rPr>
        <w:t xml:space="preserve"> ont été déterminées sont indiquées dans la norme ISO 10298. Les auteurs de la norme en question reconnaissent qu</w:t>
      </w:r>
      <w:r>
        <w:rPr>
          <w:lang w:val="fr-FR"/>
        </w:rPr>
        <w:t>’</w:t>
      </w:r>
      <w:r w:rsidRPr="00D300E0">
        <w:rPr>
          <w:lang w:val="fr-FR"/>
        </w:rPr>
        <w:t>il est important de comprendre d</w:t>
      </w:r>
      <w:r>
        <w:rPr>
          <w:lang w:val="fr-FR"/>
        </w:rPr>
        <w:t>’</w:t>
      </w:r>
      <w:r w:rsidRPr="00D300E0">
        <w:rPr>
          <w:lang w:val="fr-FR"/>
        </w:rPr>
        <w:t>où proviennent les valeurs de la CL</w:t>
      </w:r>
      <w:r w:rsidRPr="00D300E0">
        <w:rPr>
          <w:vertAlign w:val="subscript"/>
          <w:lang w:val="fr-FR"/>
        </w:rPr>
        <w:t>50</w:t>
      </w:r>
      <w:r w:rsidRPr="009F16BA">
        <w:rPr>
          <w:lang w:val="fr-FR"/>
        </w:rPr>
        <w:t>.</w:t>
      </w:r>
      <w:r w:rsidRPr="00D300E0">
        <w:rPr>
          <w:lang w:val="fr-FR"/>
        </w:rPr>
        <w:t xml:space="preserve"> La source de chaque </w:t>
      </w:r>
      <w:r w:rsidRPr="00D300E0">
        <w:rPr>
          <w:lang w:val="fr-FR"/>
        </w:rPr>
        <w:lastRenderedPageBreak/>
        <w:t>valeur correspondant aux gaz visés par la proposition de modifications à apporter au Règlement type est indiquée ci-après.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906"/>
        <w:gridCol w:w="1615"/>
        <w:gridCol w:w="1615"/>
        <w:gridCol w:w="1615"/>
      </w:tblGrid>
      <w:tr w:rsidR="00F0144F" w:rsidRPr="00167557" w:rsidTr="00F0144F">
        <w:tc>
          <w:tcPr>
            <w:tcW w:w="794" w:type="dxa"/>
            <w:shd w:val="clear" w:color="auto" w:fill="auto"/>
            <w:vAlign w:val="center"/>
          </w:tcPr>
          <w:p w:rsidR="00D300E0" w:rsidRPr="00F90C80" w:rsidRDefault="00D300E0" w:rsidP="00F0144F">
            <w:pPr>
              <w:spacing w:before="40" w:after="40" w:line="220" w:lineRule="exact"/>
              <w:ind w:left="113" w:right="113"/>
              <w:jc w:val="center"/>
              <w:rPr>
                <w:b/>
              </w:rPr>
            </w:pPr>
            <w:bookmarkStart w:id="2" w:name="_Hlk521405791"/>
            <w:r>
              <w:rPr>
                <w:b/>
                <w:bCs/>
                <w:lang w:val="fr-FR"/>
              </w:rPr>
              <w:t>N</w:t>
            </w:r>
            <w:r w:rsidR="005006B1">
              <w:rPr>
                <w:b/>
                <w:bCs/>
                <w:lang w:val="fr-FR"/>
              </w:rPr>
              <w:t>o</w:t>
            </w:r>
            <w:r>
              <w:rPr>
                <w:b/>
                <w:bCs/>
                <w:lang w:val="fr-FR"/>
              </w:rPr>
              <w:t xml:space="preserve"> ONU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300E0" w:rsidRPr="00F90C80" w:rsidRDefault="00D300E0" w:rsidP="00F0144F">
            <w:pPr>
              <w:spacing w:before="40" w:after="40"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lang w:val="fr-FR"/>
              </w:rPr>
              <w:t xml:space="preserve">Désignation officielle </w:t>
            </w:r>
            <w:r w:rsidR="001D2C99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de transport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Pr="001F0E8F" w:rsidRDefault="00D300E0" w:rsidP="00F0144F">
            <w:pPr>
              <w:spacing w:before="40" w:after="40"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lang w:val="fr-FR"/>
              </w:rPr>
              <w:t>CL</w:t>
            </w:r>
            <w:r>
              <w:rPr>
                <w:b/>
                <w:bCs/>
                <w:vertAlign w:val="subscript"/>
                <w:lang w:val="fr-FR"/>
              </w:rPr>
              <w:t>50</w:t>
            </w:r>
            <w:r>
              <w:rPr>
                <w:b/>
                <w:bCs/>
                <w:lang w:val="fr-FR"/>
              </w:rPr>
              <w:t xml:space="preserve"> en ml/m</w:t>
            </w:r>
            <w:r>
              <w:rPr>
                <w:b/>
                <w:bCs/>
                <w:vertAlign w:val="superscript"/>
                <w:lang w:val="fr-FR"/>
              </w:rPr>
              <w:t>3</w:t>
            </w:r>
            <w:r>
              <w:rPr>
                <w:b/>
                <w:bCs/>
                <w:lang w:val="fr-FR"/>
              </w:rPr>
              <w:t xml:space="preserve"> dans la P200 (20</w:t>
            </w:r>
            <w:r>
              <w:rPr>
                <w:b/>
                <w:bCs/>
                <w:vertAlign w:val="superscript"/>
                <w:lang w:val="fr-FR"/>
              </w:rPr>
              <w:t>e</w:t>
            </w:r>
            <w:r w:rsidR="001D2C99"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éd</w:t>
            </w:r>
            <w:r w:rsidR="001D2C99">
              <w:rPr>
                <w:b/>
                <w:bCs/>
                <w:lang w:val="fr-FR"/>
              </w:rPr>
              <w:t xml:space="preserve">. </w:t>
            </w:r>
            <w:proofErr w:type="gramStart"/>
            <w:r>
              <w:rPr>
                <w:b/>
                <w:bCs/>
                <w:lang w:val="fr-FR"/>
              </w:rPr>
              <w:t>révisée</w:t>
            </w:r>
            <w:proofErr w:type="gramEnd"/>
            <w:r>
              <w:rPr>
                <w:b/>
                <w:bCs/>
                <w:lang w:val="fr-FR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Pr="001F0E8F" w:rsidRDefault="00D300E0" w:rsidP="00F0144F">
            <w:pPr>
              <w:spacing w:before="40" w:after="40" w:line="220" w:lineRule="exact"/>
              <w:ind w:left="113" w:right="113"/>
              <w:jc w:val="center"/>
              <w:rPr>
                <w:b/>
              </w:rPr>
            </w:pPr>
            <w:bookmarkStart w:id="3" w:name="_Hlk521405934"/>
            <w:r>
              <w:rPr>
                <w:b/>
                <w:bCs/>
                <w:lang w:val="fr-FR"/>
              </w:rPr>
              <w:t>CL</w:t>
            </w:r>
            <w:r>
              <w:rPr>
                <w:b/>
                <w:bCs/>
                <w:vertAlign w:val="subscript"/>
                <w:lang w:val="fr-FR"/>
              </w:rPr>
              <w:t>50</w:t>
            </w:r>
            <w:r>
              <w:rPr>
                <w:b/>
                <w:bCs/>
                <w:lang w:val="fr-FR"/>
              </w:rPr>
              <w:t xml:space="preserve"> en ml/m</w:t>
            </w:r>
            <w:r>
              <w:rPr>
                <w:b/>
                <w:bCs/>
                <w:vertAlign w:val="superscript"/>
                <w:lang w:val="fr-FR"/>
              </w:rPr>
              <w:t>3</w:t>
            </w:r>
            <w:r>
              <w:rPr>
                <w:b/>
                <w:bCs/>
                <w:lang w:val="fr-FR"/>
              </w:rPr>
              <w:t xml:space="preserve"> dans la norme </w:t>
            </w:r>
            <w:r w:rsidR="001D2C99">
              <w:rPr>
                <w:b/>
                <w:bCs/>
                <w:lang w:val="fr-FR"/>
              </w:rPr>
              <w:t>ISO </w:t>
            </w:r>
            <w:proofErr w:type="gramStart"/>
            <w:r>
              <w:rPr>
                <w:b/>
                <w:bCs/>
                <w:lang w:val="fr-FR"/>
              </w:rPr>
              <w:t>10298:</w:t>
            </w:r>
            <w:proofErr w:type="gramEnd"/>
            <w:r>
              <w:rPr>
                <w:b/>
                <w:bCs/>
                <w:lang w:val="fr-FR"/>
              </w:rPr>
              <w:t>2018</w:t>
            </w:r>
            <w:bookmarkEnd w:id="3"/>
          </w:p>
        </w:tc>
        <w:tc>
          <w:tcPr>
            <w:tcW w:w="1701" w:type="dxa"/>
            <w:vAlign w:val="center"/>
          </w:tcPr>
          <w:p w:rsidR="00D300E0" w:rsidRPr="001F0E8F" w:rsidRDefault="00D300E0" w:rsidP="00F0144F">
            <w:pPr>
              <w:spacing w:before="40" w:after="40"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lang w:val="fr-FR"/>
              </w:rPr>
              <w:t>Référence de la so</w:t>
            </w:r>
            <w:r w:rsidR="001D2C99">
              <w:rPr>
                <w:b/>
                <w:bCs/>
                <w:lang w:val="fr-FR"/>
              </w:rPr>
              <w:t>urce utilisée pour la norme ISO </w:t>
            </w:r>
            <w:proofErr w:type="gramStart"/>
            <w:r>
              <w:rPr>
                <w:b/>
                <w:bCs/>
                <w:lang w:val="fr-FR"/>
              </w:rPr>
              <w:t>10298:</w:t>
            </w:r>
            <w:proofErr w:type="gramEnd"/>
            <w:r>
              <w:rPr>
                <w:b/>
                <w:bCs/>
                <w:lang w:val="fr-FR"/>
              </w:rPr>
              <w:t>2018</w:t>
            </w:r>
          </w:p>
        </w:tc>
      </w:tr>
      <w:bookmarkEnd w:id="2"/>
      <w:tr w:rsidR="00F0144F" w:rsidTr="00F0144F">
        <w:tc>
          <w:tcPr>
            <w:tcW w:w="794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1008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TRIFLUORURE DE BORE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387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864</w:t>
            </w:r>
          </w:p>
        </w:tc>
        <w:tc>
          <w:tcPr>
            <w:tcW w:w="1701" w:type="dxa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</w:t>
            </w:r>
          </w:p>
        </w:tc>
      </w:tr>
      <w:tr w:rsidR="00F0144F" w:rsidTr="00F0144F">
        <w:tc>
          <w:tcPr>
            <w:tcW w:w="794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1859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 xml:space="preserve">TÉTRAFLUORURE </w:t>
            </w:r>
            <w:r w:rsidR="00F0144F">
              <w:rPr>
                <w:lang w:val="fr-FR"/>
              </w:rPr>
              <w:br/>
            </w:r>
            <w:r>
              <w:rPr>
                <w:lang w:val="fr-FR"/>
              </w:rPr>
              <w:t>DE SILICIUM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922</w:t>
            </w:r>
          </w:p>
        </w:tc>
        <w:tc>
          <w:tcPr>
            <w:tcW w:w="1701" w:type="dxa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</w:tr>
      <w:tr w:rsidR="00F0144F" w:rsidTr="00F0144F">
        <w:tc>
          <w:tcPr>
            <w:tcW w:w="794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2188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ARSINE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178</w:t>
            </w:r>
          </w:p>
        </w:tc>
        <w:tc>
          <w:tcPr>
            <w:tcW w:w="1701" w:type="dxa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3</w:t>
            </w:r>
          </w:p>
        </w:tc>
      </w:tr>
      <w:tr w:rsidR="00F0144F" w:rsidTr="00F0144F">
        <w:tc>
          <w:tcPr>
            <w:tcW w:w="794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2196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 xml:space="preserve">HEXAFLUORURE </w:t>
            </w:r>
            <w:r w:rsidR="00F0144F">
              <w:rPr>
                <w:lang w:val="fr-FR"/>
              </w:rPr>
              <w:br/>
            </w:r>
            <w:r>
              <w:rPr>
                <w:lang w:val="fr-FR"/>
              </w:rPr>
              <w:t>DE TUNGSTÈNE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218</w:t>
            </w:r>
          </w:p>
        </w:tc>
        <w:tc>
          <w:tcPr>
            <w:tcW w:w="1701" w:type="dxa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4</w:t>
            </w:r>
          </w:p>
        </w:tc>
      </w:tr>
      <w:tr w:rsidR="00F0144F" w:rsidTr="00F0144F">
        <w:trPr>
          <w:trHeight w:val="218"/>
        </w:trPr>
        <w:tc>
          <w:tcPr>
            <w:tcW w:w="794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2198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 xml:space="preserve">PENTAFLUORURE </w:t>
            </w:r>
            <w:r w:rsidR="00F0144F">
              <w:rPr>
                <w:lang w:val="fr-FR"/>
              </w:rPr>
              <w:br/>
            </w:r>
            <w:r>
              <w:rPr>
                <w:lang w:val="fr-FR"/>
              </w:rPr>
              <w:t>DE PHOSPHORE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261</w:t>
            </w:r>
          </w:p>
        </w:tc>
        <w:tc>
          <w:tcPr>
            <w:tcW w:w="1701" w:type="dxa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5</w:t>
            </w:r>
          </w:p>
        </w:tc>
      </w:tr>
      <w:tr w:rsidR="00F0144F" w:rsidTr="00F0144F">
        <w:trPr>
          <w:trHeight w:val="218"/>
        </w:trPr>
        <w:tc>
          <w:tcPr>
            <w:tcW w:w="794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2202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SÉLÉNIURE D’HYDROGÈNE ANHYDRE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51</w:t>
            </w:r>
          </w:p>
        </w:tc>
        <w:tc>
          <w:tcPr>
            <w:tcW w:w="1701" w:type="dxa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6</w:t>
            </w:r>
          </w:p>
        </w:tc>
      </w:tr>
      <w:tr w:rsidR="00F0144F" w:rsidTr="00F0144F">
        <w:tc>
          <w:tcPr>
            <w:tcW w:w="794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2534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MÉTHYLCHLOROSILANE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2 810</w:t>
            </w:r>
          </w:p>
        </w:tc>
        <w:tc>
          <w:tcPr>
            <w:tcW w:w="1701" w:type="dxa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7</w:t>
            </w:r>
          </w:p>
        </w:tc>
      </w:tr>
      <w:tr w:rsidR="00F0144F" w:rsidTr="00F0144F">
        <w:tc>
          <w:tcPr>
            <w:tcW w:w="794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2676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STIBINE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178</w:t>
            </w:r>
          </w:p>
        </w:tc>
        <w:tc>
          <w:tcPr>
            <w:tcW w:w="1701" w:type="dxa"/>
            <w:vAlign w:val="center"/>
          </w:tcPr>
          <w:p w:rsidR="00D300E0" w:rsidRDefault="00D300E0" w:rsidP="00F0144F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8</w:t>
            </w:r>
          </w:p>
        </w:tc>
      </w:tr>
    </w:tbl>
    <w:p w:rsidR="00D300E0" w:rsidRPr="00D300E0" w:rsidRDefault="00D300E0" w:rsidP="006C0636">
      <w:pPr>
        <w:pStyle w:val="SingleTxtG"/>
        <w:spacing w:before="240"/>
        <w:ind w:left="2268" w:hanging="567"/>
      </w:pPr>
      <w:r w:rsidRPr="00D300E0">
        <w:t>1)</w:t>
      </w:r>
      <w:r w:rsidRPr="00D300E0">
        <w:tab/>
        <w:t>Marhold, J.V. Sbomik Vysledku Toxiko logickeho Vysetheni Latek a Phipravku, 1972.</w:t>
      </w:r>
    </w:p>
    <w:p w:rsidR="00D300E0" w:rsidRPr="00D300E0" w:rsidRDefault="00D300E0" w:rsidP="006C0636">
      <w:pPr>
        <w:pStyle w:val="SingleTxtG"/>
        <w:spacing w:before="240"/>
        <w:ind w:left="2268" w:hanging="567"/>
        <w:rPr>
          <w:lang w:val="en-GB"/>
        </w:rPr>
      </w:pPr>
      <w:r w:rsidRPr="00D300E0">
        <w:rPr>
          <w:lang w:val="fr-FR"/>
        </w:rPr>
        <w:t>2)</w:t>
      </w:r>
      <w:r w:rsidRPr="00D300E0">
        <w:rPr>
          <w:lang w:val="fr-FR"/>
        </w:rPr>
        <w:tab/>
        <w:t xml:space="preserve">Scheel L.D. et al. </w:t>
      </w:r>
      <w:r w:rsidRPr="00D300E0">
        <w:rPr>
          <w:lang w:val="en-US"/>
        </w:rPr>
        <w:t>Toxicity of carbonyl fluoride, silicon tetrafluoride. Am. I</w:t>
      </w:r>
      <w:r w:rsidR="00775EE3">
        <w:rPr>
          <w:lang w:val="en-US"/>
        </w:rPr>
        <w:t>nd. Hyg. Assoc. J. 1968, 29, p. </w:t>
      </w:r>
      <w:r w:rsidRPr="00D300E0">
        <w:rPr>
          <w:lang w:val="en-US"/>
        </w:rPr>
        <w:t>41 à 48.</w:t>
      </w:r>
    </w:p>
    <w:p w:rsidR="00D300E0" w:rsidRPr="00D300E0" w:rsidRDefault="00D300E0" w:rsidP="006C0636">
      <w:pPr>
        <w:pStyle w:val="SingleTxtG"/>
        <w:spacing w:before="240"/>
        <w:ind w:left="2268" w:hanging="567"/>
        <w:rPr>
          <w:lang w:val="en-GB"/>
        </w:rPr>
      </w:pPr>
      <w:r w:rsidRPr="00D300E0">
        <w:rPr>
          <w:lang w:val="en-US"/>
        </w:rPr>
        <w:t>3)</w:t>
      </w:r>
      <w:r w:rsidRPr="00D300E0">
        <w:rPr>
          <w:lang w:val="en-US"/>
        </w:rPr>
        <w:tab/>
        <w:t>International Research and Development Corp. Arsine * LC</w:t>
      </w:r>
      <w:r w:rsidRPr="00D300E0">
        <w:rPr>
          <w:vertAlign w:val="subscript"/>
          <w:lang w:val="en-US"/>
        </w:rPr>
        <w:t>50</w:t>
      </w:r>
      <w:r w:rsidRPr="00D300E0">
        <w:rPr>
          <w:lang w:val="en-US"/>
        </w:rPr>
        <w:t xml:space="preserve"> acute inhalation </w:t>
      </w:r>
      <w:r w:rsidR="00E3527A">
        <w:rPr>
          <w:lang w:val="en-US"/>
        </w:rPr>
        <w:t>toxicity evaluation in rats (60 </w:t>
      </w:r>
      <w:r w:rsidRPr="00D300E0">
        <w:rPr>
          <w:lang w:val="en-US"/>
        </w:rPr>
        <w:t>min). 28 octobre 1985, rapport n</w:t>
      </w:r>
      <w:r w:rsidRPr="00D300E0">
        <w:rPr>
          <w:vertAlign w:val="superscript"/>
          <w:lang w:val="en-US"/>
        </w:rPr>
        <w:t>o</w:t>
      </w:r>
      <w:r w:rsidR="00E3527A">
        <w:rPr>
          <w:lang w:val="en-US"/>
        </w:rPr>
        <w:t> </w:t>
      </w:r>
      <w:r w:rsidRPr="00D300E0">
        <w:rPr>
          <w:lang w:val="en-US"/>
        </w:rPr>
        <w:t>533-002, AT&amp;T Bell laboratories.</w:t>
      </w:r>
    </w:p>
    <w:p w:rsidR="00D300E0" w:rsidRPr="00D300E0" w:rsidRDefault="00D300E0" w:rsidP="006C0636">
      <w:pPr>
        <w:pStyle w:val="SingleTxtG"/>
        <w:spacing w:before="240"/>
        <w:ind w:left="2268" w:hanging="567"/>
        <w:rPr>
          <w:lang w:val="en-GB"/>
        </w:rPr>
      </w:pPr>
      <w:r w:rsidRPr="00D300E0">
        <w:rPr>
          <w:lang w:val="fr-FR"/>
        </w:rPr>
        <w:t>4)</w:t>
      </w:r>
      <w:r w:rsidRPr="00D300E0">
        <w:rPr>
          <w:lang w:val="fr-FR"/>
        </w:rPr>
        <w:tab/>
        <w:t xml:space="preserve">Calculé à partir de la décomposition du HF, sur la base de </w:t>
      </w:r>
      <w:r w:rsidR="00E3527A">
        <w:rPr>
          <w:lang w:val="fr-FR"/>
        </w:rPr>
        <w:t>« </w:t>
      </w:r>
      <w:r w:rsidRPr="00D300E0">
        <w:rPr>
          <w:lang w:val="fr-FR"/>
        </w:rPr>
        <w:t xml:space="preserve">Acute Exposure Guideline Levels for Selected Airborne Chemicals, Volume 4. </w:t>
      </w:r>
      <w:r w:rsidRPr="00D300E0">
        <w:rPr>
          <w:lang w:val="en-US"/>
        </w:rPr>
        <w:t>Subcommittee on Acute Exposure Guideline Levels, Committee on Toxicology Board on Environmental Studies and Toxicology, The National Academy Press, Washington DC, 2004</w:t>
      </w:r>
      <w:r w:rsidR="00E3527A">
        <w:rPr>
          <w:lang w:val="en-US"/>
        </w:rPr>
        <w:t> </w:t>
      </w:r>
      <w:r w:rsidR="00E3527A" w:rsidRPr="00D300E0">
        <w:rPr>
          <w:lang w:val="en-US"/>
        </w:rPr>
        <w:t>»</w:t>
      </w:r>
      <w:r w:rsidRPr="00E3527A">
        <w:rPr>
          <w:lang w:val="en-US"/>
        </w:rPr>
        <w:t xml:space="preserve"> </w:t>
      </w:r>
      <w:r w:rsidRPr="00D300E0">
        <w:rPr>
          <w:lang w:val="en-US"/>
        </w:rPr>
        <w:t>(voir la rubrique « Fluorure d</w:t>
      </w:r>
      <w:r>
        <w:rPr>
          <w:lang w:val="en-US"/>
        </w:rPr>
        <w:t>’</w:t>
      </w:r>
      <w:r w:rsidRPr="00D300E0">
        <w:rPr>
          <w:lang w:val="en-US"/>
        </w:rPr>
        <w:t>hydrogène</w:t>
      </w:r>
      <w:r w:rsidR="00E3527A">
        <w:rPr>
          <w:lang w:val="en-US"/>
        </w:rPr>
        <w:t> </w:t>
      </w:r>
      <w:r w:rsidRPr="00D300E0">
        <w:rPr>
          <w:lang w:val="en-US"/>
        </w:rPr>
        <w:t>» dans la norme ISO 10298:2010).</w:t>
      </w:r>
    </w:p>
    <w:p w:rsidR="00D300E0" w:rsidRPr="00D300E0" w:rsidRDefault="00D300E0" w:rsidP="006C0636">
      <w:pPr>
        <w:pStyle w:val="SingleTxtG"/>
        <w:spacing w:before="240"/>
        <w:ind w:left="2268" w:hanging="567"/>
      </w:pPr>
      <w:r w:rsidRPr="00D300E0">
        <w:rPr>
          <w:lang w:val="fr-FR"/>
        </w:rPr>
        <w:t>5)</w:t>
      </w:r>
      <w:r w:rsidRPr="00D300E0">
        <w:rPr>
          <w:lang w:val="fr-FR"/>
        </w:rPr>
        <w:tab/>
        <w:t>Comme pour le point 4), calculé à partir de la décomposition du HF.</w:t>
      </w:r>
    </w:p>
    <w:p w:rsidR="00D300E0" w:rsidRPr="00D300E0" w:rsidRDefault="00D300E0" w:rsidP="006C0636">
      <w:pPr>
        <w:pStyle w:val="SingleTxtG"/>
        <w:spacing w:before="240"/>
        <w:ind w:left="2268" w:hanging="567"/>
        <w:rPr>
          <w:lang w:val="en-GB"/>
        </w:rPr>
      </w:pPr>
      <w:r w:rsidRPr="00D300E0">
        <w:rPr>
          <w:lang w:val="en-US"/>
        </w:rPr>
        <w:t>6)</w:t>
      </w:r>
      <w:r w:rsidRPr="00D300E0">
        <w:rPr>
          <w:lang w:val="en-US"/>
        </w:rPr>
        <w:tab/>
        <w:t>Zwart A., Arts J.H.E., Ten Berge W.F., Appleman L.M. Alternative Acute Inhalation Toxicity Testing by Determination of the Concentration-Time-Mortality Relationship: Experimental Comparison with Standard LC</w:t>
      </w:r>
      <w:r w:rsidRPr="00D300E0">
        <w:rPr>
          <w:vertAlign w:val="subscript"/>
          <w:lang w:val="en-US"/>
        </w:rPr>
        <w:t>50</w:t>
      </w:r>
      <w:r w:rsidRPr="00D300E0">
        <w:rPr>
          <w:lang w:val="en-US"/>
        </w:rPr>
        <w:t xml:space="preserve"> Testing. Regul. T</w:t>
      </w:r>
      <w:r w:rsidR="00DE5547">
        <w:rPr>
          <w:lang w:val="en-US"/>
        </w:rPr>
        <w:t>oxicol. Pharmacol. 1992, 15, p. </w:t>
      </w:r>
      <w:r w:rsidRPr="00D300E0">
        <w:rPr>
          <w:lang w:val="en-US"/>
        </w:rPr>
        <w:t>278 à 290.</w:t>
      </w:r>
    </w:p>
    <w:p w:rsidR="00D300E0" w:rsidRPr="00D300E0" w:rsidRDefault="00D300E0" w:rsidP="006C0636">
      <w:pPr>
        <w:pStyle w:val="SingleTxtG"/>
        <w:spacing w:before="240"/>
        <w:ind w:left="2268" w:hanging="567"/>
        <w:rPr>
          <w:lang w:val="en-GB"/>
        </w:rPr>
      </w:pPr>
      <w:r w:rsidRPr="00D300E0">
        <w:rPr>
          <w:lang w:val="en-US"/>
        </w:rPr>
        <w:t>7)</w:t>
      </w:r>
      <w:r w:rsidR="00775EE3">
        <w:rPr>
          <w:lang w:val="en-US"/>
        </w:rPr>
        <w:tab/>
      </w:r>
      <w:r w:rsidRPr="00D300E0">
        <w:rPr>
          <w:lang w:val="en-US"/>
        </w:rPr>
        <w:t>Acute Exposure Guideline Levels (AEGLS) for Methylchlorosilane. Avril 2009, US National Advisory Committee for AEGL.</w:t>
      </w:r>
    </w:p>
    <w:p w:rsidR="00D300E0" w:rsidRPr="00D300E0" w:rsidRDefault="00D300E0" w:rsidP="006C0636">
      <w:pPr>
        <w:pStyle w:val="SingleTxtG"/>
        <w:spacing w:before="240"/>
        <w:ind w:left="2268" w:hanging="567"/>
      </w:pPr>
      <w:r w:rsidRPr="00D300E0">
        <w:rPr>
          <w:lang w:val="fr-FR"/>
        </w:rPr>
        <w:t>8)</w:t>
      </w:r>
      <w:r w:rsidRPr="00D300E0">
        <w:rPr>
          <w:lang w:val="fr-FR"/>
        </w:rPr>
        <w:tab/>
        <w:t>Par analogie avec l</w:t>
      </w:r>
      <w:r>
        <w:rPr>
          <w:lang w:val="fr-FR"/>
        </w:rPr>
        <w:t>’</w:t>
      </w:r>
      <w:r w:rsidRPr="00D300E0">
        <w:rPr>
          <w:lang w:val="fr-FR"/>
        </w:rPr>
        <w:t xml:space="preserve">arsine, pour laquelle </w:t>
      </w:r>
      <w:r w:rsidR="00DE5547">
        <w:rPr>
          <w:lang w:val="fr-FR"/>
        </w:rPr>
        <w:t>la source est indiquée au point </w:t>
      </w:r>
      <w:r w:rsidRPr="00D300E0">
        <w:rPr>
          <w:lang w:val="fr-FR"/>
        </w:rPr>
        <w:t>3) ci</w:t>
      </w:r>
      <w:r w:rsidR="00DE5547">
        <w:rPr>
          <w:lang w:val="fr-FR"/>
        </w:rPr>
        <w:noBreakHyphen/>
      </w:r>
      <w:r w:rsidRPr="00D300E0">
        <w:rPr>
          <w:lang w:val="fr-FR"/>
        </w:rPr>
        <w:t>dessus.</w:t>
      </w:r>
    </w:p>
    <w:p w:rsidR="00D300E0" w:rsidRPr="00D300E0" w:rsidRDefault="00D300E0" w:rsidP="00D300E0">
      <w:pPr>
        <w:pStyle w:val="SingleTxtG"/>
      </w:pPr>
      <w:r w:rsidRPr="00D300E0">
        <w:rPr>
          <w:lang w:val="fr-FR"/>
        </w:rPr>
        <w:t>4.</w:t>
      </w:r>
      <w:r w:rsidRPr="00D300E0">
        <w:rPr>
          <w:lang w:val="fr-FR"/>
        </w:rPr>
        <w:tab/>
        <w:t>Compte tenu des précisions fournies ci-dessus quant aux sources ayant servi de base aux modifications des données relatives à la toxicité, l</w:t>
      </w:r>
      <w:r>
        <w:rPr>
          <w:lang w:val="fr-FR"/>
        </w:rPr>
        <w:t>’</w:t>
      </w:r>
      <w:r w:rsidRPr="00D300E0">
        <w:rPr>
          <w:lang w:val="fr-FR"/>
        </w:rPr>
        <w:t>ISO propose que les valeurs de la CL</w:t>
      </w:r>
      <w:r w:rsidRPr="00D300E0">
        <w:rPr>
          <w:vertAlign w:val="subscript"/>
          <w:lang w:val="fr-FR"/>
        </w:rPr>
        <w:t>50</w:t>
      </w:r>
      <w:r w:rsidRPr="00D300E0">
        <w:rPr>
          <w:lang w:val="fr-FR"/>
        </w:rPr>
        <w:t>, exprimées en ml/m</w:t>
      </w:r>
      <w:r w:rsidRPr="00D300E0">
        <w:rPr>
          <w:vertAlign w:val="superscript"/>
          <w:lang w:val="fr-FR"/>
        </w:rPr>
        <w:t>3</w:t>
      </w:r>
      <w:r w:rsidRPr="00D300E0">
        <w:rPr>
          <w:lang w:val="fr-FR"/>
        </w:rPr>
        <w:t>, initialement présentées dans le document ST/SG/AC.10/C.3/2018/24,</w:t>
      </w:r>
      <w:r w:rsidR="00CA799F">
        <w:rPr>
          <w:lang w:val="fr-FR"/>
        </w:rPr>
        <w:t xml:space="preserve"> soient intégrées au tableau </w:t>
      </w:r>
      <w:r w:rsidRPr="00D300E0">
        <w:rPr>
          <w:lang w:val="fr-FR"/>
        </w:rPr>
        <w:t>2 de l</w:t>
      </w:r>
      <w:r>
        <w:rPr>
          <w:lang w:val="fr-FR"/>
        </w:rPr>
        <w:t>’</w:t>
      </w:r>
      <w:r w:rsidRPr="00D300E0">
        <w:rPr>
          <w:lang w:val="fr-FR"/>
        </w:rPr>
        <w:t>instruction d</w:t>
      </w:r>
      <w:r>
        <w:rPr>
          <w:lang w:val="fr-FR"/>
        </w:rPr>
        <w:t>’</w:t>
      </w:r>
      <w:r w:rsidRPr="00D300E0">
        <w:rPr>
          <w:lang w:val="fr-FR"/>
        </w:rPr>
        <w:t>emballage P200,</w:t>
      </w:r>
      <w:r w:rsidR="00CA799F">
        <w:rPr>
          <w:lang w:val="fr-FR"/>
        </w:rPr>
        <w:t xml:space="preserve"> figurant au paragraphe </w:t>
      </w:r>
      <w:r w:rsidRPr="00D300E0">
        <w:rPr>
          <w:lang w:val="fr-FR"/>
        </w:rPr>
        <w:t xml:space="preserve">4.1.1.4 du Règlement type. </w:t>
      </w:r>
    </w:p>
    <w:p w:rsidR="00D300E0" w:rsidRPr="00D300E0" w:rsidRDefault="00D300E0" w:rsidP="00F0144F">
      <w:pPr>
        <w:pStyle w:val="HChG"/>
      </w:pPr>
      <w:r w:rsidRPr="00D300E0">
        <w:rPr>
          <w:lang w:val="fr-FR"/>
        </w:rPr>
        <w:lastRenderedPageBreak/>
        <w:tab/>
      </w:r>
      <w:r w:rsidR="00F0144F">
        <w:rPr>
          <w:lang w:val="fr-FR"/>
        </w:rPr>
        <w:tab/>
      </w:r>
      <w:r w:rsidRPr="00D300E0">
        <w:rPr>
          <w:lang w:val="fr-FR"/>
        </w:rPr>
        <w:t xml:space="preserve">Proposition </w:t>
      </w:r>
    </w:p>
    <w:p w:rsidR="00446FE5" w:rsidRDefault="00D300E0" w:rsidP="00D300E0">
      <w:pPr>
        <w:pStyle w:val="SingleTxtG"/>
        <w:rPr>
          <w:lang w:val="fr-FR"/>
        </w:rPr>
      </w:pPr>
      <w:r w:rsidRPr="00D300E0">
        <w:rPr>
          <w:lang w:val="fr-FR"/>
        </w:rPr>
        <w:t>5.</w:t>
      </w:r>
      <w:r w:rsidR="00CA799F">
        <w:rPr>
          <w:lang w:val="fr-FR"/>
        </w:rPr>
        <w:tab/>
        <w:t>Dans le tableau </w:t>
      </w:r>
      <w:r w:rsidRPr="00D300E0">
        <w:rPr>
          <w:lang w:val="fr-FR"/>
        </w:rPr>
        <w:t>2 de l</w:t>
      </w:r>
      <w:r>
        <w:rPr>
          <w:lang w:val="fr-FR"/>
        </w:rPr>
        <w:t>’</w:t>
      </w:r>
      <w:r w:rsidRPr="00D300E0">
        <w:rPr>
          <w:lang w:val="fr-FR"/>
        </w:rPr>
        <w:t>instruction d</w:t>
      </w:r>
      <w:r>
        <w:rPr>
          <w:lang w:val="fr-FR"/>
        </w:rPr>
        <w:t>’</w:t>
      </w:r>
      <w:r w:rsidRPr="00D300E0">
        <w:rPr>
          <w:lang w:val="fr-FR"/>
        </w:rPr>
        <w:t>emballage P200,</w:t>
      </w:r>
      <w:r w:rsidR="00CA799F">
        <w:rPr>
          <w:lang w:val="fr-FR"/>
        </w:rPr>
        <w:t xml:space="preserve"> figurant au paragraphe </w:t>
      </w:r>
      <w:r w:rsidRPr="00D300E0">
        <w:rPr>
          <w:lang w:val="fr-FR"/>
        </w:rPr>
        <w:t>4.1.1.4, pour les numéros ONU indiqués ci-après, rempla</w:t>
      </w:r>
      <w:r w:rsidR="00CA799F">
        <w:rPr>
          <w:lang w:val="fr-FR"/>
        </w:rPr>
        <w:t>cer les valeurs de la colonne « </w:t>
      </w:r>
      <w:r w:rsidRPr="00D300E0">
        <w:rPr>
          <w:lang w:val="fr-FR"/>
        </w:rPr>
        <w:t>CL</w:t>
      </w:r>
      <w:r w:rsidRPr="00D300E0">
        <w:rPr>
          <w:vertAlign w:val="subscript"/>
          <w:lang w:val="fr-FR"/>
        </w:rPr>
        <w:t>50</w:t>
      </w:r>
      <w:r w:rsidRPr="00D300E0">
        <w:rPr>
          <w:lang w:val="fr-FR"/>
        </w:rPr>
        <w:t xml:space="preserve"> (en ml/m</w:t>
      </w:r>
      <w:r w:rsidRPr="00CA799F">
        <w:rPr>
          <w:vertAlign w:val="superscript"/>
          <w:lang w:val="fr-FR"/>
        </w:rPr>
        <w:t>3</w:t>
      </w:r>
      <w:r w:rsidRPr="00D300E0">
        <w:rPr>
          <w:lang w:val="fr-FR"/>
        </w:rPr>
        <w:t>)</w:t>
      </w:r>
      <w:r w:rsidR="00CA799F">
        <w:rPr>
          <w:lang w:val="fr-FR"/>
        </w:rPr>
        <w:t> </w:t>
      </w:r>
      <w:r w:rsidRPr="00D300E0">
        <w:rPr>
          <w:lang w:val="fr-FR"/>
        </w:rPr>
        <w:t>» par celles de la n</w:t>
      </w:r>
      <w:r w:rsidR="00CA799F">
        <w:rPr>
          <w:lang w:val="fr-FR"/>
        </w:rPr>
        <w:t xml:space="preserve">orme ISO </w:t>
      </w:r>
      <w:proofErr w:type="gramStart"/>
      <w:r w:rsidR="00CA799F">
        <w:rPr>
          <w:lang w:val="fr-FR"/>
        </w:rPr>
        <w:t>10298:</w:t>
      </w:r>
      <w:proofErr w:type="gramEnd"/>
      <w:r w:rsidR="00CA799F">
        <w:rPr>
          <w:lang w:val="fr-FR"/>
        </w:rPr>
        <w:t>2018, comme suit </w:t>
      </w:r>
      <w:r w:rsidRPr="00D300E0">
        <w:rPr>
          <w:lang w:val="fr-FR"/>
        </w:rPr>
        <w:t>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915"/>
        <w:gridCol w:w="1822"/>
        <w:gridCol w:w="1822"/>
      </w:tblGrid>
      <w:tr w:rsidR="0064060A" w:rsidRPr="00F90C80" w:rsidTr="0064060A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:rsidR="00D300E0" w:rsidRPr="00F90C80" w:rsidRDefault="00D300E0" w:rsidP="0064060A">
            <w:pPr>
              <w:spacing w:before="40" w:after="40"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lang w:val="fr-FR"/>
              </w:rPr>
              <w:t>N</w:t>
            </w:r>
            <w:r w:rsidR="0064060A">
              <w:rPr>
                <w:b/>
                <w:bCs/>
                <w:lang w:val="fr-FR"/>
              </w:rPr>
              <w:t>o</w:t>
            </w:r>
            <w:r>
              <w:rPr>
                <w:b/>
                <w:bCs/>
                <w:lang w:val="fr-FR"/>
              </w:rPr>
              <w:t xml:space="preserve"> ONU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300E0" w:rsidRPr="00F90C80" w:rsidRDefault="00D300E0" w:rsidP="0064060A">
            <w:pPr>
              <w:spacing w:before="40" w:after="40"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lang w:val="fr-FR"/>
              </w:rPr>
              <w:t>Nom et description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Pr="001F0E8F" w:rsidRDefault="00D300E0" w:rsidP="0064060A">
            <w:pPr>
              <w:spacing w:before="40" w:after="40"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lang w:val="fr-FR"/>
              </w:rPr>
              <w:t>Valeurs de la CL</w:t>
            </w:r>
            <w:r>
              <w:rPr>
                <w:b/>
                <w:bCs/>
                <w:vertAlign w:val="subscript"/>
                <w:lang w:val="fr-FR"/>
              </w:rPr>
              <w:t>50</w:t>
            </w:r>
            <w:r>
              <w:rPr>
                <w:b/>
                <w:bCs/>
                <w:lang w:val="fr-FR"/>
              </w:rPr>
              <w:t xml:space="preserve"> en ml/m</w:t>
            </w:r>
            <w:r>
              <w:rPr>
                <w:b/>
                <w:bCs/>
                <w:vertAlign w:val="superscript"/>
                <w:lang w:val="fr-FR"/>
              </w:rPr>
              <w:t>3</w:t>
            </w:r>
            <w:r>
              <w:rPr>
                <w:b/>
                <w:bCs/>
                <w:lang w:val="fr-FR"/>
              </w:rPr>
              <w:t xml:space="preserve"> figurant actuellement dans la 20</w:t>
            </w:r>
            <w:r>
              <w:rPr>
                <w:b/>
                <w:bCs/>
                <w:vertAlign w:val="superscript"/>
                <w:lang w:val="fr-FR"/>
              </w:rPr>
              <w:t>e</w:t>
            </w:r>
            <w:r>
              <w:rPr>
                <w:b/>
                <w:bCs/>
                <w:lang w:val="fr-FR"/>
              </w:rPr>
              <w:t xml:space="preserve"> éd</w:t>
            </w:r>
            <w:r w:rsidR="0064060A">
              <w:rPr>
                <w:b/>
                <w:bCs/>
                <w:lang w:val="fr-FR"/>
              </w:rPr>
              <w:t xml:space="preserve">. </w:t>
            </w:r>
            <w:proofErr w:type="gramStart"/>
            <w:r>
              <w:rPr>
                <w:b/>
                <w:bCs/>
                <w:lang w:val="fr-FR"/>
              </w:rPr>
              <w:t>révisée</w:t>
            </w:r>
            <w:proofErr w:type="gramEnd"/>
          </w:p>
        </w:tc>
        <w:tc>
          <w:tcPr>
            <w:tcW w:w="1531" w:type="dxa"/>
            <w:shd w:val="clear" w:color="auto" w:fill="auto"/>
            <w:vAlign w:val="center"/>
          </w:tcPr>
          <w:p w:rsidR="00D300E0" w:rsidRPr="00F90C80" w:rsidRDefault="00D300E0" w:rsidP="0064060A">
            <w:pPr>
              <w:spacing w:before="40" w:after="40" w:line="22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  <w:lang w:val="fr-FR"/>
              </w:rPr>
              <w:t>Remplacer par</w:t>
            </w:r>
          </w:p>
        </w:tc>
      </w:tr>
      <w:tr w:rsidR="0064060A" w:rsidTr="0064060A">
        <w:tc>
          <w:tcPr>
            <w:tcW w:w="794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1008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TRIFLUORURE DE BORE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387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864</w:t>
            </w:r>
          </w:p>
        </w:tc>
      </w:tr>
      <w:tr w:rsidR="0064060A" w:rsidTr="0064060A">
        <w:tc>
          <w:tcPr>
            <w:tcW w:w="794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1859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TÉTRAFLUORURE DE SILICIUM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450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922</w:t>
            </w:r>
          </w:p>
        </w:tc>
      </w:tr>
      <w:tr w:rsidR="0064060A" w:rsidTr="0064060A">
        <w:tc>
          <w:tcPr>
            <w:tcW w:w="794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2188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ARSINE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178</w:t>
            </w:r>
          </w:p>
        </w:tc>
      </w:tr>
      <w:tr w:rsidR="0064060A" w:rsidTr="0064060A">
        <w:tc>
          <w:tcPr>
            <w:tcW w:w="794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2196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HEXAFLUORURE DE TUNGSTÈNE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160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218</w:t>
            </w:r>
          </w:p>
        </w:tc>
      </w:tr>
      <w:tr w:rsidR="0064060A" w:rsidTr="0064060A">
        <w:trPr>
          <w:trHeight w:val="218"/>
        </w:trPr>
        <w:tc>
          <w:tcPr>
            <w:tcW w:w="794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2198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PENTAFLUORURE DE PHOSPHORE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190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261</w:t>
            </w:r>
          </w:p>
        </w:tc>
      </w:tr>
      <w:tr w:rsidR="0064060A" w:rsidTr="0064060A">
        <w:trPr>
          <w:trHeight w:val="218"/>
        </w:trPr>
        <w:tc>
          <w:tcPr>
            <w:tcW w:w="794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2202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SÉLÉNIURE D’HYDROGÈNE ANHYDRE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51</w:t>
            </w:r>
          </w:p>
        </w:tc>
      </w:tr>
      <w:tr w:rsidR="0064060A" w:rsidTr="0064060A">
        <w:tc>
          <w:tcPr>
            <w:tcW w:w="794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2534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MÉTHYLCHLOROSILANE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600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2 810</w:t>
            </w:r>
          </w:p>
        </w:tc>
      </w:tr>
      <w:tr w:rsidR="0064060A" w:rsidTr="0064060A">
        <w:tc>
          <w:tcPr>
            <w:tcW w:w="794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2676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</w:pPr>
            <w:r>
              <w:rPr>
                <w:lang w:val="fr-FR"/>
              </w:rPr>
              <w:t>STIBINE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20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300E0" w:rsidRDefault="00D300E0" w:rsidP="0064060A">
            <w:pPr>
              <w:spacing w:before="40" w:after="40" w:line="220" w:lineRule="exact"/>
              <w:ind w:left="113" w:right="113"/>
              <w:jc w:val="center"/>
            </w:pPr>
            <w:r>
              <w:rPr>
                <w:lang w:val="fr-FR"/>
              </w:rPr>
              <w:t>178</w:t>
            </w:r>
          </w:p>
        </w:tc>
      </w:tr>
    </w:tbl>
    <w:p w:rsidR="00D300E0" w:rsidRPr="00135521" w:rsidRDefault="00135521" w:rsidP="00135521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D300E0" w:rsidRPr="00D300E0">
        <w:rPr>
          <w:lang w:val="fr-FR"/>
        </w:rPr>
        <w:t xml:space="preserve">Justification </w:t>
      </w:r>
    </w:p>
    <w:p w:rsidR="00D300E0" w:rsidRDefault="00D300E0" w:rsidP="00D300E0">
      <w:pPr>
        <w:pStyle w:val="SingleTxtG"/>
        <w:rPr>
          <w:lang w:val="fr-FR"/>
        </w:rPr>
      </w:pPr>
      <w:r w:rsidRPr="00D300E0">
        <w:rPr>
          <w:lang w:val="fr-FR"/>
        </w:rPr>
        <w:t>6.</w:t>
      </w:r>
      <w:r w:rsidRPr="00D300E0">
        <w:rPr>
          <w:lang w:val="fr-FR"/>
        </w:rPr>
        <w:tab/>
        <w:t>Les valeurs de la CL</w:t>
      </w:r>
      <w:r w:rsidRPr="00D300E0">
        <w:rPr>
          <w:vertAlign w:val="subscript"/>
          <w:lang w:val="fr-FR"/>
        </w:rPr>
        <w:t>50</w:t>
      </w:r>
      <w:r w:rsidRPr="00D300E0">
        <w:rPr>
          <w:lang w:val="fr-FR"/>
        </w:rPr>
        <w:t xml:space="preserve"> figurant dans la norme ISO </w:t>
      </w:r>
      <w:proofErr w:type="gramStart"/>
      <w:r w:rsidRPr="00D300E0">
        <w:rPr>
          <w:lang w:val="fr-FR"/>
        </w:rPr>
        <w:t>10298:</w:t>
      </w:r>
      <w:proofErr w:type="gramEnd"/>
      <w:r w:rsidRPr="00D300E0">
        <w:rPr>
          <w:lang w:val="fr-FR"/>
        </w:rPr>
        <w:t>2018 ainsi que dans sa version de 2010 sont le résultat de recherches approfondies concernant les données toxicologiques les plus récentes relatives à ces gaz.</w:t>
      </w:r>
      <w:r w:rsidR="00135521">
        <w:rPr>
          <w:lang w:val="fr-FR"/>
        </w:rPr>
        <w:t xml:space="preserve"> </w:t>
      </w:r>
      <w:r w:rsidRPr="00D300E0">
        <w:rPr>
          <w:lang w:val="fr-FR"/>
        </w:rPr>
        <w:t>La version de 1995 a été très utile pour l</w:t>
      </w:r>
      <w:r>
        <w:rPr>
          <w:lang w:val="fr-FR"/>
        </w:rPr>
        <w:t>’</w:t>
      </w:r>
      <w:r w:rsidRPr="00D300E0">
        <w:rPr>
          <w:lang w:val="fr-FR"/>
        </w:rPr>
        <w:t>élaboration de l</w:t>
      </w:r>
      <w:r>
        <w:rPr>
          <w:lang w:val="fr-FR"/>
        </w:rPr>
        <w:t>’</w:t>
      </w:r>
      <w:r w:rsidRPr="00D300E0">
        <w:rPr>
          <w:lang w:val="fr-FR"/>
        </w:rPr>
        <w:t>instruction d</w:t>
      </w:r>
      <w:r>
        <w:rPr>
          <w:lang w:val="fr-FR"/>
        </w:rPr>
        <w:t>’</w:t>
      </w:r>
      <w:r w:rsidRPr="00D300E0">
        <w:rPr>
          <w:lang w:val="fr-FR"/>
        </w:rPr>
        <w:t>emballage P200, et les modifications ont été relativement peu nombreuses eu égard au fait que les connaissances scientifiques continuent de progresser.</w:t>
      </w:r>
    </w:p>
    <w:p w:rsidR="00D300E0" w:rsidRPr="00D300E0" w:rsidRDefault="00D300E0" w:rsidP="00D300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300E0" w:rsidRPr="00D300E0" w:rsidSect="002B4D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3D" w:rsidRDefault="0094783D" w:rsidP="00F95C08">
      <w:pPr>
        <w:spacing w:line="240" w:lineRule="auto"/>
      </w:pPr>
    </w:p>
  </w:endnote>
  <w:endnote w:type="continuationSeparator" w:id="0">
    <w:p w:rsidR="0094783D" w:rsidRPr="00AC3823" w:rsidRDefault="0094783D" w:rsidP="00AC3823">
      <w:pPr>
        <w:pStyle w:val="Footer"/>
      </w:pPr>
    </w:p>
  </w:endnote>
  <w:endnote w:type="continuationNotice" w:id="1">
    <w:p w:rsidR="0094783D" w:rsidRDefault="009478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BB" w:rsidRPr="002B4DBB" w:rsidRDefault="002B4DBB" w:rsidP="002B4DBB">
    <w:pPr>
      <w:pStyle w:val="Footer"/>
      <w:tabs>
        <w:tab w:val="right" w:pos="9638"/>
      </w:tabs>
    </w:pPr>
    <w:r w:rsidRPr="002B4DBB">
      <w:rPr>
        <w:b/>
        <w:sz w:val="18"/>
      </w:rPr>
      <w:fldChar w:fldCharType="begin"/>
    </w:r>
    <w:r w:rsidRPr="002B4DBB">
      <w:rPr>
        <w:b/>
        <w:sz w:val="18"/>
      </w:rPr>
      <w:instrText xml:space="preserve"> PAGE  \* MERGEFORMAT </w:instrText>
    </w:r>
    <w:r w:rsidRPr="002B4DBB">
      <w:rPr>
        <w:b/>
        <w:sz w:val="18"/>
      </w:rPr>
      <w:fldChar w:fldCharType="separate"/>
    </w:r>
    <w:r w:rsidR="00440368">
      <w:rPr>
        <w:b/>
        <w:noProof/>
        <w:sz w:val="18"/>
      </w:rPr>
      <w:t>2</w:t>
    </w:r>
    <w:r w:rsidRPr="002B4DBB">
      <w:rPr>
        <w:b/>
        <w:sz w:val="18"/>
      </w:rPr>
      <w:fldChar w:fldCharType="end"/>
    </w:r>
    <w:r>
      <w:rPr>
        <w:b/>
        <w:sz w:val="18"/>
      </w:rPr>
      <w:tab/>
    </w:r>
    <w:r>
      <w:t>GE.18-14012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BB" w:rsidRPr="002B4DBB" w:rsidRDefault="002B4DBB" w:rsidP="002B4DBB">
    <w:pPr>
      <w:pStyle w:val="Footer"/>
      <w:tabs>
        <w:tab w:val="right" w:pos="9638"/>
      </w:tabs>
      <w:rPr>
        <w:b/>
        <w:sz w:val="18"/>
      </w:rPr>
    </w:pPr>
    <w:r>
      <w:t>GE.18-14012</w:t>
    </w:r>
    <w:r>
      <w:tab/>
    </w:r>
    <w:r w:rsidRPr="002B4DBB">
      <w:rPr>
        <w:b/>
        <w:sz w:val="18"/>
      </w:rPr>
      <w:fldChar w:fldCharType="begin"/>
    </w:r>
    <w:r w:rsidRPr="002B4DBB">
      <w:rPr>
        <w:b/>
        <w:sz w:val="18"/>
      </w:rPr>
      <w:instrText xml:space="preserve"> PAGE  \* MERGEFORMAT </w:instrText>
    </w:r>
    <w:r w:rsidRPr="002B4DBB">
      <w:rPr>
        <w:b/>
        <w:sz w:val="18"/>
      </w:rPr>
      <w:fldChar w:fldCharType="separate"/>
    </w:r>
    <w:r w:rsidR="00440368">
      <w:rPr>
        <w:b/>
        <w:noProof/>
        <w:sz w:val="18"/>
      </w:rPr>
      <w:t>3</w:t>
    </w:r>
    <w:r w:rsidRPr="002B4D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2B4DBB" w:rsidRDefault="002B4DBB" w:rsidP="002B4DB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14012  (</w:t>
    </w:r>
    <w:proofErr w:type="gramEnd"/>
    <w:r>
      <w:rPr>
        <w:sz w:val="20"/>
      </w:rPr>
      <w:t>F)    280918    021018</w:t>
    </w:r>
    <w:r>
      <w:rPr>
        <w:sz w:val="20"/>
      </w:rPr>
      <w:br/>
    </w:r>
    <w:r w:rsidRPr="002B4DBB">
      <w:rPr>
        <w:rFonts w:ascii="C39T30Lfz" w:hAnsi="C39T30Lfz"/>
        <w:sz w:val="56"/>
      </w:rPr>
      <w:t></w:t>
    </w:r>
    <w:r w:rsidRPr="002B4DBB">
      <w:rPr>
        <w:rFonts w:ascii="C39T30Lfz" w:hAnsi="C39T30Lfz"/>
        <w:sz w:val="56"/>
      </w:rPr>
      <w:t></w:t>
    </w:r>
    <w:r w:rsidRPr="002B4DBB">
      <w:rPr>
        <w:rFonts w:ascii="C39T30Lfz" w:hAnsi="C39T30Lfz"/>
        <w:sz w:val="56"/>
      </w:rPr>
      <w:t></w:t>
    </w:r>
    <w:r w:rsidRPr="002B4DBB">
      <w:rPr>
        <w:rFonts w:ascii="C39T30Lfz" w:hAnsi="C39T30Lfz"/>
        <w:sz w:val="56"/>
      </w:rPr>
      <w:t></w:t>
    </w:r>
    <w:r w:rsidRPr="002B4DBB">
      <w:rPr>
        <w:rFonts w:ascii="C39T30Lfz" w:hAnsi="C39T30Lfz"/>
        <w:sz w:val="56"/>
      </w:rPr>
      <w:t></w:t>
    </w:r>
    <w:r w:rsidRPr="002B4DBB">
      <w:rPr>
        <w:rFonts w:ascii="C39T30Lfz" w:hAnsi="C39T30Lfz"/>
        <w:sz w:val="56"/>
      </w:rPr>
      <w:t></w:t>
    </w:r>
    <w:r w:rsidRPr="002B4DBB">
      <w:rPr>
        <w:rFonts w:ascii="C39T30Lfz" w:hAnsi="C39T30Lfz"/>
        <w:sz w:val="56"/>
      </w:rPr>
      <w:t></w:t>
    </w:r>
    <w:r w:rsidRPr="002B4DBB">
      <w:rPr>
        <w:rFonts w:ascii="C39T30Lfz" w:hAnsi="C39T30Lfz"/>
        <w:sz w:val="56"/>
      </w:rPr>
      <w:t></w:t>
    </w:r>
    <w:r w:rsidRPr="002B4DB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6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6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3D" w:rsidRPr="00AC3823" w:rsidRDefault="009478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783D" w:rsidRPr="00AC3823" w:rsidRDefault="009478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4783D" w:rsidRPr="00AC3823" w:rsidRDefault="0094783D">
      <w:pPr>
        <w:spacing w:line="240" w:lineRule="auto"/>
        <w:rPr>
          <w:sz w:val="2"/>
          <w:szCs w:val="2"/>
        </w:rPr>
      </w:pPr>
    </w:p>
  </w:footnote>
  <w:footnote w:id="2">
    <w:p w:rsidR="00D300E0" w:rsidRPr="00D300E0" w:rsidRDefault="00D300E0" w:rsidP="00D300E0">
      <w:pPr>
        <w:pStyle w:val="FootnoteText"/>
      </w:pPr>
      <w:r>
        <w:rPr>
          <w:rStyle w:val="FootnoteReference"/>
        </w:rPr>
        <w:tab/>
      </w:r>
      <w:r w:rsidRPr="00D300E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</w:t>
      </w:r>
      <w:r w:rsidRPr="00D300E0">
        <w:t>programme</w:t>
      </w:r>
      <w:r>
        <w:rPr>
          <w:lang w:val="fr-FR"/>
        </w:rPr>
        <w:t xml:space="preserve"> de travail du Sous-Comité pour la période biennale 2017-2018, approuvé par le Comité à sa huitième session </w:t>
      </w:r>
      <w:r w:rsidR="009F16BA">
        <w:rPr>
          <w:lang w:val="fr-FR"/>
        </w:rPr>
        <w:t>(voir ST/SG/AC.10/C.3/100, par. </w:t>
      </w:r>
      <w:r>
        <w:rPr>
          <w:lang w:val="fr-FR"/>
        </w:rPr>
        <w:t>98, et ST/SG/AC.10/44, par.</w:t>
      </w:r>
      <w:r w:rsidR="005006B1">
        <w:rPr>
          <w:lang w:val="fr-FR"/>
        </w:rPr>
        <w:t> </w:t>
      </w:r>
      <w:r>
        <w:rPr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BB" w:rsidRPr="002B4DBB" w:rsidRDefault="00983B2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ST/SG/AC.10/C.3/2018/66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BB" w:rsidRPr="002B4DBB" w:rsidRDefault="00983B2F" w:rsidP="002B4DB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ST/SG/AC.10/C.3/2018/66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3D"/>
    <w:rsid w:val="00017F94"/>
    <w:rsid w:val="00023842"/>
    <w:rsid w:val="000305D3"/>
    <w:rsid w:val="000334F9"/>
    <w:rsid w:val="0007796D"/>
    <w:rsid w:val="000B7790"/>
    <w:rsid w:val="00111F2F"/>
    <w:rsid w:val="00132EA9"/>
    <w:rsid w:val="00135521"/>
    <w:rsid w:val="0014365E"/>
    <w:rsid w:val="00176178"/>
    <w:rsid w:val="001D2C99"/>
    <w:rsid w:val="001F525A"/>
    <w:rsid w:val="00223272"/>
    <w:rsid w:val="0024779E"/>
    <w:rsid w:val="00275D5F"/>
    <w:rsid w:val="00283190"/>
    <w:rsid w:val="002832AC"/>
    <w:rsid w:val="002B4DBB"/>
    <w:rsid w:val="002D7C93"/>
    <w:rsid w:val="00440368"/>
    <w:rsid w:val="00441C3B"/>
    <w:rsid w:val="00446FE5"/>
    <w:rsid w:val="00452396"/>
    <w:rsid w:val="004E468C"/>
    <w:rsid w:val="005006B1"/>
    <w:rsid w:val="005505B7"/>
    <w:rsid w:val="00573BE5"/>
    <w:rsid w:val="00584DC4"/>
    <w:rsid w:val="00586ED3"/>
    <w:rsid w:val="00596AA9"/>
    <w:rsid w:val="0064060A"/>
    <w:rsid w:val="0068456F"/>
    <w:rsid w:val="006C0636"/>
    <w:rsid w:val="0071601D"/>
    <w:rsid w:val="00775EE3"/>
    <w:rsid w:val="007A62E6"/>
    <w:rsid w:val="007E101A"/>
    <w:rsid w:val="0080684C"/>
    <w:rsid w:val="00871C75"/>
    <w:rsid w:val="008776DC"/>
    <w:rsid w:val="008B40CD"/>
    <w:rsid w:val="0094783D"/>
    <w:rsid w:val="009705C8"/>
    <w:rsid w:val="00983B2F"/>
    <w:rsid w:val="009C1CF4"/>
    <w:rsid w:val="009F16BA"/>
    <w:rsid w:val="00A30353"/>
    <w:rsid w:val="00AC3823"/>
    <w:rsid w:val="00AE323C"/>
    <w:rsid w:val="00B00181"/>
    <w:rsid w:val="00B00B0D"/>
    <w:rsid w:val="00B765F7"/>
    <w:rsid w:val="00BA0CA9"/>
    <w:rsid w:val="00C02897"/>
    <w:rsid w:val="00CA799F"/>
    <w:rsid w:val="00D300E0"/>
    <w:rsid w:val="00D3439C"/>
    <w:rsid w:val="00DB1831"/>
    <w:rsid w:val="00DD3BFD"/>
    <w:rsid w:val="00DE5547"/>
    <w:rsid w:val="00DF6678"/>
    <w:rsid w:val="00E3527A"/>
    <w:rsid w:val="00EF2E22"/>
    <w:rsid w:val="00F0144F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6CA10D-1BA5-4BD2-9351-FCDB1BB2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A4D3-1148-4640-9E91-2254EB2F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ST/SG/AC.10/C.3/2018/66</vt:lpstr>
      <vt:lpstr>ST/SG/AC.10/C.3/2018/66</vt:lpstr>
    </vt:vector>
  </TitlesOfParts>
  <Company>DCM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ST/SG/AC.10/C.3/2018/66</dc:title>
  <dc:subject/>
  <dc:creator>Sandrine CLERE</dc:creator>
  <cp:keywords/>
  <cp:lastModifiedBy>Laurence Berthet</cp:lastModifiedBy>
  <cp:revision>3</cp:revision>
  <cp:lastPrinted>2018-10-02T14:08:00Z</cp:lastPrinted>
  <dcterms:created xsi:type="dcterms:W3CDTF">2018-10-02T14:08:00Z</dcterms:created>
  <dcterms:modified xsi:type="dcterms:W3CDTF">2018-10-02T14:08:00Z</dcterms:modified>
</cp:coreProperties>
</file>