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27154">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27154" w:rsidP="00F27154">
            <w:pPr>
              <w:jc w:val="right"/>
            </w:pPr>
            <w:r w:rsidRPr="00F27154">
              <w:rPr>
                <w:sz w:val="40"/>
              </w:rPr>
              <w:t>ST</w:t>
            </w:r>
            <w:r>
              <w:t>/SG/AC.10/C.3/2018/58</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27154" w:rsidP="00F01738">
            <w:pPr>
              <w:spacing w:before="240"/>
            </w:pPr>
            <w:proofErr w:type="spellStart"/>
            <w:r>
              <w:t>Distr</w:t>
            </w:r>
            <w:proofErr w:type="spellEnd"/>
            <w:r>
              <w:t xml:space="preserve">. </w:t>
            </w:r>
            <w:proofErr w:type="gramStart"/>
            <w:r>
              <w:t>générale</w:t>
            </w:r>
            <w:proofErr w:type="gramEnd"/>
          </w:p>
          <w:p w:rsidR="00F27154" w:rsidRDefault="00F27154" w:rsidP="00F27154">
            <w:pPr>
              <w:spacing w:line="240" w:lineRule="exact"/>
            </w:pPr>
            <w:r>
              <w:t>9 avril 2018</w:t>
            </w:r>
          </w:p>
          <w:p w:rsidR="00F27154" w:rsidRDefault="00F27154" w:rsidP="00F27154">
            <w:pPr>
              <w:spacing w:line="240" w:lineRule="exact"/>
            </w:pPr>
            <w:r>
              <w:t>Français</w:t>
            </w:r>
          </w:p>
          <w:p w:rsidR="00F27154" w:rsidRPr="00DB58B5" w:rsidRDefault="00F27154" w:rsidP="00F27154">
            <w:pPr>
              <w:spacing w:line="240" w:lineRule="exact"/>
            </w:pPr>
            <w:r>
              <w:t>Original : anglais</w:t>
            </w:r>
          </w:p>
        </w:tc>
      </w:tr>
    </w:tbl>
    <w:p w:rsidR="00F27154" w:rsidRPr="00CA0680" w:rsidRDefault="00F2715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sidR="00A258F7">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sidR="00A258F7">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F27154" w:rsidRPr="00CA0680" w:rsidRDefault="00F27154" w:rsidP="000305D3">
      <w:pPr>
        <w:spacing w:before="120"/>
        <w:rPr>
          <w:b/>
        </w:rPr>
      </w:pPr>
      <w:r w:rsidRPr="00CA0680">
        <w:rPr>
          <w:b/>
        </w:rPr>
        <w:t>Sous</w:t>
      </w:r>
      <w:r>
        <w:rPr>
          <w:b/>
        </w:rPr>
        <w:t>-</w:t>
      </w:r>
      <w:r w:rsidRPr="00CA0680">
        <w:rPr>
          <w:b/>
        </w:rPr>
        <w:t>Comité d’experts du transport des marchandises dangereuses</w:t>
      </w:r>
    </w:p>
    <w:p w:rsidR="00F27154" w:rsidRDefault="00C370F9" w:rsidP="000305D3">
      <w:pPr>
        <w:spacing w:before="120"/>
        <w:rPr>
          <w:b/>
        </w:rPr>
      </w:pPr>
      <w:r w:rsidRPr="008718C0">
        <w:rPr>
          <w:b/>
        </w:rPr>
        <w:t xml:space="preserve">Cinquante-troisième </w:t>
      </w:r>
      <w:r w:rsidR="00F27154" w:rsidRPr="00CA0680">
        <w:rPr>
          <w:b/>
        </w:rPr>
        <w:t>session</w:t>
      </w:r>
    </w:p>
    <w:p w:rsidR="00F27154" w:rsidRDefault="00F27154" w:rsidP="000305D3">
      <w:r>
        <w:t xml:space="preserve">Genève, </w:t>
      </w:r>
      <w:r w:rsidR="00C370F9" w:rsidRPr="008718C0">
        <w:t>25 juin-4 juillet 2018</w:t>
      </w:r>
    </w:p>
    <w:p w:rsidR="00F27154" w:rsidRDefault="00F27154" w:rsidP="000305D3">
      <w:r>
        <w:t xml:space="preserve">Point </w:t>
      </w:r>
      <w:r w:rsidR="008718C0" w:rsidRPr="003B3FB7">
        <w:t xml:space="preserve">2 </w:t>
      </w:r>
      <w:r w:rsidR="008718C0" w:rsidRPr="004225CB">
        <w:t xml:space="preserve">c) </w:t>
      </w:r>
      <w:r w:rsidR="008718C0" w:rsidRPr="003B3FB7">
        <w:t>de l’ordre du jour provisoire</w:t>
      </w:r>
    </w:p>
    <w:p w:rsidR="008718C0" w:rsidRPr="004225CB" w:rsidRDefault="008718C0" w:rsidP="008718C0">
      <w:pPr>
        <w:rPr>
          <w:b/>
        </w:rPr>
      </w:pPr>
      <w:r w:rsidRPr="003B3FB7">
        <w:rPr>
          <w:b/>
        </w:rPr>
        <w:t>Explosifs et questions connexes</w:t>
      </w:r>
      <w:r w:rsidR="00A258F7">
        <w:rPr>
          <w:b/>
        </w:rPr>
        <w:t> :</w:t>
      </w:r>
      <w:r w:rsidRPr="004225CB">
        <w:rPr>
          <w:b/>
        </w:rPr>
        <w:t xml:space="preserve"> </w:t>
      </w:r>
      <w:r w:rsidRPr="004225CB">
        <w:rPr>
          <w:b/>
        </w:rPr>
        <w:br/>
      </w:r>
      <w:r w:rsidRPr="003B3FB7">
        <w:rPr>
          <w:b/>
        </w:rPr>
        <w:t>Détonateurs électroniques</w:t>
      </w:r>
    </w:p>
    <w:p w:rsidR="008718C0" w:rsidRPr="004225CB" w:rsidRDefault="008718C0" w:rsidP="008718C0">
      <w:pPr>
        <w:pStyle w:val="HChG"/>
      </w:pPr>
      <w:r w:rsidRPr="004225CB">
        <w:tab/>
      </w:r>
      <w:r w:rsidRPr="004225CB">
        <w:tab/>
      </w:r>
      <w:r w:rsidRPr="003B3FB7">
        <w:t>Nouvelles rubriques ONU pour les détonateurs électroniques</w:t>
      </w:r>
    </w:p>
    <w:p w:rsidR="008718C0" w:rsidRPr="00913E63" w:rsidRDefault="008718C0" w:rsidP="008718C0">
      <w:pPr>
        <w:pStyle w:val="H1G"/>
        <w:rPr>
          <w:lang w:val="en-US"/>
        </w:rPr>
      </w:pPr>
      <w:r w:rsidRPr="004225CB">
        <w:tab/>
      </w:r>
      <w:r w:rsidRPr="004225CB">
        <w:tab/>
      </w:r>
      <w:r w:rsidRPr="00913E63">
        <w:rPr>
          <w:lang w:val="en-US"/>
        </w:rPr>
        <w:t>Communication de l’Australian Explosives Industry and Safety Group (AEISG)</w:t>
      </w:r>
      <w:r w:rsidR="004A450D" w:rsidRPr="00C55148">
        <w:rPr>
          <w:rStyle w:val="FootnoteReference"/>
          <w:b w:val="0"/>
          <w:sz w:val="20"/>
          <w:vertAlign w:val="baseline"/>
          <w:lang w:val="en-US"/>
        </w:rPr>
        <w:footnoteReference w:customMarkFollows="1" w:id="2"/>
        <w:t>*</w:t>
      </w:r>
    </w:p>
    <w:p w:rsidR="008718C0" w:rsidRPr="004225CB" w:rsidRDefault="008718C0" w:rsidP="008718C0">
      <w:pPr>
        <w:pStyle w:val="HChG"/>
        <w:rPr>
          <w:szCs w:val="28"/>
        </w:rPr>
      </w:pPr>
      <w:r w:rsidRPr="00913E63">
        <w:rPr>
          <w:lang w:val="en-US"/>
        </w:rPr>
        <w:tab/>
      </w:r>
      <w:r w:rsidRPr="00913E63">
        <w:rPr>
          <w:lang w:val="en-US"/>
        </w:rPr>
        <w:tab/>
      </w:r>
      <w:r w:rsidRPr="004225CB">
        <w:t>Introduction</w:t>
      </w:r>
    </w:p>
    <w:p w:rsidR="008718C0" w:rsidRPr="004225CB" w:rsidRDefault="008718C0" w:rsidP="008718C0">
      <w:pPr>
        <w:pStyle w:val="SingleTxtG"/>
      </w:pPr>
      <w:r w:rsidRPr="004225CB">
        <w:t>1.</w:t>
      </w:r>
      <w:r w:rsidRPr="004225CB">
        <w:tab/>
      </w:r>
      <w:r w:rsidRPr="003B3FB7">
        <w:t>Le Règlement type comprend, dans sa version actuelle,</w:t>
      </w:r>
      <w:r w:rsidRPr="004225CB">
        <w:t xml:space="preserve"> </w:t>
      </w:r>
      <w:r w:rsidRPr="003B3FB7">
        <w:t>les rubriques ci-après pour les détonateurs</w:t>
      </w:r>
      <w:r w:rsidRPr="004225CB">
        <w:t xml:space="preserve"> </w:t>
      </w:r>
      <w:r w:rsidRPr="003B3FB7">
        <w:t>autres que pour munitions </w:t>
      </w:r>
      <w:r w:rsidRPr="004225CB">
        <w:t>:</w:t>
      </w:r>
    </w:p>
    <w:tbl>
      <w:tblPr>
        <w:tblStyle w:val="Grilledutableau1"/>
        <w:tblW w:w="0" w:type="auto"/>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1020"/>
        <w:gridCol w:w="1814"/>
      </w:tblGrid>
      <w:tr w:rsidR="008718C0" w:rsidRPr="004225CB" w:rsidTr="00C55148">
        <w:trPr>
          <w:tblHeader/>
        </w:trPr>
        <w:tc>
          <w:tcPr>
            <w:tcW w:w="4536" w:type="dxa"/>
            <w:tcBorders>
              <w:top w:val="single" w:sz="4" w:space="0" w:color="auto"/>
              <w:bottom w:val="single" w:sz="12" w:space="0" w:color="auto"/>
            </w:tcBorders>
            <w:shd w:val="clear" w:color="auto" w:fill="auto"/>
            <w:vAlign w:val="bottom"/>
          </w:tcPr>
          <w:p w:rsidR="008718C0" w:rsidRPr="004225CB" w:rsidRDefault="008718C0" w:rsidP="009E7872">
            <w:pPr>
              <w:suppressAutoHyphens w:val="0"/>
              <w:spacing w:before="80" w:after="80" w:line="200" w:lineRule="exact"/>
              <w:rPr>
                <w:b/>
                <w:sz w:val="16"/>
              </w:rPr>
            </w:pPr>
            <w:r w:rsidRPr="009E7872">
              <w:rPr>
                <w:rFonts w:eastAsia="Times New Roman"/>
                <w:i/>
                <w:sz w:val="16"/>
                <w:lang w:val="fr-FR"/>
              </w:rPr>
              <w:t>Nom et description</w:t>
            </w:r>
          </w:p>
        </w:tc>
        <w:tc>
          <w:tcPr>
            <w:tcW w:w="1020" w:type="dxa"/>
            <w:tcBorders>
              <w:top w:val="single" w:sz="4" w:space="0" w:color="auto"/>
              <w:bottom w:val="single" w:sz="12" w:space="0" w:color="auto"/>
            </w:tcBorders>
            <w:shd w:val="clear" w:color="auto" w:fill="auto"/>
            <w:vAlign w:val="bottom"/>
          </w:tcPr>
          <w:p w:rsidR="008718C0" w:rsidRPr="009E7872" w:rsidRDefault="008718C0" w:rsidP="009E7872">
            <w:pPr>
              <w:suppressAutoHyphens w:val="0"/>
              <w:spacing w:before="80" w:after="80" w:line="200" w:lineRule="exact"/>
              <w:jc w:val="right"/>
              <w:rPr>
                <w:rFonts w:eastAsia="Times New Roman"/>
                <w:i/>
                <w:sz w:val="16"/>
                <w:lang w:val="fr-FR"/>
              </w:rPr>
            </w:pPr>
            <w:r w:rsidRPr="009E7872">
              <w:rPr>
                <w:rFonts w:eastAsia="Times New Roman"/>
                <w:i/>
                <w:sz w:val="16"/>
                <w:lang w:val="fr-FR"/>
              </w:rPr>
              <w:t>Classe</w:t>
            </w:r>
          </w:p>
        </w:tc>
        <w:tc>
          <w:tcPr>
            <w:tcW w:w="1814" w:type="dxa"/>
            <w:tcBorders>
              <w:top w:val="single" w:sz="4" w:space="0" w:color="auto"/>
              <w:bottom w:val="single" w:sz="12" w:space="0" w:color="auto"/>
            </w:tcBorders>
            <w:shd w:val="clear" w:color="auto" w:fill="auto"/>
            <w:vAlign w:val="bottom"/>
          </w:tcPr>
          <w:p w:rsidR="008718C0" w:rsidRPr="009E7872" w:rsidRDefault="00A258F7" w:rsidP="009E7872">
            <w:pPr>
              <w:suppressAutoHyphens w:val="0"/>
              <w:spacing w:before="80" w:after="80" w:line="200" w:lineRule="exact"/>
              <w:jc w:val="right"/>
              <w:rPr>
                <w:rFonts w:eastAsia="Times New Roman"/>
                <w:i/>
                <w:sz w:val="16"/>
                <w:lang w:val="fr-FR"/>
              </w:rPr>
            </w:pPr>
            <w:r w:rsidRPr="00A258F7">
              <w:rPr>
                <w:rFonts w:eastAsia="MS Mincho"/>
                <w:i/>
                <w:sz w:val="16"/>
                <w:szCs w:val="22"/>
                <w:lang w:val="fr-FR"/>
              </w:rPr>
              <w:t>N</w:t>
            </w:r>
            <w:r w:rsidRPr="00A258F7">
              <w:rPr>
                <w:rFonts w:eastAsia="MS Mincho"/>
                <w:i/>
                <w:sz w:val="16"/>
                <w:szCs w:val="22"/>
                <w:vertAlign w:val="superscript"/>
                <w:lang w:val="fr-FR"/>
              </w:rPr>
              <w:t>o</w:t>
            </w:r>
            <w:r>
              <w:rPr>
                <w:rFonts w:eastAsia="Times New Roman"/>
                <w:i/>
                <w:sz w:val="16"/>
                <w:lang w:val="fr-FR"/>
              </w:rPr>
              <w:t> </w:t>
            </w:r>
            <w:r w:rsidR="008718C0" w:rsidRPr="009E7872">
              <w:rPr>
                <w:rFonts w:eastAsia="Times New Roman"/>
                <w:i/>
                <w:sz w:val="16"/>
                <w:lang w:val="fr-FR"/>
              </w:rPr>
              <w:t>ONU</w:t>
            </w:r>
          </w:p>
        </w:tc>
      </w:tr>
      <w:tr w:rsidR="008718C0" w:rsidRPr="004225CB" w:rsidTr="00C55148">
        <w:tc>
          <w:tcPr>
            <w:tcW w:w="4536" w:type="dxa"/>
            <w:tcBorders>
              <w:top w:val="single" w:sz="12" w:space="0" w:color="auto"/>
            </w:tcBorders>
            <w:shd w:val="clear" w:color="auto" w:fill="auto"/>
          </w:tcPr>
          <w:p w:rsidR="008718C0" w:rsidRPr="00270A83" w:rsidRDefault="008718C0" w:rsidP="00270A83">
            <w:pPr>
              <w:suppressAutoHyphens w:val="0"/>
              <w:spacing w:before="40" w:after="40" w:line="220" w:lineRule="exact"/>
              <w:rPr>
                <w:rFonts w:eastAsia="Times New Roman"/>
                <w:sz w:val="18"/>
                <w:lang w:val="fr-FR"/>
              </w:rPr>
            </w:pPr>
            <w:r w:rsidRPr="00270A83">
              <w:rPr>
                <w:rFonts w:eastAsia="Times New Roman"/>
                <w:sz w:val="18"/>
                <w:lang w:val="fr-FR"/>
              </w:rPr>
              <w:t>DÉTONATEURS de sautage NON ÉLECTRIQUES, voir</w:t>
            </w:r>
          </w:p>
        </w:tc>
        <w:tc>
          <w:tcPr>
            <w:tcW w:w="1020" w:type="dxa"/>
            <w:tcBorders>
              <w:top w:val="single" w:sz="12" w:space="0" w:color="auto"/>
            </w:tcBorders>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1.1B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1.4S</w:t>
            </w:r>
          </w:p>
        </w:tc>
        <w:tc>
          <w:tcPr>
            <w:tcW w:w="1814" w:type="dxa"/>
            <w:tcBorders>
              <w:top w:val="single" w:sz="12" w:space="0" w:color="auto"/>
            </w:tcBorders>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0029</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0267</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0455</w:t>
            </w:r>
          </w:p>
        </w:tc>
      </w:tr>
      <w:tr w:rsidR="008718C0" w:rsidRPr="004225CB" w:rsidTr="00C55148">
        <w:tc>
          <w:tcPr>
            <w:tcW w:w="4536" w:type="dxa"/>
            <w:shd w:val="clear" w:color="auto" w:fill="auto"/>
          </w:tcPr>
          <w:p w:rsidR="008718C0" w:rsidRPr="00270A83" w:rsidRDefault="008718C0" w:rsidP="00C55148">
            <w:pPr>
              <w:suppressAutoHyphens w:val="0"/>
              <w:spacing w:before="40" w:after="40" w:line="220" w:lineRule="exact"/>
              <w:rPr>
                <w:rFonts w:eastAsia="Times New Roman"/>
                <w:sz w:val="18"/>
                <w:lang w:val="fr-FR"/>
              </w:rPr>
            </w:pPr>
            <w:r w:rsidRPr="00270A83">
              <w:rPr>
                <w:rFonts w:eastAsia="Times New Roman"/>
                <w:sz w:val="18"/>
                <w:lang w:val="fr-FR"/>
              </w:rPr>
              <w:t>DÉTONATEURS de sautage ÉLECTRIQUES, voir</w:t>
            </w:r>
          </w:p>
        </w:tc>
        <w:tc>
          <w:tcPr>
            <w:tcW w:w="1020" w:type="dxa"/>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1.1B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1.4S</w:t>
            </w:r>
          </w:p>
        </w:tc>
        <w:tc>
          <w:tcPr>
            <w:tcW w:w="1814" w:type="dxa"/>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0030</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0255</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0456</w:t>
            </w:r>
          </w:p>
        </w:tc>
      </w:tr>
      <w:tr w:rsidR="008718C0" w:rsidRPr="004225CB" w:rsidTr="00C55148">
        <w:tc>
          <w:tcPr>
            <w:tcW w:w="4536" w:type="dxa"/>
            <w:shd w:val="clear" w:color="auto" w:fill="auto"/>
          </w:tcPr>
          <w:p w:rsidR="008718C0" w:rsidRPr="00270A83" w:rsidRDefault="008718C0" w:rsidP="00270A83">
            <w:pPr>
              <w:suppressAutoHyphens w:val="0"/>
              <w:spacing w:before="40" w:after="40" w:line="220" w:lineRule="exact"/>
              <w:rPr>
                <w:rFonts w:eastAsia="Times New Roman"/>
                <w:sz w:val="18"/>
                <w:lang w:val="fr-FR"/>
              </w:rPr>
            </w:pPr>
            <w:r w:rsidRPr="00270A83">
              <w:rPr>
                <w:rFonts w:eastAsia="Times New Roman"/>
                <w:sz w:val="18"/>
                <w:lang w:val="fr-FR"/>
              </w:rPr>
              <w:t>ASSEMBLAGES DE DÉTONATEURS de sautage</w:t>
            </w:r>
            <w:r w:rsidR="00270A83">
              <w:rPr>
                <w:rFonts w:eastAsia="Times New Roman"/>
                <w:sz w:val="18"/>
                <w:lang w:val="fr-FR"/>
              </w:rPr>
              <w:t xml:space="preserve"> </w:t>
            </w:r>
            <w:r w:rsidRPr="00270A83">
              <w:rPr>
                <w:rFonts w:eastAsia="Times New Roman"/>
                <w:sz w:val="18"/>
                <w:lang w:val="fr-FR"/>
              </w:rPr>
              <w:t>NON ÉLECTRIQUES, voir</w:t>
            </w:r>
          </w:p>
        </w:tc>
        <w:tc>
          <w:tcPr>
            <w:tcW w:w="1020" w:type="dxa"/>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1.1B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1.4B</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1.4S</w:t>
            </w:r>
          </w:p>
        </w:tc>
        <w:tc>
          <w:tcPr>
            <w:tcW w:w="1814" w:type="dxa"/>
            <w:shd w:val="clear" w:color="auto" w:fill="auto"/>
            <w:vAlign w:val="bottom"/>
          </w:tcPr>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0360</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0361</w:t>
            </w:r>
          </w:p>
          <w:p w:rsidR="008718C0" w:rsidRPr="00270A83" w:rsidRDefault="008718C0" w:rsidP="00270A83">
            <w:pPr>
              <w:suppressAutoHyphens w:val="0"/>
              <w:spacing w:before="40" w:after="40" w:line="220" w:lineRule="exact"/>
              <w:jc w:val="right"/>
              <w:rPr>
                <w:rFonts w:eastAsia="Times New Roman"/>
                <w:sz w:val="18"/>
                <w:lang w:val="fr-FR"/>
              </w:rPr>
            </w:pPr>
            <w:r w:rsidRPr="00270A83">
              <w:rPr>
                <w:rFonts w:eastAsia="Times New Roman"/>
                <w:sz w:val="18"/>
                <w:lang w:val="fr-FR"/>
              </w:rPr>
              <w:t>0500</w:t>
            </w:r>
          </w:p>
        </w:tc>
      </w:tr>
    </w:tbl>
    <w:p w:rsidR="008718C0" w:rsidRPr="004225CB" w:rsidRDefault="008718C0" w:rsidP="00685F35">
      <w:pPr>
        <w:pStyle w:val="SingleTxtG"/>
        <w:spacing w:before="240"/>
      </w:pPr>
      <w:r w:rsidRPr="004225CB">
        <w:t>2.</w:t>
      </w:r>
      <w:r w:rsidRPr="004225CB">
        <w:tab/>
      </w:r>
      <w:r w:rsidRPr="003B3FB7">
        <w:t>À la cinquante et unième</w:t>
      </w:r>
      <w:r w:rsidRPr="004225CB">
        <w:t xml:space="preserve"> session</w:t>
      </w:r>
      <w:r>
        <w:t xml:space="preserve"> du Sous-Comité</w:t>
      </w:r>
      <w:r w:rsidRPr="003B3FB7">
        <w:t>,</w:t>
      </w:r>
      <w:r w:rsidRPr="004225CB">
        <w:t xml:space="preserve"> </w:t>
      </w:r>
      <w:r w:rsidRPr="003B3FB7">
        <w:t>e</w:t>
      </w:r>
      <w:r w:rsidRPr="004225CB">
        <w:t xml:space="preserve">n </w:t>
      </w:r>
      <w:r w:rsidRPr="003B3FB7">
        <w:t>juillet</w:t>
      </w:r>
      <w:r w:rsidR="00A258F7">
        <w:t xml:space="preserve"> </w:t>
      </w:r>
      <w:r w:rsidRPr="004225CB">
        <w:t xml:space="preserve">2017, </w:t>
      </w:r>
      <w:r w:rsidRPr="003B3FB7">
        <w:t>l’</w:t>
      </w:r>
      <w:r w:rsidRPr="004225CB">
        <w:t xml:space="preserve">AEISG </w:t>
      </w:r>
      <w:r w:rsidRPr="003B3FB7">
        <w:t>a proposé d’ajouter dans le Règlement type de nouvelles rubriques</w:t>
      </w:r>
      <w:r>
        <w:t xml:space="preserve"> </w:t>
      </w:r>
      <w:r w:rsidRPr="003B3FB7">
        <w:t>ONU pour les détonateurs électroniques (</w:t>
      </w:r>
      <w:r w:rsidRPr="004225CB">
        <w:t>ST/SG/AC.10/C.3/2017/14</w:t>
      </w:r>
      <w:r w:rsidRPr="003B3FB7">
        <w:t>)</w:t>
      </w:r>
      <w:r w:rsidRPr="004225CB">
        <w:t xml:space="preserve">. </w:t>
      </w:r>
      <w:r>
        <w:t>La Suède, dans un document informel</w:t>
      </w:r>
      <w:r w:rsidRPr="004225CB">
        <w:t xml:space="preserve"> </w:t>
      </w:r>
      <w:r>
        <w:t>qu’elle a soumis par la suite à ce sujet</w:t>
      </w:r>
      <w:r w:rsidRPr="004225CB">
        <w:t xml:space="preserve"> </w:t>
      </w:r>
      <w:r>
        <w:t>(</w:t>
      </w:r>
      <w:r w:rsidRPr="004225CB">
        <w:t>INF.33</w:t>
      </w:r>
      <w:r>
        <w:t xml:space="preserve">), a suggéré de modifier le libellé des rubriques </w:t>
      </w:r>
      <w:r>
        <w:lastRenderedPageBreak/>
        <w:t>existantes concernant les détonateurs électriques</w:t>
      </w:r>
      <w:r w:rsidRPr="004225CB">
        <w:t xml:space="preserve"> </w:t>
      </w:r>
      <w:r>
        <w:t>de sorte à inclure également les</w:t>
      </w:r>
      <w:r w:rsidRPr="004225CB">
        <w:t xml:space="preserve"> </w:t>
      </w:r>
      <w:r>
        <w:t>détonateurs électroniques</w:t>
      </w:r>
      <w:r w:rsidRPr="004225CB">
        <w:t>.</w:t>
      </w:r>
    </w:p>
    <w:p w:rsidR="008718C0" w:rsidRPr="004225CB" w:rsidRDefault="008718C0" w:rsidP="008718C0">
      <w:pPr>
        <w:pStyle w:val="SingleTxtG"/>
      </w:pPr>
      <w:r w:rsidRPr="004225CB">
        <w:t>3.</w:t>
      </w:r>
      <w:r w:rsidRPr="004225CB">
        <w:tab/>
      </w:r>
      <w:r>
        <w:t>Il convient de ne pas confondre détonateurs électroniques</w:t>
      </w:r>
      <w:r w:rsidRPr="004225CB">
        <w:t xml:space="preserve"> </w:t>
      </w:r>
      <w:r>
        <w:t>et</w:t>
      </w:r>
      <w:r w:rsidRPr="004225CB">
        <w:t xml:space="preserve"> </w:t>
      </w:r>
      <w:r>
        <w:t>détonateurs électriques ;</w:t>
      </w:r>
      <w:r w:rsidRPr="004225CB">
        <w:t xml:space="preserve"> </w:t>
      </w:r>
      <w:r>
        <w:t xml:space="preserve">ces détonateurs présentent entre eux des différences significatives </w:t>
      </w:r>
      <w:r w:rsidRPr="00282BE1">
        <w:t>du point de vue de la conception</w:t>
      </w:r>
      <w:r>
        <w:t xml:space="preserve"> et les détonateurs électroniques offrent de plus grands avantages en matière de sûreté et de sécurité </w:t>
      </w:r>
      <w:r w:rsidRPr="004225CB">
        <w:t>:</w:t>
      </w:r>
    </w:p>
    <w:p w:rsidR="008718C0" w:rsidRPr="004225CB" w:rsidRDefault="008718C0" w:rsidP="00685F35">
      <w:pPr>
        <w:pStyle w:val="SingleTxtG"/>
        <w:ind w:firstLine="567"/>
      </w:pPr>
      <w:r w:rsidRPr="004225CB">
        <w:t>a)</w:t>
      </w:r>
      <w:r w:rsidRPr="004225CB">
        <w:tab/>
      </w:r>
      <w:r>
        <w:t>Les détonateurs électroniques</w:t>
      </w:r>
      <w:r w:rsidRPr="004225CB">
        <w:t xml:space="preserve">, </w:t>
      </w:r>
      <w:r>
        <w:t>par définition</w:t>
      </w:r>
      <w:r w:rsidRPr="004225CB">
        <w:t xml:space="preserve">, </w:t>
      </w:r>
      <w:r>
        <w:t>ne peuvent être déclenchés électriquement sans avoir été programmés au préalable</w:t>
      </w:r>
      <w:r w:rsidRPr="004225CB">
        <w:t xml:space="preserve"> </w:t>
      </w:r>
      <w:r>
        <w:t>et sans communication avec les dispositifs de mise à feu/de sautage électroniques pertinents qui y sont associés </w:t>
      </w:r>
      <w:r w:rsidRPr="004225CB">
        <w:t>;</w:t>
      </w:r>
    </w:p>
    <w:p w:rsidR="008718C0" w:rsidRPr="004225CB" w:rsidRDefault="008718C0" w:rsidP="00685F35">
      <w:pPr>
        <w:pStyle w:val="SingleTxtG"/>
        <w:ind w:firstLine="567"/>
      </w:pPr>
      <w:r w:rsidRPr="004225CB">
        <w:t>b)</w:t>
      </w:r>
      <w:r w:rsidRPr="004225CB">
        <w:tab/>
      </w:r>
      <w:r>
        <w:t>Les fils conducteurs du détonateur électronique ne sont pas directement raccordés à une perle d’allumage ou un fil à exploser comme c’est le cas pour les</w:t>
      </w:r>
      <w:r w:rsidRPr="004225CB">
        <w:t xml:space="preserve"> </w:t>
      </w:r>
      <w:r>
        <w:t>détonateurs électriques </w:t>
      </w:r>
      <w:r w:rsidRPr="004225CB">
        <w:t>;</w:t>
      </w:r>
    </w:p>
    <w:p w:rsidR="008718C0" w:rsidRPr="004225CB" w:rsidRDefault="008718C0" w:rsidP="00685F35">
      <w:pPr>
        <w:pStyle w:val="SingleTxtG"/>
        <w:ind w:firstLine="567"/>
      </w:pPr>
      <w:r w:rsidRPr="004225CB">
        <w:t>c)</w:t>
      </w:r>
      <w:r w:rsidRPr="004225CB">
        <w:tab/>
      </w:r>
      <w:r>
        <w:t>Les détonateurs électroniques</w:t>
      </w:r>
      <w:r w:rsidRPr="004225CB">
        <w:t xml:space="preserve"> </w:t>
      </w:r>
      <w:r>
        <w:t xml:space="preserve">sont </w:t>
      </w:r>
      <w:r w:rsidRPr="004225CB">
        <w:t xml:space="preserve">résistants </w:t>
      </w:r>
      <w:r>
        <w:t>aux courants extérieurs/</w:t>
      </w:r>
      <w:r w:rsidR="00C55148">
        <w:t xml:space="preserve"> </w:t>
      </w:r>
      <w:r>
        <w:t>vagabonds/induits ainsi qu’aux dé</w:t>
      </w:r>
      <w:r w:rsidRPr="004225CB">
        <w:t>charges</w:t>
      </w:r>
      <w:r>
        <w:t xml:space="preserve"> électrostatiques </w:t>
      </w:r>
      <w:r w:rsidRPr="004225CB">
        <w:t>;</w:t>
      </w:r>
    </w:p>
    <w:p w:rsidR="008718C0" w:rsidRPr="004225CB" w:rsidRDefault="008718C0" w:rsidP="00685F35">
      <w:pPr>
        <w:pStyle w:val="SingleTxtG"/>
        <w:ind w:firstLine="567"/>
      </w:pPr>
      <w:r>
        <w:t>d)</w:t>
      </w:r>
      <w:r>
        <w:tab/>
        <w:t>La c</w:t>
      </w:r>
      <w:r w:rsidRPr="004225CB">
        <w:t xml:space="preserve">ommunication </w:t>
      </w:r>
      <w:r>
        <w:t>entre le détonateur électronique et le dispositif de mise à feu</w:t>
      </w:r>
      <w:r w:rsidRPr="004225CB">
        <w:t xml:space="preserve"> </w:t>
      </w:r>
      <w:r>
        <w:t xml:space="preserve">avant l’utilisation constitue une garantie de </w:t>
      </w:r>
      <w:r w:rsidRPr="004225CB">
        <w:t xml:space="preserve">continuité </w:t>
      </w:r>
      <w:r>
        <w:t>et permet de réduire au minimum les risques de</w:t>
      </w:r>
      <w:r w:rsidRPr="004225CB">
        <w:t xml:space="preserve"> </w:t>
      </w:r>
      <w:r>
        <w:t>ratés </w:t>
      </w:r>
      <w:r w:rsidRPr="004225CB">
        <w:t>;</w:t>
      </w:r>
    </w:p>
    <w:p w:rsidR="008718C0" w:rsidRPr="004225CB" w:rsidRDefault="008718C0" w:rsidP="00685F35">
      <w:pPr>
        <w:pStyle w:val="SingleTxtG"/>
        <w:ind w:firstLine="567"/>
      </w:pPr>
      <w:r w:rsidRPr="004225CB">
        <w:t>e)</w:t>
      </w:r>
      <w:r w:rsidRPr="004225CB">
        <w:tab/>
      </w:r>
      <w:r>
        <w:t xml:space="preserve">En utilisant des </w:t>
      </w:r>
      <w:r w:rsidRPr="004225CB">
        <w:t xml:space="preserve">systèmes </w:t>
      </w:r>
      <w:r>
        <w:t>é</w:t>
      </w:r>
      <w:r w:rsidRPr="004225CB">
        <w:t xml:space="preserve">lectroniques </w:t>
      </w:r>
      <w:r>
        <w:t>de mise à feu, on peut limiter aux opérateurs autorisés</w:t>
      </w:r>
      <w:r w:rsidRPr="004225CB">
        <w:t xml:space="preserve"> </w:t>
      </w:r>
      <w:r>
        <w:t>la possibilité de procéder à l’allumage et ainsi réduire les risques d’utilisation abusive</w:t>
      </w:r>
      <w:r w:rsidRPr="004225CB">
        <w:t>.</w:t>
      </w:r>
    </w:p>
    <w:p w:rsidR="008718C0" w:rsidRPr="004225CB" w:rsidRDefault="008718C0" w:rsidP="008718C0">
      <w:pPr>
        <w:pStyle w:val="SingleTxtG"/>
      </w:pPr>
      <w:r w:rsidRPr="004225CB">
        <w:t>4.</w:t>
      </w:r>
      <w:r w:rsidRPr="004225CB">
        <w:tab/>
      </w:r>
      <w:r>
        <w:t>Le</w:t>
      </w:r>
      <w:r w:rsidRPr="004225CB">
        <w:t xml:space="preserve"> Group</w:t>
      </w:r>
      <w:r>
        <w:t>e de travail des</w:t>
      </w:r>
      <w:r w:rsidRPr="004225CB">
        <w:t xml:space="preserve"> </w:t>
      </w:r>
      <w:r>
        <w:t>explosif</w:t>
      </w:r>
      <w:r w:rsidRPr="004225CB">
        <w:t xml:space="preserve">s </w:t>
      </w:r>
      <w:r>
        <w:t xml:space="preserve">du </w:t>
      </w:r>
      <w:r w:rsidRPr="00CE0B80">
        <w:t>Sous-Comité d’experts du transport des marchandises dangereuses</w:t>
      </w:r>
      <w:r>
        <w:t>, ayant examiné la proposition de l’</w:t>
      </w:r>
      <w:r w:rsidRPr="004225CB">
        <w:t xml:space="preserve">AEISG </w:t>
      </w:r>
      <w:r>
        <w:t>et les observations de la Suède, est convenu que les</w:t>
      </w:r>
      <w:r w:rsidRPr="004225CB">
        <w:t xml:space="preserve"> </w:t>
      </w:r>
      <w:r>
        <w:t>détonateurs électroniques</w:t>
      </w:r>
      <w:r w:rsidRPr="004225CB">
        <w:t xml:space="preserve"> </w:t>
      </w:r>
      <w:r>
        <w:t xml:space="preserve">devaient être distingués des détonateurs électriques ; il n’est toutefois pas parvenu à un </w:t>
      </w:r>
      <w:r w:rsidRPr="004225CB">
        <w:t xml:space="preserve">consensus </w:t>
      </w:r>
      <w:r>
        <w:t>quant au moyen de procéder</w:t>
      </w:r>
      <w:r w:rsidRPr="004225CB">
        <w:t xml:space="preserve"> (INF.38, </w:t>
      </w:r>
      <w:r w:rsidR="00C55148">
        <w:t>cinquante et unième</w:t>
      </w:r>
      <w:r w:rsidRPr="004225CB">
        <w:t xml:space="preserve"> session).</w:t>
      </w:r>
    </w:p>
    <w:p w:rsidR="008718C0" w:rsidRPr="004225CB" w:rsidRDefault="008718C0" w:rsidP="008718C0">
      <w:pPr>
        <w:pStyle w:val="SingleTxtG"/>
      </w:pPr>
      <w:r w:rsidRPr="004225CB">
        <w:t>5.</w:t>
      </w:r>
      <w:r w:rsidRPr="004225CB">
        <w:tab/>
      </w:r>
      <w:r w:rsidRPr="00E646FD">
        <w:t xml:space="preserve">Le Groupe de travail des explosifs </w:t>
      </w:r>
      <w:r>
        <w:t>a pris note de plusieurs problèmes de sécurité</w:t>
      </w:r>
      <w:r w:rsidRPr="004225CB">
        <w:t xml:space="preserve">, </w:t>
      </w:r>
      <w:r>
        <w:t>pas tant au niveau des transports que des opérations en aval</w:t>
      </w:r>
      <w:r w:rsidRPr="004225CB">
        <w:t xml:space="preserve"> (</w:t>
      </w:r>
      <w:r>
        <w:t>par exemple stockage,</w:t>
      </w:r>
      <w:r w:rsidRPr="004225CB">
        <w:t xml:space="preserve"> </w:t>
      </w:r>
      <w:r>
        <w:t>manutention et</w:t>
      </w:r>
      <w:r w:rsidRPr="004225CB">
        <w:t xml:space="preserve"> </w:t>
      </w:r>
      <w:r>
        <w:t>utilisation</w:t>
      </w:r>
      <w:r w:rsidRPr="004225CB">
        <w:t>)</w:t>
      </w:r>
      <w:r>
        <w:t>,</w:t>
      </w:r>
      <w:r w:rsidRPr="004225CB">
        <w:t xml:space="preserve"> </w:t>
      </w:r>
      <w:r>
        <w:t>les prescriptions actuelles d’étiquetage</w:t>
      </w:r>
      <w:r w:rsidRPr="004225CB">
        <w:t xml:space="preserve"> (</w:t>
      </w:r>
      <w:r>
        <w:t>en tant que</w:t>
      </w:r>
      <w:r w:rsidRPr="004225CB">
        <w:t xml:space="preserve"> </w:t>
      </w:r>
      <w:r>
        <w:t>détonateurs électriques</w:t>
      </w:r>
      <w:r w:rsidRPr="004225CB">
        <w:t xml:space="preserve">) </w:t>
      </w:r>
      <w:r>
        <w:t>et la réglementation liée à l’utilisation des numéros ONU étant, pour certaines parties, source de grande</w:t>
      </w:r>
      <w:r w:rsidRPr="004225CB">
        <w:t xml:space="preserve"> confusion. </w:t>
      </w:r>
      <w:r>
        <w:t>En outre</w:t>
      </w:r>
      <w:r w:rsidRPr="004225CB">
        <w:t xml:space="preserve">, </w:t>
      </w:r>
      <w:r>
        <w:t>le</w:t>
      </w:r>
      <w:r w:rsidRPr="004225CB">
        <w:t xml:space="preserve"> Group</w:t>
      </w:r>
      <w:r>
        <w:t>e</w:t>
      </w:r>
      <w:r w:rsidRPr="004225CB">
        <w:t xml:space="preserve"> </w:t>
      </w:r>
      <w:r>
        <w:t>de travail a suggéré d’utiliser des libellés autres pour permettre de mieux différencier entre les termes « é</w:t>
      </w:r>
      <w:r w:rsidRPr="004225CB">
        <w:t>lectrique</w:t>
      </w:r>
      <w:r>
        <w:t> »</w:t>
      </w:r>
      <w:r w:rsidRPr="004225CB">
        <w:t xml:space="preserve"> </w:t>
      </w:r>
      <w:r>
        <w:t>et « é</w:t>
      </w:r>
      <w:r w:rsidRPr="004225CB">
        <w:t>lectronique</w:t>
      </w:r>
      <w:r>
        <w:t> »</w:t>
      </w:r>
      <w:r w:rsidRPr="004225CB">
        <w:t xml:space="preserve">, </w:t>
      </w:r>
      <w:r>
        <w:t>qui, en raison de leur similarité, sont susceptibles de prêter à confusion, notamment lorsqu’ils sont traduits</w:t>
      </w:r>
      <w:r w:rsidRPr="004225CB">
        <w:t>.</w:t>
      </w:r>
    </w:p>
    <w:p w:rsidR="008718C0" w:rsidRPr="004225CB" w:rsidRDefault="008718C0" w:rsidP="008718C0">
      <w:pPr>
        <w:pStyle w:val="SingleTxtG"/>
      </w:pPr>
      <w:r w:rsidRPr="004225CB">
        <w:t>6.</w:t>
      </w:r>
      <w:r w:rsidRPr="004225CB">
        <w:tab/>
      </w:r>
      <w:r>
        <w:t>L’</w:t>
      </w:r>
      <w:r w:rsidRPr="004225CB">
        <w:t xml:space="preserve">AEISG </w:t>
      </w:r>
      <w:r>
        <w:t>est convenue de prendre en compte les préoccupations soulevées et les observations formulées par le Groupe de travail et de soumettre une proposition actualisée</w:t>
      </w:r>
      <w:r w:rsidRPr="004225CB">
        <w:t>.</w:t>
      </w:r>
    </w:p>
    <w:p w:rsidR="008718C0" w:rsidRPr="004225CB" w:rsidRDefault="008718C0" w:rsidP="008718C0">
      <w:pPr>
        <w:pStyle w:val="SingleTxtG"/>
      </w:pPr>
      <w:r w:rsidRPr="004225CB">
        <w:t>7.</w:t>
      </w:r>
      <w:r w:rsidRPr="004225CB">
        <w:tab/>
      </w:r>
      <w:r>
        <w:t>Il est possible que la sécurité des opérations de transport de détonateurs électroniques</w:t>
      </w:r>
      <w:r w:rsidRPr="004225CB">
        <w:t xml:space="preserve"> </w:t>
      </w:r>
      <w:r>
        <w:t xml:space="preserve">ne présente pas de grandes différences par rapport aux autres </w:t>
      </w:r>
      <w:r w:rsidRPr="004225CB">
        <w:t>types</w:t>
      </w:r>
      <w:r>
        <w:t xml:space="preserve"> de détonateurs ; néanmoins, la pratique consistant à faire correspondre, dans le Règlement type, chaque type spécifique de détonateur à une rubrique</w:t>
      </w:r>
      <w:r w:rsidRPr="004225CB">
        <w:t xml:space="preserve"> </w:t>
      </w:r>
      <w:r>
        <w:t>individuelle</w:t>
      </w:r>
      <w:r w:rsidRPr="004225CB">
        <w:t xml:space="preserve"> </w:t>
      </w:r>
      <w:r>
        <w:t xml:space="preserve">et non à regrouper les détonateurs dans une rubrique générique, conformément au </w:t>
      </w:r>
      <w:r w:rsidRPr="004225CB">
        <w:t>2.0.2.2</w:t>
      </w:r>
      <w:r>
        <w:t>, a été établie.</w:t>
      </w:r>
    </w:p>
    <w:p w:rsidR="008718C0" w:rsidRPr="004225CB" w:rsidRDefault="008718C0" w:rsidP="008718C0">
      <w:pPr>
        <w:pStyle w:val="SingleTxtG"/>
      </w:pPr>
      <w:r w:rsidRPr="004225CB">
        <w:t>8.</w:t>
      </w:r>
      <w:r w:rsidRPr="004225CB">
        <w:tab/>
      </w:r>
      <w:r>
        <w:t>L</w:t>
      </w:r>
      <w:r w:rsidRPr="004225CB">
        <w:t xml:space="preserve">e secrétariat </w:t>
      </w:r>
      <w:r>
        <w:t>a confirmé qu’il n’y avait aucune restriction ou</w:t>
      </w:r>
      <w:r w:rsidRPr="004225CB">
        <w:t xml:space="preserve"> limitation </w:t>
      </w:r>
      <w:r>
        <w:t>applicable au nombre de rubriques pouvant figurer dans le Règlement type et affirmé qu’il n’avait aucune velléité d’en imposer</w:t>
      </w:r>
      <w:r w:rsidRPr="004225CB">
        <w:t xml:space="preserve">. </w:t>
      </w:r>
      <w:r>
        <w:t xml:space="preserve">Il n’est donc pas nécessaire, pour l’heure, de procéder au regroupement de différents </w:t>
      </w:r>
      <w:r w:rsidRPr="004225CB">
        <w:t xml:space="preserve">types </w:t>
      </w:r>
      <w:r>
        <w:t>de détonateurs sans avoir dûment évalué la situation</w:t>
      </w:r>
      <w:r w:rsidRPr="004225CB">
        <w:t>.</w:t>
      </w:r>
    </w:p>
    <w:p w:rsidR="008718C0" w:rsidRPr="004225CB" w:rsidRDefault="008718C0" w:rsidP="008718C0">
      <w:pPr>
        <w:pStyle w:val="SingleTxtG"/>
      </w:pPr>
      <w:r w:rsidRPr="004225CB">
        <w:t>9.</w:t>
      </w:r>
      <w:r w:rsidRPr="004225CB">
        <w:tab/>
      </w:r>
      <w:r>
        <w:t>Les détonateurs électroniques</w:t>
      </w:r>
      <w:r w:rsidRPr="004225CB">
        <w:t xml:space="preserve"> </w:t>
      </w:r>
      <w:r>
        <w:t>pouvant être programmés après le stade de la fabrication,</w:t>
      </w:r>
      <w:r w:rsidRPr="004225CB">
        <w:t xml:space="preserve"> i</w:t>
      </w:r>
      <w:r>
        <w:t>l</w:t>
      </w:r>
      <w:r w:rsidRPr="004225CB">
        <w:t xml:space="preserve"> </w:t>
      </w:r>
      <w:r>
        <w:t>est proposé</w:t>
      </w:r>
      <w:r w:rsidRPr="004225CB">
        <w:t xml:space="preserve"> </w:t>
      </w:r>
      <w:r>
        <w:t>d’ajouter, dans la définition correspondant à la rubrique en question, le terme « </w:t>
      </w:r>
      <w:r w:rsidRPr="004225CB">
        <w:t>programmable</w:t>
      </w:r>
      <w:r>
        <w:t> »</w:t>
      </w:r>
      <w:r w:rsidRPr="004225CB">
        <w:t xml:space="preserve"> </w:t>
      </w:r>
      <w:r>
        <w:t>pour permettre de mieux faire la distinction avec les détonateurs électriques</w:t>
      </w:r>
      <w:r w:rsidRPr="004225CB">
        <w:t>.</w:t>
      </w:r>
    </w:p>
    <w:p w:rsidR="008718C0" w:rsidRPr="004225CB" w:rsidRDefault="008718C0" w:rsidP="00685F35">
      <w:pPr>
        <w:pStyle w:val="SingleTxtG"/>
      </w:pPr>
      <w:r w:rsidRPr="004225CB">
        <w:t>10.</w:t>
      </w:r>
      <w:r w:rsidRPr="004225CB">
        <w:tab/>
      </w:r>
      <w:r>
        <w:t>Il ne serait ni raisonnable ni légitime d’ajouter</w:t>
      </w:r>
      <w:r w:rsidRPr="00897887">
        <w:t xml:space="preserve"> </w:t>
      </w:r>
      <w:r>
        <w:t>les détonateurs électroniques dans chacune des rubriques individuelles existantes concernant les différents types de détonateurs ; en outre, comme c’est le cas des explosif</w:t>
      </w:r>
      <w:r w:rsidRPr="004225CB">
        <w:t xml:space="preserve">s, </w:t>
      </w:r>
      <w:r>
        <w:t xml:space="preserve">la </w:t>
      </w:r>
      <w:r w:rsidRPr="004225CB">
        <w:t xml:space="preserve">classification </w:t>
      </w:r>
      <w:r>
        <w:t>à bon escient de ces dispositifs sera fonction de l’emballage</w:t>
      </w:r>
      <w:r w:rsidRPr="004225CB">
        <w:t xml:space="preserve">. </w:t>
      </w:r>
      <w:r>
        <w:t>C’est pourquoi les nouvelles rubriques devraient tenir compte de</w:t>
      </w:r>
      <w:r w:rsidRPr="004225CB">
        <w:t xml:space="preserve"> </w:t>
      </w:r>
      <w:r>
        <w:t xml:space="preserve">toutes les classifications </w:t>
      </w:r>
      <w:r w:rsidRPr="004225CB">
        <w:t>possible</w:t>
      </w:r>
      <w:r>
        <w:t>s</w:t>
      </w:r>
      <w:r w:rsidRPr="004225CB">
        <w:t>.</w:t>
      </w:r>
    </w:p>
    <w:p w:rsidR="008718C0" w:rsidRPr="004225CB" w:rsidRDefault="008718C0" w:rsidP="00685F35">
      <w:pPr>
        <w:pStyle w:val="HChG"/>
      </w:pPr>
      <w:r w:rsidRPr="004225CB">
        <w:lastRenderedPageBreak/>
        <w:tab/>
      </w:r>
      <w:r w:rsidRPr="004225CB">
        <w:tab/>
        <w:t>Propos</w:t>
      </w:r>
      <w:r>
        <w:t>ition</w:t>
      </w:r>
    </w:p>
    <w:p w:rsidR="008718C0" w:rsidRPr="004225CB" w:rsidRDefault="008718C0" w:rsidP="008718C0">
      <w:pPr>
        <w:pStyle w:val="SingleTxtG"/>
      </w:pPr>
      <w:r w:rsidRPr="004225CB">
        <w:t>11.</w:t>
      </w:r>
      <w:r w:rsidRPr="004225CB">
        <w:tab/>
      </w:r>
      <w:r>
        <w:t>Il est suggéré d’ajouter, dans le chapitre 3.2 du Règlement type, de nouvelles rubriques ONU</w:t>
      </w:r>
      <w:r w:rsidRPr="004225CB">
        <w:t xml:space="preserve"> </w:t>
      </w:r>
      <w:r>
        <w:t>concernant les</w:t>
      </w:r>
      <w:r w:rsidRPr="004225CB">
        <w:t xml:space="preserve"> </w:t>
      </w:r>
      <w:r>
        <w:t>détonateurs électroniques, comme suit </w:t>
      </w:r>
      <w:r w:rsidRPr="004225CB">
        <w:t>:</w:t>
      </w:r>
    </w:p>
    <w:tbl>
      <w:tblPr>
        <w:tblW w:w="0" w:type="auto"/>
        <w:jc w:val="center"/>
        <w:tblLayout w:type="fixed"/>
        <w:tblCellMar>
          <w:left w:w="57" w:type="dxa"/>
          <w:right w:w="0" w:type="dxa"/>
        </w:tblCellMar>
        <w:tblLook w:val="0000" w:firstRow="0" w:lastRow="0" w:firstColumn="0" w:lastColumn="0" w:noHBand="0" w:noVBand="0"/>
      </w:tblPr>
      <w:tblGrid>
        <w:gridCol w:w="454"/>
        <w:gridCol w:w="2325"/>
        <w:gridCol w:w="623"/>
        <w:gridCol w:w="567"/>
        <w:gridCol w:w="680"/>
        <w:gridCol w:w="680"/>
        <w:gridCol w:w="454"/>
        <w:gridCol w:w="454"/>
        <w:gridCol w:w="907"/>
        <w:gridCol w:w="907"/>
        <w:gridCol w:w="851"/>
        <w:gridCol w:w="737"/>
      </w:tblGrid>
      <w:tr w:rsidR="001377CF" w:rsidTr="00C55148">
        <w:trPr>
          <w:trHeight w:val="20"/>
          <w:tblHeader/>
          <w:jc w:val="center"/>
        </w:trPr>
        <w:tc>
          <w:tcPr>
            <w:tcW w:w="45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1377CF" w:rsidRDefault="00F611C5" w:rsidP="00F611C5">
            <w:pPr>
              <w:spacing w:before="60" w:after="60" w:line="200" w:lineRule="exact"/>
              <w:jc w:val="center"/>
              <w:rPr>
                <w:b/>
                <w:bCs/>
                <w:color w:val="000000"/>
                <w:sz w:val="16"/>
                <w:szCs w:val="16"/>
                <w:lang w:val="fr-FR"/>
              </w:rPr>
            </w:pPr>
            <w:r w:rsidRPr="00F611C5">
              <w:rPr>
                <w:rFonts w:eastAsia="MS Mincho"/>
                <w:b/>
                <w:bCs/>
                <w:color w:val="000000"/>
                <w:sz w:val="16"/>
                <w:szCs w:val="22"/>
              </w:rPr>
              <w:t>N</w:t>
            </w:r>
            <w:r w:rsidRPr="00F611C5">
              <w:rPr>
                <w:rFonts w:eastAsia="MS Mincho"/>
                <w:b/>
                <w:bCs/>
                <w:color w:val="000000"/>
                <w:sz w:val="16"/>
                <w:szCs w:val="22"/>
                <w:vertAlign w:val="superscript"/>
              </w:rPr>
              <w:t>o</w:t>
            </w:r>
            <w:r>
              <w:rPr>
                <w:b/>
                <w:bCs/>
                <w:color w:val="000000"/>
                <w:sz w:val="16"/>
                <w:szCs w:val="16"/>
              </w:rPr>
              <w:t> </w:t>
            </w:r>
            <w:r>
              <w:rPr>
                <w:b/>
                <w:bCs/>
                <w:color w:val="000000"/>
                <w:sz w:val="16"/>
                <w:szCs w:val="16"/>
              </w:rPr>
              <w:br/>
            </w:r>
            <w:r w:rsidR="00C370F9" w:rsidRPr="001377CF">
              <w:rPr>
                <w:b/>
                <w:bCs/>
                <w:color w:val="000000"/>
                <w:sz w:val="16"/>
                <w:szCs w:val="16"/>
              </w:rPr>
              <w:t>ONU</w:t>
            </w:r>
          </w:p>
        </w:tc>
        <w:tc>
          <w:tcPr>
            <w:tcW w:w="2325" w:type="dxa"/>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C370F9" w:rsidP="008C47AE">
            <w:pPr>
              <w:spacing w:before="60" w:after="60" w:line="200" w:lineRule="exact"/>
              <w:jc w:val="center"/>
              <w:rPr>
                <w:b/>
                <w:bCs/>
                <w:color w:val="000000"/>
                <w:sz w:val="16"/>
                <w:szCs w:val="16"/>
                <w:lang w:val="fr-FR"/>
              </w:rPr>
            </w:pPr>
            <w:r w:rsidRPr="001377CF">
              <w:rPr>
                <w:b/>
                <w:bCs/>
                <w:color w:val="000000"/>
                <w:sz w:val="16"/>
                <w:szCs w:val="16"/>
              </w:rPr>
              <w:t>Nom et description</w:t>
            </w:r>
          </w:p>
        </w:tc>
        <w:tc>
          <w:tcPr>
            <w:tcW w:w="623" w:type="dxa"/>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C370F9" w:rsidP="008C47AE">
            <w:pPr>
              <w:spacing w:before="60" w:after="60" w:line="200" w:lineRule="exact"/>
              <w:jc w:val="center"/>
              <w:rPr>
                <w:b/>
                <w:bCs/>
                <w:color w:val="000000"/>
                <w:sz w:val="16"/>
                <w:szCs w:val="16"/>
                <w:lang w:val="fr-FR"/>
              </w:rPr>
            </w:pPr>
            <w:r w:rsidRPr="001377CF">
              <w:rPr>
                <w:b/>
                <w:bCs/>
                <w:color w:val="000000"/>
                <w:sz w:val="16"/>
                <w:szCs w:val="16"/>
              </w:rPr>
              <w:t>Classe ou division</w:t>
            </w:r>
          </w:p>
        </w:tc>
        <w:tc>
          <w:tcPr>
            <w:tcW w:w="567" w:type="dxa"/>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C370F9" w:rsidP="008C47AE">
            <w:pPr>
              <w:spacing w:before="60" w:after="60" w:line="200" w:lineRule="exact"/>
              <w:jc w:val="center"/>
              <w:rPr>
                <w:b/>
                <w:bCs/>
                <w:color w:val="000000"/>
                <w:sz w:val="16"/>
                <w:szCs w:val="16"/>
                <w:lang w:val="fr-FR"/>
              </w:rPr>
            </w:pPr>
            <w:r w:rsidRPr="001377CF">
              <w:rPr>
                <w:b/>
                <w:bCs/>
                <w:color w:val="000000"/>
                <w:sz w:val="16"/>
                <w:szCs w:val="16"/>
              </w:rPr>
              <w:t>Danger subsi</w:t>
            </w:r>
            <w:r w:rsidR="00F611C5">
              <w:rPr>
                <w:b/>
                <w:bCs/>
                <w:color w:val="000000"/>
                <w:sz w:val="16"/>
                <w:szCs w:val="16"/>
              </w:rPr>
              <w:t>-</w:t>
            </w:r>
            <w:r w:rsidRPr="001377CF">
              <w:rPr>
                <w:b/>
                <w:bCs/>
                <w:color w:val="000000"/>
                <w:sz w:val="16"/>
                <w:szCs w:val="16"/>
              </w:rPr>
              <w:t>diaire</w:t>
            </w:r>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Groupe d’embal-lage</w:t>
            </w:r>
          </w:p>
        </w:tc>
        <w:tc>
          <w:tcPr>
            <w:tcW w:w="680" w:type="dxa"/>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Dispo-sitions spéciales</w:t>
            </w:r>
          </w:p>
        </w:tc>
        <w:tc>
          <w:tcPr>
            <w:tcW w:w="908" w:type="dxa"/>
            <w:gridSpan w:val="2"/>
            <w:vMerge w:val="restart"/>
            <w:tcBorders>
              <w:top w:val="single" w:sz="4" w:space="0" w:color="auto"/>
              <w:left w:val="nil"/>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sz w:val="16"/>
                <w:szCs w:val="16"/>
                <w:lang w:val="fr-FR"/>
              </w:rPr>
            </w:pPr>
            <w:r>
              <w:rPr>
                <w:b/>
                <w:bCs/>
                <w:color w:val="000000"/>
                <w:sz w:val="16"/>
                <w:szCs w:val="16"/>
                <w:lang w:val="fr-FR"/>
              </w:rPr>
              <w:t>Quantités limitées et quantités exceptées</w:t>
            </w:r>
          </w:p>
        </w:tc>
        <w:tc>
          <w:tcPr>
            <w:tcW w:w="1814"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Emballages et GRV</w:t>
            </w:r>
          </w:p>
        </w:tc>
        <w:tc>
          <w:tcPr>
            <w:tcW w:w="158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exact"/>
              <w:ind w:right="-52"/>
              <w:jc w:val="center"/>
              <w:rPr>
                <w:b/>
                <w:bCs/>
                <w:color w:val="000000"/>
                <w:sz w:val="16"/>
                <w:szCs w:val="16"/>
                <w:lang w:val="fr-FR"/>
              </w:rPr>
            </w:pPr>
            <w:r w:rsidRPr="00A621DE">
              <w:rPr>
                <w:b/>
                <w:bCs/>
                <w:color w:val="000000"/>
                <w:sz w:val="16"/>
                <w:szCs w:val="16"/>
              </w:rPr>
              <w:t>Citernes mobiles et conteneurs</w:t>
            </w:r>
            <w:r w:rsidR="00F611C5">
              <w:rPr>
                <w:b/>
                <w:bCs/>
                <w:color w:val="000000"/>
                <w:sz w:val="16"/>
                <w:szCs w:val="16"/>
              </w:rPr>
              <w:t xml:space="preserve"> pour vrac</w:t>
            </w:r>
          </w:p>
        </w:tc>
      </w:tr>
      <w:tr w:rsidR="001377CF" w:rsidTr="00C55148">
        <w:trPr>
          <w:trHeight w:val="20"/>
          <w:tblHeader/>
          <w:jc w:val="center"/>
        </w:trPr>
        <w:tc>
          <w:tcPr>
            <w:tcW w:w="45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2325" w:type="dxa"/>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623" w:type="dxa"/>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567" w:type="dxa"/>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680" w:type="dxa"/>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p>
        </w:tc>
        <w:tc>
          <w:tcPr>
            <w:tcW w:w="908" w:type="dxa"/>
            <w:gridSpan w:val="2"/>
            <w:vMerge/>
            <w:tcBorders>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sz w:val="16"/>
                <w:szCs w:val="16"/>
                <w:lang w:val="fr-FR"/>
              </w:rPr>
            </w:pP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Instructions d’emballage</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ind w:left="-76" w:right="-76"/>
              <w:jc w:val="center"/>
              <w:rPr>
                <w:b/>
                <w:bCs/>
                <w:color w:val="000000"/>
                <w:sz w:val="16"/>
                <w:szCs w:val="16"/>
                <w:lang w:val="fr-FR"/>
              </w:rPr>
            </w:pPr>
            <w:r>
              <w:rPr>
                <w:b/>
                <w:bCs/>
                <w:color w:val="000000"/>
                <w:sz w:val="16"/>
                <w:szCs w:val="16"/>
                <w:lang w:val="fr-FR"/>
              </w:rPr>
              <w:t>Dispositions spéciales</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Instruc-tions de transport</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Disposi-tions spéciales</w:t>
            </w:r>
          </w:p>
        </w:tc>
      </w:tr>
      <w:tr w:rsidR="001377CF" w:rsidTr="00C55148">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(1)</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(3)</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(4)</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(5)</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(6)</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(7a)</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(7b)</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(8)</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(9)</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(10)</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exact"/>
              <w:jc w:val="center"/>
              <w:rPr>
                <w:b/>
                <w:bCs/>
                <w:color w:val="000000"/>
                <w:sz w:val="16"/>
                <w:szCs w:val="16"/>
                <w:lang w:val="fr-FR"/>
              </w:rPr>
            </w:pPr>
            <w:r>
              <w:rPr>
                <w:b/>
                <w:bCs/>
                <w:color w:val="000000"/>
                <w:sz w:val="16"/>
                <w:szCs w:val="16"/>
                <w:lang w:val="fr-FR"/>
              </w:rPr>
              <w:t>(11)</w:t>
            </w:r>
          </w:p>
        </w:tc>
      </w:tr>
      <w:tr w:rsidR="00A621DE" w:rsidTr="00C55148">
        <w:trPr>
          <w:trHeight w:val="20"/>
          <w:tblHeade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A621DE">
              <w:rPr>
                <w:b/>
                <w:bCs/>
                <w:color w:val="000000"/>
                <w:sz w:val="16"/>
                <w:szCs w:val="16"/>
              </w:rPr>
              <w:t>-</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A621DE">
              <w:rPr>
                <w:b/>
                <w:bCs/>
                <w:color w:val="000000"/>
                <w:sz w:val="16"/>
                <w:szCs w:val="16"/>
              </w:rPr>
              <w:t>3.1.2</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A621DE">
              <w:rPr>
                <w:b/>
                <w:bCs/>
                <w:color w:val="000000"/>
                <w:sz w:val="16"/>
                <w:szCs w:val="16"/>
              </w:rPr>
              <w:t>2.0</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2.0</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2.0.1.3</w:t>
            </w: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3.3</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3.4</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3.5</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4.1.4</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4.1.4</w:t>
            </w: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4.2.5/4.3.2</w:t>
            </w: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exact"/>
              <w:jc w:val="center"/>
              <w:rPr>
                <w:b/>
                <w:bCs/>
                <w:color w:val="000000"/>
                <w:sz w:val="16"/>
                <w:szCs w:val="16"/>
                <w:lang w:val="fr-FR"/>
              </w:rPr>
            </w:pPr>
            <w:r w:rsidRPr="00CC3B00">
              <w:rPr>
                <w:b/>
                <w:bCs/>
                <w:color w:val="000000"/>
                <w:sz w:val="16"/>
                <w:szCs w:val="16"/>
              </w:rPr>
              <w:t>4.2.5</w:t>
            </w:r>
          </w:p>
        </w:tc>
      </w:tr>
      <w:tr w:rsidR="001377CF" w:rsidTr="00C55148">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atLeast"/>
              <w:jc w:val="center"/>
              <w:rPr>
                <w:sz w:val="16"/>
                <w:szCs w:val="16"/>
                <w:lang w:val="fr-FR"/>
              </w:rPr>
            </w:pPr>
            <w:r w:rsidRPr="00A621DE">
              <w:rPr>
                <w:sz w:val="16"/>
                <w:szCs w:val="16"/>
              </w:rPr>
              <w:t>05XX</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C55148">
            <w:pPr>
              <w:spacing w:before="60" w:after="60" w:line="200" w:lineRule="atLeast"/>
              <w:ind w:left="57"/>
              <w:rPr>
                <w:sz w:val="16"/>
                <w:szCs w:val="16"/>
                <w:lang w:val="fr-FR"/>
              </w:rPr>
            </w:pPr>
            <w:r w:rsidRPr="00A621DE">
              <w:rPr>
                <w:sz w:val="16"/>
                <w:szCs w:val="16"/>
              </w:rPr>
              <w:t>DÉTONATEURS de sautage ÉLECTRONIQUES, programmables†, voir</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atLeast"/>
              <w:jc w:val="center"/>
              <w:rPr>
                <w:sz w:val="16"/>
                <w:szCs w:val="16"/>
                <w:lang w:val="fr-FR"/>
              </w:rPr>
            </w:pPr>
            <w:r w:rsidRPr="00A621DE">
              <w:rPr>
                <w:sz w:val="16"/>
                <w:szCs w:val="16"/>
              </w:rPr>
              <w:t>1.1B</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atLeast"/>
              <w:jc w:val="center"/>
              <w:rPr>
                <w:sz w:val="16"/>
                <w:szCs w:val="16"/>
                <w:lang w:val="fr-FR"/>
              </w:rPr>
            </w:pPr>
            <w:r w:rsidRPr="00A621DE">
              <w:rPr>
                <w:sz w:val="16"/>
                <w:szCs w:val="16"/>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atLeast"/>
              <w:jc w:val="center"/>
              <w:rPr>
                <w:sz w:val="16"/>
                <w:szCs w:val="16"/>
                <w:lang w:val="fr-FR"/>
              </w:rPr>
            </w:pPr>
            <w:r w:rsidRPr="00A621DE">
              <w:rPr>
                <w:sz w:val="16"/>
                <w:szCs w:val="16"/>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C370F9" w:rsidP="008C47AE">
            <w:pPr>
              <w:spacing w:before="60" w:after="60" w:line="200" w:lineRule="atLeast"/>
              <w:jc w:val="center"/>
              <w:rPr>
                <w:sz w:val="16"/>
                <w:szCs w:val="16"/>
                <w:lang w:val="fr-FR"/>
              </w:rPr>
            </w:pPr>
            <w:r w:rsidRPr="00A621DE">
              <w:rPr>
                <w:sz w:val="16"/>
                <w:szCs w:val="16"/>
              </w:rPr>
              <w:t>P131</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1377CF" w:rsidRDefault="001377CF" w:rsidP="008C47AE">
            <w:pPr>
              <w:spacing w:before="60" w:after="60" w:line="200" w:lineRule="atLeast"/>
              <w:jc w:val="center"/>
              <w:rPr>
                <w:sz w:val="16"/>
                <w:szCs w:val="16"/>
                <w:lang w:val="fr-FR"/>
              </w:rPr>
            </w:pPr>
          </w:p>
        </w:tc>
      </w:tr>
      <w:tr w:rsidR="00A621DE" w:rsidTr="00C55148">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05XX</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C55148">
            <w:pPr>
              <w:spacing w:before="60" w:after="60" w:line="200" w:lineRule="atLeast"/>
              <w:ind w:left="57"/>
              <w:rPr>
                <w:sz w:val="16"/>
                <w:szCs w:val="16"/>
                <w:lang w:val="fr-FR"/>
              </w:rPr>
            </w:pPr>
            <w:r w:rsidRPr="00CC3B00">
              <w:rPr>
                <w:sz w:val="16"/>
                <w:szCs w:val="16"/>
              </w:rPr>
              <w:t>DÉTONATEURS de sautage ÉLECTRONIQUES, programmables†, voir</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1.4B</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P131</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r>
      <w:tr w:rsidR="00A621DE" w:rsidTr="00C55148">
        <w:trPr>
          <w:trHeight w:val="20"/>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05XX</w:t>
            </w:r>
          </w:p>
        </w:tc>
        <w:tc>
          <w:tcPr>
            <w:tcW w:w="2325"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C55148">
            <w:pPr>
              <w:spacing w:before="60" w:after="60" w:line="200" w:lineRule="atLeast"/>
              <w:ind w:left="57"/>
              <w:rPr>
                <w:sz w:val="16"/>
                <w:szCs w:val="16"/>
                <w:lang w:val="fr-FR"/>
              </w:rPr>
            </w:pPr>
            <w:r w:rsidRPr="00CC3B00">
              <w:rPr>
                <w:sz w:val="16"/>
                <w:szCs w:val="16"/>
              </w:rPr>
              <w:t>DÉTONATEURS de sautage ÉLECTRONIQUES, programmables†, voir</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1.4S</w:t>
            </w:r>
          </w:p>
        </w:tc>
        <w:tc>
          <w:tcPr>
            <w:tcW w:w="56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680"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347</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0</w:t>
            </w:r>
          </w:p>
        </w:tc>
        <w:tc>
          <w:tcPr>
            <w:tcW w:w="454"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E0</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C370F9" w:rsidP="008C47AE">
            <w:pPr>
              <w:spacing w:before="60" w:after="60" w:line="200" w:lineRule="atLeast"/>
              <w:jc w:val="center"/>
              <w:rPr>
                <w:sz w:val="16"/>
                <w:szCs w:val="16"/>
                <w:lang w:val="fr-FR"/>
              </w:rPr>
            </w:pPr>
            <w:r w:rsidRPr="00CC3B00">
              <w:rPr>
                <w:sz w:val="16"/>
                <w:szCs w:val="16"/>
              </w:rPr>
              <w:t>P131</w:t>
            </w:r>
          </w:p>
        </w:tc>
        <w:tc>
          <w:tcPr>
            <w:tcW w:w="90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851"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c>
          <w:tcPr>
            <w:tcW w:w="737"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A621DE" w:rsidRDefault="00A621DE" w:rsidP="008C47AE">
            <w:pPr>
              <w:spacing w:before="60" w:after="60" w:line="200" w:lineRule="atLeast"/>
              <w:jc w:val="center"/>
              <w:rPr>
                <w:sz w:val="16"/>
                <w:szCs w:val="16"/>
                <w:lang w:val="fr-FR"/>
              </w:rPr>
            </w:pPr>
          </w:p>
        </w:tc>
      </w:tr>
    </w:tbl>
    <w:p w:rsidR="008718C0" w:rsidRPr="004225CB" w:rsidRDefault="008718C0" w:rsidP="001620DB">
      <w:pPr>
        <w:pStyle w:val="SingleTxtG"/>
        <w:spacing w:before="240"/>
      </w:pPr>
      <w:r>
        <w:t>12.</w:t>
      </w:r>
      <w:r>
        <w:tab/>
        <w:t xml:space="preserve">Il est également proposé d’apporter les modifications correspondantes au </w:t>
      </w:r>
      <w:r w:rsidRPr="004225CB">
        <w:t>Glossaire</w:t>
      </w:r>
      <w:r>
        <w:t xml:space="preserve"> de termes de l’appendice </w:t>
      </w:r>
      <w:r w:rsidRPr="004225CB">
        <w:t xml:space="preserve">B </w:t>
      </w:r>
      <w:r>
        <w:t>du Règlement type, comme suit</w:t>
      </w:r>
      <w:r w:rsidRPr="004225CB">
        <w:t xml:space="preserve"> (</w:t>
      </w:r>
      <w:r>
        <w:t xml:space="preserve">les parties nouvelles sont indiquées en caractères </w:t>
      </w:r>
      <w:r w:rsidRPr="000B4203">
        <w:rPr>
          <w:u w:val="single"/>
        </w:rPr>
        <w:t>soulignés</w:t>
      </w:r>
      <w:r>
        <w:t> </w:t>
      </w:r>
      <w:r w:rsidRPr="004225CB">
        <w:t xml:space="preserve">; </w:t>
      </w:r>
      <w:r>
        <w:t xml:space="preserve">les parties supprimées en caractères </w:t>
      </w:r>
      <w:r w:rsidRPr="000B4203">
        <w:rPr>
          <w:strike/>
        </w:rPr>
        <w:t>biffés</w:t>
      </w:r>
      <w:r w:rsidRPr="004225CB">
        <w:t>)</w:t>
      </w:r>
      <w:r w:rsidR="00A258F7">
        <w:t> :</w:t>
      </w:r>
    </w:p>
    <w:p w:rsidR="008718C0" w:rsidRPr="004225CB" w:rsidRDefault="008718C0" w:rsidP="00685F35">
      <w:pPr>
        <w:pStyle w:val="SingleTxtG"/>
        <w:ind w:firstLine="567"/>
      </w:pPr>
      <w:r w:rsidRPr="004225CB">
        <w:t>a)</w:t>
      </w:r>
      <w:r w:rsidRPr="004225CB">
        <w:tab/>
      </w:r>
      <w:r>
        <w:t>Modifier le texte explicatif correspondant au terme</w:t>
      </w:r>
      <w:r w:rsidRPr="004225CB">
        <w:t xml:space="preserve"> </w:t>
      </w:r>
      <w:r>
        <w:t>« </w:t>
      </w:r>
      <w:r w:rsidRPr="004225CB">
        <w:t>Détonateurs</w:t>
      </w:r>
      <w:r>
        <w:t> », comme suit </w:t>
      </w:r>
      <w:r w:rsidRPr="004225CB">
        <w:t>:</w:t>
      </w:r>
    </w:p>
    <w:p w:rsidR="008718C0" w:rsidRPr="004225CB" w:rsidRDefault="008718C0" w:rsidP="004E3C8F">
      <w:pPr>
        <w:pStyle w:val="SingleTxtG"/>
        <w:ind w:left="2268"/>
        <w:rPr>
          <w:b/>
        </w:rPr>
      </w:pPr>
      <w:r w:rsidRPr="00C55148">
        <w:t>« </w:t>
      </w:r>
      <w:r w:rsidRPr="004E3C8F">
        <w:rPr>
          <w:rFonts w:eastAsia="Times New Roman"/>
          <w:b/>
          <w:lang w:val="fr-FR"/>
        </w:rPr>
        <w:t>Détonateurs</w:t>
      </w:r>
    </w:p>
    <w:p w:rsidR="008718C0" w:rsidRPr="004225CB" w:rsidRDefault="008718C0" w:rsidP="004E3C8F">
      <w:pPr>
        <w:pStyle w:val="SingleTxtG"/>
        <w:keepNext/>
        <w:ind w:left="2268"/>
      </w:pPr>
      <w:r w:rsidRPr="004225CB">
        <w:tab/>
      </w:r>
      <w:r>
        <w:t xml:space="preserve">Objets </w:t>
      </w:r>
      <w:r w:rsidRPr="004E3C8F">
        <w:rPr>
          <w:rFonts w:eastAsia="Times New Roman"/>
          <w:lang w:val="fr-FR"/>
        </w:rPr>
        <w:t>constitués</w:t>
      </w:r>
      <w:r>
        <w:t xml:space="preserve"> d’un petit étui en métal ou en plastique contenant des explosifs tels que l’azoture de plomb, la penthrite ou des combinaisons d’explosifs. Ils sont conçus pour déclencher le fonctionnement d’une chaîne de détonation. Ils peuvent être conçus pour détoner instantanément ou peuvent contenir un retard. Le terme comprend</w:t>
      </w:r>
    </w:p>
    <w:p w:rsidR="008718C0" w:rsidRPr="004225CB" w:rsidRDefault="00C370F9" w:rsidP="00C370F9">
      <w:pPr>
        <w:pStyle w:val="Bullet1G"/>
        <w:ind w:left="2438"/>
      </w:pPr>
      <w:proofErr w:type="gramStart"/>
      <w:r>
        <w:t>l</w:t>
      </w:r>
      <w:r w:rsidR="001620DB">
        <w:t>es</w:t>
      </w:r>
      <w:proofErr w:type="gramEnd"/>
      <w:r w:rsidR="001620DB">
        <w:t xml:space="preserve"> </w:t>
      </w:r>
      <w:r w:rsidR="008718C0" w:rsidRPr="004225CB">
        <w:t>DÉTONATEURS</w:t>
      </w:r>
      <w:r w:rsidR="008718C0">
        <w:t xml:space="preserve"> POUR </w:t>
      </w:r>
      <w:r w:rsidR="008718C0" w:rsidRPr="00C55148">
        <w:rPr>
          <w:rFonts w:eastAsia="Times New Roman"/>
          <w:lang w:val="fr-FR"/>
        </w:rPr>
        <w:t>MUNITIONS</w:t>
      </w:r>
      <w:r w:rsidR="008718C0">
        <w:t>,</w:t>
      </w:r>
    </w:p>
    <w:p w:rsidR="008718C0" w:rsidRDefault="00C370F9" w:rsidP="000D5A05">
      <w:pPr>
        <w:pStyle w:val="Bullet1G"/>
        <w:ind w:left="2438"/>
        <w:rPr>
          <w:szCs w:val="24"/>
        </w:rPr>
      </w:pPr>
      <w:proofErr w:type="gramStart"/>
      <w:r>
        <w:rPr>
          <w:szCs w:val="24"/>
        </w:rPr>
        <w:t>l</w:t>
      </w:r>
      <w:r w:rsidR="001620DB" w:rsidRPr="00C71E12">
        <w:rPr>
          <w:szCs w:val="24"/>
        </w:rPr>
        <w:t>es</w:t>
      </w:r>
      <w:proofErr w:type="gramEnd"/>
      <w:r w:rsidR="001620DB" w:rsidRPr="00C71E12">
        <w:rPr>
          <w:szCs w:val="24"/>
        </w:rPr>
        <w:t xml:space="preserve"> </w:t>
      </w:r>
      <w:r w:rsidR="008718C0" w:rsidRPr="00C71E12">
        <w:rPr>
          <w:szCs w:val="24"/>
        </w:rPr>
        <w:t>DÉTONATEURS</w:t>
      </w:r>
      <w:r w:rsidR="008718C0">
        <w:rPr>
          <w:szCs w:val="24"/>
        </w:rPr>
        <w:t xml:space="preserve"> de mine (de sautage)</w:t>
      </w:r>
      <w:r w:rsidR="008718C0" w:rsidRPr="004225CB">
        <w:rPr>
          <w:szCs w:val="24"/>
        </w:rPr>
        <w:t xml:space="preserve"> </w:t>
      </w:r>
      <w:r w:rsidR="008718C0">
        <w:rPr>
          <w:szCs w:val="24"/>
        </w:rPr>
        <w:t>É</w:t>
      </w:r>
      <w:r w:rsidR="008718C0" w:rsidRPr="004225CB">
        <w:rPr>
          <w:szCs w:val="24"/>
        </w:rPr>
        <w:t>LECTRI</w:t>
      </w:r>
      <w:r w:rsidR="008718C0">
        <w:rPr>
          <w:szCs w:val="24"/>
        </w:rPr>
        <w:t>QUES,</w:t>
      </w:r>
    </w:p>
    <w:p w:rsidR="008718C0" w:rsidRPr="000C0B54" w:rsidRDefault="00C370F9" w:rsidP="000D5A05">
      <w:pPr>
        <w:pStyle w:val="Bullet1G"/>
        <w:ind w:left="2438"/>
        <w:rPr>
          <w:szCs w:val="24"/>
          <w:u w:val="single"/>
        </w:rPr>
      </w:pPr>
      <w:proofErr w:type="gramStart"/>
      <w:r>
        <w:rPr>
          <w:szCs w:val="24"/>
        </w:rPr>
        <w:t>l</w:t>
      </w:r>
      <w:r w:rsidR="001620DB">
        <w:rPr>
          <w:szCs w:val="24"/>
        </w:rPr>
        <w:t>es</w:t>
      </w:r>
      <w:proofErr w:type="gramEnd"/>
      <w:r w:rsidR="001620DB">
        <w:rPr>
          <w:szCs w:val="24"/>
        </w:rPr>
        <w:t xml:space="preserve"> </w:t>
      </w:r>
      <w:r w:rsidR="008718C0">
        <w:rPr>
          <w:szCs w:val="24"/>
        </w:rPr>
        <w:t>DÉTONATEURS de mine (de sautage) NON ÉLECTRIQUES</w:t>
      </w:r>
      <w:r w:rsidR="008718C0" w:rsidRPr="000C0B54">
        <w:rPr>
          <w:szCs w:val="24"/>
          <w:u w:val="single"/>
        </w:rPr>
        <w:t>,</w:t>
      </w:r>
    </w:p>
    <w:p w:rsidR="008718C0" w:rsidRPr="000C0B54" w:rsidRDefault="00C370F9" w:rsidP="000D5A05">
      <w:pPr>
        <w:pStyle w:val="Bullet1G"/>
        <w:ind w:left="2438"/>
        <w:rPr>
          <w:szCs w:val="24"/>
          <w:u w:val="single"/>
        </w:rPr>
      </w:pPr>
      <w:proofErr w:type="gramStart"/>
      <w:r>
        <w:rPr>
          <w:szCs w:val="24"/>
          <w:u w:val="single"/>
        </w:rPr>
        <w:t>l</w:t>
      </w:r>
      <w:r w:rsidR="001620DB" w:rsidRPr="000C0B54">
        <w:rPr>
          <w:szCs w:val="24"/>
          <w:u w:val="single"/>
        </w:rPr>
        <w:t>es</w:t>
      </w:r>
      <w:proofErr w:type="gramEnd"/>
      <w:r w:rsidR="001620DB" w:rsidRPr="000C0B54">
        <w:rPr>
          <w:szCs w:val="24"/>
          <w:u w:val="single"/>
        </w:rPr>
        <w:t xml:space="preserve"> </w:t>
      </w:r>
      <w:r w:rsidR="008718C0" w:rsidRPr="000C0B54">
        <w:rPr>
          <w:szCs w:val="24"/>
          <w:u w:val="single"/>
        </w:rPr>
        <w:t>DÉTONATEURS de mine (de sautage) ÉLECTRONIQUES programmables</w:t>
      </w:r>
      <w:r w:rsidR="008718C0" w:rsidRPr="00C370F9">
        <w:rPr>
          <w:szCs w:val="24"/>
        </w:rPr>
        <w:t>.</w:t>
      </w:r>
    </w:p>
    <w:p w:rsidR="008718C0" w:rsidRPr="004225CB" w:rsidRDefault="008718C0" w:rsidP="007B3390">
      <w:pPr>
        <w:pStyle w:val="SingleTxtG"/>
        <w:keepNext/>
        <w:ind w:left="2268"/>
      </w:pPr>
      <w:r>
        <w:t>Les relai</w:t>
      </w:r>
      <w:r w:rsidRPr="004225CB">
        <w:t xml:space="preserve">s </w:t>
      </w:r>
      <w:r>
        <w:t>détonants sans cordeau détonant souple sont également compris. ».</w:t>
      </w:r>
    </w:p>
    <w:p w:rsidR="008718C0" w:rsidRPr="004225CB" w:rsidRDefault="008718C0" w:rsidP="00685F35">
      <w:pPr>
        <w:pStyle w:val="SingleTxtG"/>
        <w:ind w:firstLine="567"/>
      </w:pPr>
      <w:r w:rsidRPr="004225CB">
        <w:t>b)</w:t>
      </w:r>
      <w:r w:rsidRPr="004225CB">
        <w:tab/>
      </w:r>
      <w:r>
        <w:t>Ajouter un nouveau texte explicatif pour le terme</w:t>
      </w:r>
      <w:r w:rsidRPr="004225CB">
        <w:t xml:space="preserve"> </w:t>
      </w:r>
      <w:r>
        <w:t>« </w:t>
      </w:r>
      <w:r w:rsidRPr="004225CB">
        <w:t xml:space="preserve">DÉTONATEURS </w:t>
      </w:r>
      <w:r w:rsidRPr="00455972">
        <w:t xml:space="preserve">de mine (de sautage) </w:t>
      </w:r>
      <w:r w:rsidRPr="004225CB">
        <w:t>ÉLECTRONIQUES programmable</w:t>
      </w:r>
      <w:r>
        <w:t>s », comme suit </w:t>
      </w:r>
      <w:r w:rsidRPr="004225CB">
        <w:t>:</w:t>
      </w:r>
    </w:p>
    <w:p w:rsidR="008718C0" w:rsidRPr="004225CB" w:rsidRDefault="008718C0" w:rsidP="00C370F9">
      <w:pPr>
        <w:pStyle w:val="SingleTxtG"/>
        <w:keepNext/>
        <w:ind w:left="2268"/>
        <w:jc w:val="left"/>
        <w:rPr>
          <w:u w:val="single"/>
        </w:rPr>
      </w:pPr>
      <w:r w:rsidRPr="00C370F9">
        <w:t>«</w:t>
      </w:r>
      <w:r>
        <w:rPr>
          <w:u w:val="single"/>
        </w:rPr>
        <w:t> </w:t>
      </w:r>
      <w:r w:rsidRPr="00455972">
        <w:rPr>
          <w:u w:val="single"/>
        </w:rPr>
        <w:t>DÉTONATEURS de mine (de sautage) ÉLECTRONIQUES programmables</w:t>
      </w:r>
    </w:p>
    <w:p w:rsidR="00446FE5" w:rsidRDefault="008718C0" w:rsidP="007B3390">
      <w:pPr>
        <w:pStyle w:val="SingleTxtG"/>
        <w:keepNext/>
        <w:ind w:left="2268"/>
      </w:pPr>
      <w:r w:rsidRPr="004225CB">
        <w:rPr>
          <w:u w:val="single"/>
        </w:rPr>
        <w:t xml:space="preserve">Détonateurs </w:t>
      </w:r>
      <w:r>
        <w:rPr>
          <w:u w:val="single"/>
        </w:rPr>
        <w:t>qui utilisent des composants</w:t>
      </w:r>
      <w:r w:rsidRPr="004225CB">
        <w:rPr>
          <w:u w:val="single"/>
        </w:rPr>
        <w:t xml:space="preserve"> électroniques</w:t>
      </w:r>
      <w:r>
        <w:rPr>
          <w:u w:val="single"/>
        </w:rPr>
        <w:t xml:space="preserve"> tels que des circuits intégrés et/ou des </w:t>
      </w:r>
      <w:r w:rsidRPr="002F4614">
        <w:rPr>
          <w:u w:val="single"/>
        </w:rPr>
        <w:t xml:space="preserve">microprocesseurs </w:t>
      </w:r>
      <w:r>
        <w:rPr>
          <w:u w:val="single"/>
        </w:rPr>
        <w:t xml:space="preserve">pour </w:t>
      </w:r>
      <w:r w:rsidRPr="002F4614">
        <w:rPr>
          <w:u w:val="single"/>
        </w:rPr>
        <w:t>communiquer, produire de l’énergie et en stocker et envoyer avec retard des informations et des ordres</w:t>
      </w:r>
      <w:r>
        <w:rPr>
          <w:u w:val="single"/>
        </w:rPr>
        <w:t xml:space="preserve"> validés</w:t>
      </w:r>
      <w:r w:rsidRPr="002F4614">
        <w:rPr>
          <w:u w:val="single"/>
        </w:rPr>
        <w:t>, afin de transmettre un signal de mise à feu à la charge d’amorçage</w:t>
      </w:r>
      <w:r w:rsidRPr="004225CB">
        <w:rPr>
          <w:u w:val="single"/>
        </w:rPr>
        <w:t>.</w:t>
      </w:r>
      <w:r>
        <w:rPr>
          <w:u w:val="single"/>
        </w:rPr>
        <w:t> </w:t>
      </w:r>
      <w:r w:rsidRPr="00C370F9">
        <w:t>»</w:t>
      </w:r>
      <w:r w:rsidRPr="004225CB">
        <w:t>.</w:t>
      </w:r>
    </w:p>
    <w:p w:rsidR="00244914" w:rsidRPr="00244914" w:rsidRDefault="00244914" w:rsidP="00244914">
      <w:pPr>
        <w:pStyle w:val="SingleTxtG"/>
        <w:spacing w:before="240" w:after="0"/>
        <w:jc w:val="center"/>
        <w:rPr>
          <w:u w:val="single"/>
        </w:rPr>
      </w:pPr>
      <w:r>
        <w:rPr>
          <w:u w:val="single"/>
        </w:rPr>
        <w:tab/>
      </w:r>
      <w:r>
        <w:rPr>
          <w:u w:val="single"/>
        </w:rPr>
        <w:tab/>
      </w:r>
      <w:r>
        <w:rPr>
          <w:u w:val="single"/>
        </w:rPr>
        <w:tab/>
      </w:r>
    </w:p>
    <w:sectPr w:rsidR="00244914" w:rsidRPr="00244914" w:rsidSect="00F271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A5E" w:rsidRDefault="002E5A5E" w:rsidP="00F95C08">
      <w:pPr>
        <w:spacing w:line="240" w:lineRule="auto"/>
      </w:pPr>
    </w:p>
  </w:endnote>
  <w:endnote w:type="continuationSeparator" w:id="0">
    <w:p w:rsidR="002E5A5E" w:rsidRPr="00AC3823" w:rsidRDefault="002E5A5E" w:rsidP="00AC3823">
      <w:pPr>
        <w:pStyle w:val="Footer"/>
      </w:pPr>
    </w:p>
  </w:endnote>
  <w:endnote w:type="continuationNotice" w:id="1">
    <w:p w:rsidR="002E5A5E" w:rsidRDefault="002E5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54" w:rsidRPr="00F27154" w:rsidRDefault="00F27154" w:rsidP="00F27154">
    <w:pPr>
      <w:pStyle w:val="Footer"/>
      <w:tabs>
        <w:tab w:val="right" w:pos="9638"/>
      </w:tabs>
    </w:pPr>
    <w:r w:rsidRPr="00F27154">
      <w:rPr>
        <w:b/>
        <w:sz w:val="18"/>
      </w:rPr>
      <w:fldChar w:fldCharType="begin"/>
    </w:r>
    <w:r w:rsidRPr="00F27154">
      <w:rPr>
        <w:b/>
        <w:sz w:val="18"/>
      </w:rPr>
      <w:instrText xml:space="preserve"> PAGE  \* MERGEFORMAT </w:instrText>
    </w:r>
    <w:r w:rsidRPr="00F27154">
      <w:rPr>
        <w:b/>
        <w:sz w:val="18"/>
      </w:rPr>
      <w:fldChar w:fldCharType="separate"/>
    </w:r>
    <w:r w:rsidR="00A24755">
      <w:rPr>
        <w:b/>
        <w:noProof/>
        <w:sz w:val="18"/>
      </w:rPr>
      <w:t>2</w:t>
    </w:r>
    <w:r w:rsidRPr="00F27154">
      <w:rPr>
        <w:b/>
        <w:sz w:val="18"/>
      </w:rPr>
      <w:fldChar w:fldCharType="end"/>
    </w:r>
    <w:r>
      <w:rPr>
        <w:b/>
        <w:sz w:val="18"/>
      </w:rPr>
      <w:tab/>
    </w:r>
    <w:r>
      <w:t>GE.18-05496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54" w:rsidRPr="00F27154" w:rsidRDefault="00F27154" w:rsidP="00F27154">
    <w:pPr>
      <w:pStyle w:val="Footer"/>
      <w:tabs>
        <w:tab w:val="right" w:pos="9638"/>
      </w:tabs>
      <w:rPr>
        <w:b/>
        <w:sz w:val="18"/>
      </w:rPr>
    </w:pPr>
    <w:r>
      <w:t>GE.18-05496</w:t>
    </w:r>
    <w:r>
      <w:tab/>
    </w:r>
    <w:r w:rsidRPr="00F27154">
      <w:rPr>
        <w:b/>
        <w:sz w:val="18"/>
      </w:rPr>
      <w:fldChar w:fldCharType="begin"/>
    </w:r>
    <w:r w:rsidRPr="00F27154">
      <w:rPr>
        <w:b/>
        <w:sz w:val="18"/>
      </w:rPr>
      <w:instrText xml:space="preserve"> PAGE  \* MERGEFORMAT </w:instrText>
    </w:r>
    <w:r w:rsidRPr="00F27154">
      <w:rPr>
        <w:b/>
        <w:sz w:val="18"/>
      </w:rPr>
      <w:fldChar w:fldCharType="separate"/>
    </w:r>
    <w:r w:rsidR="00A24755">
      <w:rPr>
        <w:b/>
        <w:noProof/>
        <w:sz w:val="18"/>
      </w:rPr>
      <w:t>3</w:t>
    </w:r>
    <w:r w:rsidRPr="00F271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F27154" w:rsidRDefault="00F27154" w:rsidP="00F27154">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05496  (</w:t>
    </w:r>
    <w:proofErr w:type="gramEnd"/>
    <w:r>
      <w:rPr>
        <w:sz w:val="20"/>
      </w:rPr>
      <w:t>F)</w:t>
    </w:r>
    <w:r w:rsidR="00270A83">
      <w:rPr>
        <w:sz w:val="20"/>
      </w:rPr>
      <w:t xml:space="preserve">    250618    250618</w:t>
    </w:r>
    <w:r>
      <w:rPr>
        <w:sz w:val="20"/>
      </w:rPr>
      <w:br/>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sidRPr="00F27154">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5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5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A5E" w:rsidRPr="00AC3823" w:rsidRDefault="002E5A5E" w:rsidP="00AC3823">
      <w:pPr>
        <w:pStyle w:val="Footer"/>
        <w:tabs>
          <w:tab w:val="right" w:pos="2155"/>
        </w:tabs>
        <w:spacing w:after="80" w:line="240" w:lineRule="atLeast"/>
        <w:ind w:left="680"/>
        <w:rPr>
          <w:u w:val="single"/>
        </w:rPr>
      </w:pPr>
      <w:r>
        <w:rPr>
          <w:u w:val="single"/>
        </w:rPr>
        <w:tab/>
      </w:r>
    </w:p>
  </w:footnote>
  <w:footnote w:type="continuationSeparator" w:id="0">
    <w:p w:rsidR="002E5A5E" w:rsidRPr="00AC3823" w:rsidRDefault="002E5A5E" w:rsidP="00AC3823">
      <w:pPr>
        <w:pStyle w:val="Footer"/>
        <w:tabs>
          <w:tab w:val="right" w:pos="2155"/>
        </w:tabs>
        <w:spacing w:after="80" w:line="240" w:lineRule="atLeast"/>
        <w:ind w:left="680"/>
        <w:rPr>
          <w:u w:val="single"/>
        </w:rPr>
      </w:pPr>
      <w:r>
        <w:rPr>
          <w:u w:val="single"/>
        </w:rPr>
        <w:tab/>
      </w:r>
    </w:p>
  </w:footnote>
  <w:footnote w:type="continuationNotice" w:id="1">
    <w:p w:rsidR="002E5A5E" w:rsidRPr="00AC3823" w:rsidRDefault="002E5A5E">
      <w:pPr>
        <w:spacing w:line="240" w:lineRule="auto"/>
        <w:rPr>
          <w:sz w:val="2"/>
          <w:szCs w:val="2"/>
        </w:rPr>
      </w:pPr>
    </w:p>
  </w:footnote>
  <w:footnote w:id="2">
    <w:p w:rsidR="004A450D" w:rsidRPr="004A450D" w:rsidRDefault="004A450D">
      <w:pPr>
        <w:pStyle w:val="FootnoteText"/>
      </w:pPr>
      <w:r>
        <w:rPr>
          <w:rStyle w:val="FootnoteReference"/>
        </w:rPr>
        <w:tab/>
      </w:r>
      <w:r w:rsidRPr="004A450D">
        <w:rPr>
          <w:rStyle w:val="FootnoteReference"/>
          <w:sz w:val="20"/>
          <w:vertAlign w:val="baseline"/>
        </w:rPr>
        <w:t>*</w:t>
      </w:r>
      <w:r>
        <w:rPr>
          <w:rStyle w:val="FootnoteReference"/>
          <w:sz w:val="20"/>
          <w:vertAlign w:val="baseline"/>
        </w:rPr>
        <w:tab/>
      </w:r>
      <w:r>
        <w:t xml:space="preserve">Conformément au programme de travail du Sous-Comité </w:t>
      </w:r>
      <w:r w:rsidRPr="00BA4102">
        <w:t xml:space="preserve">pour la période 2017-2018 tel qu’approuvé par le Comité à sa huitième session </w:t>
      </w:r>
      <w:r>
        <w:t>(voir ST/SG/AC.10/C.3/100, par. 98, et ST/SG/AC.10/44,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54" w:rsidRPr="00F27154" w:rsidRDefault="00A24755">
    <w:pPr>
      <w:pStyle w:val="Header"/>
    </w:pPr>
    <w:r>
      <w:fldChar w:fldCharType="begin"/>
    </w:r>
    <w:r>
      <w:instrText xml:space="preserve"> TITLE  \* MERG</w:instrText>
    </w:r>
    <w:r>
      <w:instrText xml:space="preserve">EFORMAT </w:instrText>
    </w:r>
    <w:r>
      <w:fldChar w:fldCharType="separate"/>
    </w:r>
    <w:r>
      <w:t>ST/SG/AC.10/C.3/2018/58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54" w:rsidRPr="00F27154" w:rsidRDefault="00A24755" w:rsidP="00F27154">
    <w:pPr>
      <w:pStyle w:val="Header"/>
      <w:jc w:val="right"/>
    </w:pPr>
    <w:r>
      <w:fldChar w:fldCharType="begin"/>
    </w:r>
    <w:r>
      <w:instrText xml:space="preserve"> TITLE  \* MERGEFORMAT </w:instrText>
    </w:r>
    <w:r>
      <w:fldChar w:fldCharType="separate"/>
    </w:r>
    <w:r>
      <w:t>ST/SG/AC.10/C.3/2018/58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98E626E8"/>
    <w:lvl w:ilvl="0" w:tplc="79FC2480">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lvlOverride w:ilvl="0">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5E"/>
    <w:rsid w:val="00017F94"/>
    <w:rsid w:val="00023842"/>
    <w:rsid w:val="000305D3"/>
    <w:rsid w:val="000334F9"/>
    <w:rsid w:val="0007796D"/>
    <w:rsid w:val="000B7790"/>
    <w:rsid w:val="000D5A05"/>
    <w:rsid w:val="00111F2F"/>
    <w:rsid w:val="00132EA9"/>
    <w:rsid w:val="001377CF"/>
    <w:rsid w:val="0014365E"/>
    <w:rsid w:val="001620DB"/>
    <w:rsid w:val="00176178"/>
    <w:rsid w:val="001F0F4B"/>
    <w:rsid w:val="001F525A"/>
    <w:rsid w:val="00223272"/>
    <w:rsid w:val="00244914"/>
    <w:rsid w:val="0024779E"/>
    <w:rsid w:val="00270A83"/>
    <w:rsid w:val="00283190"/>
    <w:rsid w:val="002832AC"/>
    <w:rsid w:val="002D7C93"/>
    <w:rsid w:val="002E5A5E"/>
    <w:rsid w:val="00441C3B"/>
    <w:rsid w:val="00446FE5"/>
    <w:rsid w:val="00452396"/>
    <w:rsid w:val="004A450D"/>
    <w:rsid w:val="004E3C8F"/>
    <w:rsid w:val="004E468C"/>
    <w:rsid w:val="005505B7"/>
    <w:rsid w:val="00550EB0"/>
    <w:rsid w:val="00555CF6"/>
    <w:rsid w:val="00573BE5"/>
    <w:rsid w:val="00584DC4"/>
    <w:rsid w:val="00586ED3"/>
    <w:rsid w:val="00596AA9"/>
    <w:rsid w:val="00650BEA"/>
    <w:rsid w:val="0068456F"/>
    <w:rsid w:val="00685F35"/>
    <w:rsid w:val="0071601D"/>
    <w:rsid w:val="007A62E6"/>
    <w:rsid w:val="007B3390"/>
    <w:rsid w:val="007D7B47"/>
    <w:rsid w:val="0080684C"/>
    <w:rsid w:val="008718C0"/>
    <w:rsid w:val="00871C75"/>
    <w:rsid w:val="008776DC"/>
    <w:rsid w:val="008B40CD"/>
    <w:rsid w:val="009705C8"/>
    <w:rsid w:val="009C1CF4"/>
    <w:rsid w:val="009E7872"/>
    <w:rsid w:val="00A24755"/>
    <w:rsid w:val="00A258F7"/>
    <w:rsid w:val="00A30353"/>
    <w:rsid w:val="00A621DE"/>
    <w:rsid w:val="00AC3823"/>
    <w:rsid w:val="00AE323C"/>
    <w:rsid w:val="00B00181"/>
    <w:rsid w:val="00B00B0D"/>
    <w:rsid w:val="00B765F7"/>
    <w:rsid w:val="00BA0CA9"/>
    <w:rsid w:val="00C02897"/>
    <w:rsid w:val="00C370F9"/>
    <w:rsid w:val="00C55148"/>
    <w:rsid w:val="00CC3B00"/>
    <w:rsid w:val="00D3439C"/>
    <w:rsid w:val="00DB1831"/>
    <w:rsid w:val="00DD3BFD"/>
    <w:rsid w:val="00DF6678"/>
    <w:rsid w:val="00E838C1"/>
    <w:rsid w:val="00EF2E22"/>
    <w:rsid w:val="00F01738"/>
    <w:rsid w:val="00F27154"/>
    <w:rsid w:val="00F611C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5D1594-83FA-4473-AC41-75DCA6FF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table" w:customStyle="1" w:styleId="Grilledutableau1">
    <w:name w:val="Grille du tableau1"/>
    <w:basedOn w:val="TableNormal"/>
    <w:next w:val="TableGrid"/>
    <w:uiPriority w:val="39"/>
    <w:rsid w:val="008718C0"/>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ST/SG/AC.10/C.3/2018/58</vt:lpstr>
      <vt:lpstr>ST/SG/AC.10/C.3/2018/58</vt:lpstr>
    </vt:vector>
  </TitlesOfParts>
  <Company>DCM</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ST/SG/AC.10/C.3/2018/58</dc:title>
  <dc:subject/>
  <dc:creator>Pascale BEYSARD</dc:creator>
  <cp:keywords/>
  <cp:lastModifiedBy>Laurence Berthet</cp:lastModifiedBy>
  <cp:revision>3</cp:revision>
  <cp:lastPrinted>2018-06-25T15:36:00Z</cp:lastPrinted>
  <dcterms:created xsi:type="dcterms:W3CDTF">2018-06-25T15:36:00Z</dcterms:created>
  <dcterms:modified xsi:type="dcterms:W3CDTF">2018-06-25T15:36:00Z</dcterms:modified>
</cp:coreProperties>
</file>