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0288F6E4" w:rsidR="005E0F7B" w:rsidRDefault="005E0F7B" w:rsidP="00E41283">
            <w:pPr>
              <w:suppressAutoHyphens w:val="0"/>
              <w:spacing w:after="20"/>
              <w:jc w:val="right"/>
            </w:pPr>
            <w:r>
              <w:rPr>
                <w:sz w:val="40"/>
              </w:rPr>
              <w:t>ST</w:t>
            </w:r>
            <w:r w:rsidR="00F41498">
              <w:t>/SG/AC.10/C.3/201</w:t>
            </w:r>
            <w:r w:rsidR="00EF2383">
              <w:t>8</w:t>
            </w:r>
            <w:r w:rsidR="00EB5EFC">
              <w:t>/</w:t>
            </w:r>
            <w:r w:rsidR="00034B57">
              <w:t>58</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en-US"/>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Default="005E0F7B">
            <w:pPr>
              <w:suppressAutoHyphens w:val="0"/>
              <w:spacing w:before="240" w:line="240" w:lineRule="exact"/>
            </w:pPr>
            <w:r>
              <w:t>Distr.: General</w:t>
            </w:r>
          </w:p>
          <w:p w14:paraId="0B7B42BD" w14:textId="7BD8A4FA" w:rsidR="005E0F7B" w:rsidRPr="005C67A3" w:rsidRDefault="00A065BA">
            <w:pPr>
              <w:suppressAutoHyphens w:val="0"/>
            </w:pPr>
            <w:r>
              <w:t>9 April 2018</w:t>
            </w:r>
          </w:p>
          <w:p w14:paraId="2A5374FE" w14:textId="77777777" w:rsidR="005E0F7B" w:rsidRDefault="005E0F7B">
            <w:pPr>
              <w:suppressAutoHyphens w:val="0"/>
            </w:pPr>
          </w:p>
          <w:p w14:paraId="68A24DD9" w14:textId="77777777" w:rsidR="005E0F7B" w:rsidRDefault="005E0F7B">
            <w:pPr>
              <w:suppressAutoHyphens w:val="0"/>
            </w:pPr>
            <w:r>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77777777" w:rsidR="00AC47CB" w:rsidRPr="00432930" w:rsidRDefault="00AC47CB" w:rsidP="00AC47CB">
      <w:pPr>
        <w:spacing w:before="120"/>
        <w:rPr>
          <w:b/>
        </w:rPr>
      </w:pPr>
      <w:r>
        <w:rPr>
          <w:b/>
        </w:rPr>
        <w:t>Fifty-</w:t>
      </w:r>
      <w:r w:rsidR="00EF2383">
        <w:rPr>
          <w:b/>
        </w:rPr>
        <w:t>third</w:t>
      </w:r>
      <w:r>
        <w:rPr>
          <w:b/>
        </w:rPr>
        <w:t xml:space="preserve"> session</w:t>
      </w:r>
    </w:p>
    <w:p w14:paraId="214806AF" w14:textId="602F5568" w:rsidR="00DE0613" w:rsidRPr="00301F46" w:rsidRDefault="00AC47CB" w:rsidP="00AC47CB">
      <w:pPr>
        <w:rPr>
          <w:b/>
        </w:rPr>
      </w:pPr>
      <w:r>
        <w:t xml:space="preserve">Geneva, </w:t>
      </w:r>
      <w:r w:rsidR="00A065BA">
        <w:rPr>
          <w:color w:val="333333"/>
        </w:rPr>
        <w:t>25 June-</w:t>
      </w:r>
      <w:r w:rsidR="00EF2383">
        <w:rPr>
          <w:color w:val="333333"/>
        </w:rPr>
        <w:t>4 July 2018</w:t>
      </w:r>
      <w:r>
        <w:rPr>
          <w:color w:val="333333"/>
        </w:rPr>
        <w:br/>
      </w:r>
      <w:r w:rsidR="00A065BA" w:rsidRPr="009D3AC0">
        <w:t xml:space="preserve">Item </w:t>
      </w:r>
      <w:r w:rsidR="00A065BA">
        <w:t>2 (c</w:t>
      </w:r>
      <w:r w:rsidR="00A065BA" w:rsidRPr="009D3AC0">
        <w:t>) of the provisional agenda</w:t>
      </w:r>
      <w:r w:rsidR="00D76673" w:rsidRPr="00301F46">
        <w:rPr>
          <w:b/>
        </w:rPr>
        <w:br/>
      </w:r>
      <w:r w:rsidR="00301F46" w:rsidRPr="00301F46">
        <w:rPr>
          <w:b/>
        </w:rPr>
        <w:t xml:space="preserve">Explosives and related matters: </w:t>
      </w:r>
      <w:r w:rsidR="00A065BA">
        <w:rPr>
          <w:b/>
        </w:rPr>
        <w:br/>
      </w:r>
      <w:r w:rsidR="00301F46" w:rsidRPr="00301F46">
        <w:rPr>
          <w:b/>
        </w:rPr>
        <w:t>electronic detonators</w:t>
      </w:r>
    </w:p>
    <w:p w14:paraId="435AB9E1" w14:textId="22D700AF" w:rsidR="00E41283" w:rsidRDefault="00363CCA" w:rsidP="00E41283">
      <w:pPr>
        <w:pStyle w:val="HChG"/>
      </w:pPr>
      <w:r>
        <w:tab/>
      </w:r>
      <w:r>
        <w:tab/>
      </w:r>
      <w:r w:rsidR="008A6B52">
        <w:t>New UN entries for e</w:t>
      </w:r>
      <w:r w:rsidR="00E41283">
        <w:t xml:space="preserve">lectronic </w:t>
      </w:r>
      <w:r w:rsidR="008A6B52">
        <w:t>d</w:t>
      </w:r>
      <w:r w:rsidR="00E41283">
        <w:t xml:space="preserve">etonators </w:t>
      </w:r>
    </w:p>
    <w:p w14:paraId="75FD3243" w14:textId="77777777" w:rsidR="00E41283" w:rsidRPr="00E41283" w:rsidRDefault="00E41283" w:rsidP="00E41283">
      <w:pPr>
        <w:pStyle w:val="H1G"/>
      </w:pPr>
      <w:r>
        <w:tab/>
      </w:r>
      <w:r>
        <w:tab/>
        <w:t>Transmitted by the Australian Explosives Industry and Safety Group (AEISG)</w:t>
      </w:r>
      <w:r>
        <w:rPr>
          <w:rStyle w:val="FootnoteReference"/>
        </w:rPr>
        <w:footnoteReference w:id="2"/>
      </w:r>
    </w:p>
    <w:p w14:paraId="74159490" w14:textId="77777777" w:rsidR="00E41283" w:rsidRDefault="00E41283" w:rsidP="00E41283">
      <w:pPr>
        <w:pStyle w:val="HChG"/>
        <w:rPr>
          <w:szCs w:val="28"/>
        </w:rPr>
      </w:pPr>
      <w:r>
        <w:tab/>
      </w:r>
      <w:r>
        <w:tab/>
        <w:t>Introduction</w:t>
      </w:r>
    </w:p>
    <w:p w14:paraId="524D0754" w14:textId="77777777" w:rsidR="00E41283" w:rsidRPr="005B0B42" w:rsidRDefault="00E41283" w:rsidP="00E41283">
      <w:pPr>
        <w:pStyle w:val="SingleTxtG"/>
      </w:pPr>
      <w:r>
        <w:t>1</w:t>
      </w:r>
      <w:r w:rsidR="00301F46">
        <w:t>.</w:t>
      </w:r>
      <w:r w:rsidR="00301F46">
        <w:tab/>
        <w:t xml:space="preserve">The current edition of the </w:t>
      </w:r>
      <w:r>
        <w:t>Model Regulations contains the following entries for detonators, other than those used in ammunition: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6"/>
        <w:gridCol w:w="1654"/>
        <w:gridCol w:w="1800"/>
      </w:tblGrid>
      <w:tr w:rsidR="00E41283" w:rsidRPr="00E41283" w14:paraId="31FBAA3A" w14:textId="77777777" w:rsidTr="00E41283">
        <w:trPr>
          <w:tblHeader/>
        </w:trPr>
        <w:tc>
          <w:tcPr>
            <w:tcW w:w="3916" w:type="dxa"/>
            <w:tcBorders>
              <w:top w:val="single" w:sz="4" w:space="0" w:color="auto"/>
              <w:bottom w:val="single" w:sz="12" w:space="0" w:color="auto"/>
            </w:tcBorders>
            <w:shd w:val="clear" w:color="auto" w:fill="auto"/>
            <w:vAlign w:val="bottom"/>
          </w:tcPr>
          <w:p w14:paraId="118E6F03" w14:textId="77777777" w:rsidR="00E41283" w:rsidRPr="00E41283" w:rsidRDefault="00E41283" w:rsidP="00E41283">
            <w:pPr>
              <w:suppressAutoHyphens w:val="0"/>
              <w:spacing w:before="80" w:after="80" w:line="200" w:lineRule="exact"/>
              <w:ind w:right="113"/>
              <w:rPr>
                <w:i/>
                <w:sz w:val="16"/>
              </w:rPr>
            </w:pPr>
            <w:r w:rsidRPr="00E41283">
              <w:rPr>
                <w:i/>
                <w:sz w:val="16"/>
              </w:rPr>
              <w:t>Name and description</w:t>
            </w:r>
          </w:p>
        </w:tc>
        <w:tc>
          <w:tcPr>
            <w:tcW w:w="1654" w:type="dxa"/>
            <w:tcBorders>
              <w:top w:val="single" w:sz="4" w:space="0" w:color="auto"/>
              <w:bottom w:val="single" w:sz="12" w:space="0" w:color="auto"/>
            </w:tcBorders>
            <w:shd w:val="clear" w:color="auto" w:fill="auto"/>
            <w:vAlign w:val="bottom"/>
          </w:tcPr>
          <w:p w14:paraId="6B7C51F2" w14:textId="77777777" w:rsidR="00E41283" w:rsidRPr="00E41283" w:rsidRDefault="00E41283" w:rsidP="00E41283">
            <w:pPr>
              <w:suppressAutoHyphens w:val="0"/>
              <w:spacing w:before="80" w:after="80" w:line="200" w:lineRule="exact"/>
              <w:ind w:right="113"/>
              <w:jc w:val="right"/>
              <w:rPr>
                <w:i/>
                <w:sz w:val="16"/>
              </w:rPr>
            </w:pPr>
            <w:r w:rsidRPr="00E41283">
              <w:rPr>
                <w:i/>
                <w:sz w:val="16"/>
              </w:rPr>
              <w:t>Class</w:t>
            </w:r>
          </w:p>
        </w:tc>
        <w:tc>
          <w:tcPr>
            <w:tcW w:w="1800" w:type="dxa"/>
            <w:tcBorders>
              <w:top w:val="single" w:sz="4" w:space="0" w:color="auto"/>
              <w:bottom w:val="single" w:sz="12" w:space="0" w:color="auto"/>
            </w:tcBorders>
            <w:shd w:val="clear" w:color="auto" w:fill="auto"/>
            <w:vAlign w:val="bottom"/>
          </w:tcPr>
          <w:p w14:paraId="08BF8D4E" w14:textId="77777777" w:rsidR="00E41283" w:rsidRPr="00E41283" w:rsidRDefault="00E41283" w:rsidP="00E41283">
            <w:pPr>
              <w:suppressAutoHyphens w:val="0"/>
              <w:spacing w:before="80" w:after="80" w:line="200" w:lineRule="exact"/>
              <w:ind w:right="113"/>
              <w:jc w:val="right"/>
              <w:rPr>
                <w:i/>
                <w:sz w:val="16"/>
              </w:rPr>
            </w:pPr>
            <w:r w:rsidRPr="00E41283">
              <w:rPr>
                <w:i/>
                <w:sz w:val="16"/>
              </w:rPr>
              <w:t>UN Number</w:t>
            </w:r>
          </w:p>
        </w:tc>
      </w:tr>
      <w:tr w:rsidR="00E41283" w:rsidRPr="00E41283" w14:paraId="777E91A6" w14:textId="77777777" w:rsidTr="00E41283">
        <w:tc>
          <w:tcPr>
            <w:tcW w:w="3916" w:type="dxa"/>
            <w:tcBorders>
              <w:top w:val="single" w:sz="12" w:space="0" w:color="auto"/>
            </w:tcBorders>
            <w:shd w:val="clear" w:color="auto" w:fill="auto"/>
          </w:tcPr>
          <w:p w14:paraId="11F8668E" w14:textId="77777777" w:rsidR="00E41283" w:rsidRPr="00E41283" w:rsidRDefault="00E41283" w:rsidP="00E41283">
            <w:pPr>
              <w:suppressAutoHyphens w:val="0"/>
              <w:spacing w:before="40" w:after="40" w:line="220" w:lineRule="exact"/>
              <w:ind w:right="113"/>
              <w:rPr>
                <w:sz w:val="18"/>
              </w:rPr>
            </w:pPr>
            <w:r w:rsidRPr="00E41283">
              <w:rPr>
                <w:sz w:val="18"/>
              </w:rPr>
              <w:t>DETONATORS, NON-ELECTRIC for blasting</w:t>
            </w:r>
          </w:p>
        </w:tc>
        <w:tc>
          <w:tcPr>
            <w:tcW w:w="1654" w:type="dxa"/>
            <w:tcBorders>
              <w:top w:val="single" w:sz="12" w:space="0" w:color="auto"/>
            </w:tcBorders>
            <w:shd w:val="clear" w:color="auto" w:fill="auto"/>
            <w:vAlign w:val="bottom"/>
          </w:tcPr>
          <w:p w14:paraId="56EBAAF8" w14:textId="77777777" w:rsidR="00E41283" w:rsidRPr="00E41283" w:rsidRDefault="00E41283" w:rsidP="00E41283">
            <w:pPr>
              <w:suppressAutoHyphens w:val="0"/>
              <w:spacing w:before="40" w:after="40" w:line="220" w:lineRule="exact"/>
              <w:ind w:right="113"/>
              <w:jc w:val="right"/>
              <w:rPr>
                <w:sz w:val="18"/>
              </w:rPr>
            </w:pPr>
            <w:r w:rsidRPr="00E41283">
              <w:rPr>
                <w:sz w:val="18"/>
              </w:rPr>
              <w:t>1.1B</w:t>
            </w:r>
          </w:p>
          <w:p w14:paraId="1B3CDE05" w14:textId="77777777" w:rsidR="00E41283" w:rsidRPr="00E41283" w:rsidRDefault="00E41283" w:rsidP="00E41283">
            <w:pPr>
              <w:suppressAutoHyphens w:val="0"/>
              <w:spacing w:before="40" w:after="40" w:line="220" w:lineRule="exact"/>
              <w:ind w:right="113"/>
              <w:jc w:val="right"/>
              <w:rPr>
                <w:sz w:val="18"/>
              </w:rPr>
            </w:pPr>
            <w:r w:rsidRPr="00E41283">
              <w:rPr>
                <w:sz w:val="18"/>
              </w:rPr>
              <w:t>1.4B</w:t>
            </w:r>
          </w:p>
          <w:p w14:paraId="530B36AE" w14:textId="77777777"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tcBorders>
              <w:top w:val="single" w:sz="12" w:space="0" w:color="auto"/>
            </w:tcBorders>
            <w:shd w:val="clear" w:color="auto" w:fill="auto"/>
            <w:vAlign w:val="bottom"/>
          </w:tcPr>
          <w:p w14:paraId="7038E59A" w14:textId="77777777" w:rsidR="00E41283" w:rsidRPr="00E41283" w:rsidRDefault="00E41283" w:rsidP="00E41283">
            <w:pPr>
              <w:suppressAutoHyphens w:val="0"/>
              <w:spacing w:before="40" w:after="40" w:line="220" w:lineRule="exact"/>
              <w:ind w:right="113"/>
              <w:jc w:val="right"/>
              <w:rPr>
                <w:sz w:val="18"/>
              </w:rPr>
            </w:pPr>
            <w:r w:rsidRPr="00E41283">
              <w:rPr>
                <w:sz w:val="18"/>
              </w:rPr>
              <w:t>0029</w:t>
            </w:r>
          </w:p>
          <w:p w14:paraId="1BA31FB5" w14:textId="77777777" w:rsidR="00E41283" w:rsidRPr="00E41283" w:rsidRDefault="00E41283" w:rsidP="00E41283">
            <w:pPr>
              <w:suppressAutoHyphens w:val="0"/>
              <w:spacing w:before="40" w:after="40" w:line="220" w:lineRule="exact"/>
              <w:ind w:right="113"/>
              <w:jc w:val="right"/>
              <w:rPr>
                <w:sz w:val="18"/>
              </w:rPr>
            </w:pPr>
            <w:r w:rsidRPr="00E41283">
              <w:rPr>
                <w:sz w:val="18"/>
              </w:rPr>
              <w:t>0267</w:t>
            </w:r>
          </w:p>
          <w:p w14:paraId="5C9C260B" w14:textId="77777777" w:rsidR="00E41283" w:rsidRPr="00E41283" w:rsidRDefault="00E41283" w:rsidP="00E41283">
            <w:pPr>
              <w:suppressAutoHyphens w:val="0"/>
              <w:spacing w:before="40" w:after="40" w:line="220" w:lineRule="exact"/>
              <w:ind w:right="113"/>
              <w:jc w:val="right"/>
              <w:rPr>
                <w:sz w:val="18"/>
              </w:rPr>
            </w:pPr>
            <w:r w:rsidRPr="00E41283">
              <w:rPr>
                <w:sz w:val="18"/>
              </w:rPr>
              <w:t>0455</w:t>
            </w:r>
          </w:p>
        </w:tc>
      </w:tr>
      <w:tr w:rsidR="00E41283" w:rsidRPr="00E41283" w14:paraId="05BF055D" w14:textId="77777777" w:rsidTr="00E41283">
        <w:tc>
          <w:tcPr>
            <w:tcW w:w="3916" w:type="dxa"/>
            <w:shd w:val="clear" w:color="auto" w:fill="auto"/>
          </w:tcPr>
          <w:p w14:paraId="10C6C678" w14:textId="77777777" w:rsidR="00E41283" w:rsidRPr="00E41283" w:rsidRDefault="00E41283" w:rsidP="00E41283">
            <w:pPr>
              <w:suppressAutoHyphens w:val="0"/>
              <w:spacing w:before="40" w:after="40" w:line="220" w:lineRule="exact"/>
              <w:ind w:right="113"/>
              <w:rPr>
                <w:sz w:val="18"/>
              </w:rPr>
            </w:pPr>
            <w:r w:rsidRPr="00E41283">
              <w:rPr>
                <w:sz w:val="18"/>
              </w:rPr>
              <w:t>DETONATORS, ELECTRIC for blasting</w:t>
            </w:r>
          </w:p>
        </w:tc>
        <w:tc>
          <w:tcPr>
            <w:tcW w:w="1654" w:type="dxa"/>
            <w:shd w:val="clear" w:color="auto" w:fill="auto"/>
            <w:vAlign w:val="bottom"/>
          </w:tcPr>
          <w:p w14:paraId="7A93267F" w14:textId="77777777" w:rsidR="00E41283" w:rsidRPr="00E41283" w:rsidRDefault="00E41283" w:rsidP="00E41283">
            <w:pPr>
              <w:suppressAutoHyphens w:val="0"/>
              <w:spacing w:before="40" w:after="40" w:line="220" w:lineRule="exact"/>
              <w:ind w:right="113"/>
              <w:jc w:val="right"/>
              <w:rPr>
                <w:sz w:val="18"/>
              </w:rPr>
            </w:pPr>
            <w:r w:rsidRPr="00E41283">
              <w:rPr>
                <w:sz w:val="18"/>
              </w:rPr>
              <w:t>1.1B</w:t>
            </w:r>
          </w:p>
          <w:p w14:paraId="2BE5C5FF" w14:textId="77777777" w:rsidR="00E41283" w:rsidRPr="00E41283" w:rsidRDefault="00E41283" w:rsidP="00E41283">
            <w:pPr>
              <w:suppressAutoHyphens w:val="0"/>
              <w:spacing w:before="40" w:after="40" w:line="220" w:lineRule="exact"/>
              <w:ind w:right="113"/>
              <w:jc w:val="right"/>
              <w:rPr>
                <w:sz w:val="18"/>
              </w:rPr>
            </w:pPr>
            <w:r w:rsidRPr="00E41283">
              <w:rPr>
                <w:sz w:val="18"/>
              </w:rPr>
              <w:t>1.4B</w:t>
            </w:r>
          </w:p>
          <w:p w14:paraId="5B27913B" w14:textId="77777777"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shd w:val="clear" w:color="auto" w:fill="auto"/>
            <w:vAlign w:val="bottom"/>
          </w:tcPr>
          <w:p w14:paraId="1137CBD6" w14:textId="77777777" w:rsidR="00E41283" w:rsidRPr="00E41283" w:rsidRDefault="00E41283" w:rsidP="00E41283">
            <w:pPr>
              <w:suppressAutoHyphens w:val="0"/>
              <w:spacing w:before="40" w:after="40" w:line="220" w:lineRule="exact"/>
              <w:ind w:right="113"/>
              <w:jc w:val="right"/>
              <w:rPr>
                <w:sz w:val="18"/>
              </w:rPr>
            </w:pPr>
            <w:r w:rsidRPr="00E41283">
              <w:rPr>
                <w:sz w:val="18"/>
              </w:rPr>
              <w:t>0030</w:t>
            </w:r>
          </w:p>
          <w:p w14:paraId="77B51800" w14:textId="77777777" w:rsidR="00E41283" w:rsidRPr="00E41283" w:rsidRDefault="00E41283" w:rsidP="00E41283">
            <w:pPr>
              <w:suppressAutoHyphens w:val="0"/>
              <w:spacing w:before="40" w:after="40" w:line="220" w:lineRule="exact"/>
              <w:ind w:right="113"/>
              <w:jc w:val="right"/>
              <w:rPr>
                <w:sz w:val="18"/>
              </w:rPr>
            </w:pPr>
            <w:r w:rsidRPr="00E41283">
              <w:rPr>
                <w:sz w:val="18"/>
              </w:rPr>
              <w:t>0255</w:t>
            </w:r>
          </w:p>
          <w:p w14:paraId="51F6A8F3" w14:textId="77777777" w:rsidR="00E41283" w:rsidRPr="00E41283" w:rsidRDefault="00E41283" w:rsidP="00E41283">
            <w:pPr>
              <w:suppressAutoHyphens w:val="0"/>
              <w:spacing w:before="40" w:after="40" w:line="220" w:lineRule="exact"/>
              <w:ind w:right="113"/>
              <w:jc w:val="right"/>
              <w:rPr>
                <w:sz w:val="18"/>
              </w:rPr>
            </w:pPr>
            <w:r w:rsidRPr="00E41283">
              <w:rPr>
                <w:sz w:val="18"/>
              </w:rPr>
              <w:t>0456</w:t>
            </w:r>
          </w:p>
        </w:tc>
      </w:tr>
      <w:tr w:rsidR="00E41283" w:rsidRPr="00E41283" w14:paraId="54E6A317" w14:textId="77777777" w:rsidTr="00E41283">
        <w:tc>
          <w:tcPr>
            <w:tcW w:w="3916" w:type="dxa"/>
            <w:shd w:val="clear" w:color="auto" w:fill="auto"/>
          </w:tcPr>
          <w:p w14:paraId="763C82DD" w14:textId="77777777" w:rsidR="00E41283" w:rsidRPr="00E41283" w:rsidRDefault="00E41283" w:rsidP="00E41283">
            <w:pPr>
              <w:suppressAutoHyphens w:val="0"/>
              <w:spacing w:before="40" w:after="40" w:line="220" w:lineRule="exact"/>
              <w:ind w:right="113"/>
              <w:rPr>
                <w:sz w:val="18"/>
              </w:rPr>
            </w:pPr>
            <w:r w:rsidRPr="00E41283">
              <w:rPr>
                <w:sz w:val="18"/>
              </w:rPr>
              <w:t>DETONATOR ASSEMBLIES,</w:t>
            </w:r>
          </w:p>
          <w:p w14:paraId="620DD2F1" w14:textId="77777777" w:rsidR="00E41283" w:rsidRPr="00E41283" w:rsidRDefault="00E41283" w:rsidP="00E41283">
            <w:pPr>
              <w:suppressAutoHyphens w:val="0"/>
              <w:spacing w:before="40" w:after="40" w:line="220" w:lineRule="exact"/>
              <w:ind w:right="113"/>
              <w:rPr>
                <w:sz w:val="18"/>
              </w:rPr>
            </w:pPr>
            <w:r w:rsidRPr="00E41283">
              <w:rPr>
                <w:sz w:val="18"/>
              </w:rPr>
              <w:t>NON-ELECTRIC for blasting</w:t>
            </w:r>
          </w:p>
        </w:tc>
        <w:tc>
          <w:tcPr>
            <w:tcW w:w="1654" w:type="dxa"/>
            <w:shd w:val="clear" w:color="auto" w:fill="auto"/>
            <w:vAlign w:val="bottom"/>
          </w:tcPr>
          <w:p w14:paraId="48056325" w14:textId="77777777" w:rsidR="00E41283" w:rsidRPr="00E41283" w:rsidRDefault="00E41283" w:rsidP="00E41283">
            <w:pPr>
              <w:suppressAutoHyphens w:val="0"/>
              <w:spacing w:before="40" w:after="40" w:line="220" w:lineRule="exact"/>
              <w:ind w:right="113"/>
              <w:jc w:val="right"/>
              <w:rPr>
                <w:sz w:val="18"/>
              </w:rPr>
            </w:pPr>
            <w:r w:rsidRPr="00E41283">
              <w:rPr>
                <w:sz w:val="18"/>
              </w:rPr>
              <w:t>1.1B</w:t>
            </w:r>
          </w:p>
          <w:p w14:paraId="21FD2A3F" w14:textId="77777777" w:rsidR="00E41283" w:rsidRPr="00E41283" w:rsidRDefault="00E41283" w:rsidP="00E41283">
            <w:pPr>
              <w:suppressAutoHyphens w:val="0"/>
              <w:spacing w:before="40" w:after="40" w:line="220" w:lineRule="exact"/>
              <w:ind w:right="113"/>
              <w:jc w:val="right"/>
              <w:rPr>
                <w:sz w:val="18"/>
              </w:rPr>
            </w:pPr>
            <w:r w:rsidRPr="00E41283">
              <w:rPr>
                <w:sz w:val="18"/>
              </w:rPr>
              <w:t>1.4B</w:t>
            </w:r>
          </w:p>
          <w:p w14:paraId="2512F092" w14:textId="77777777" w:rsidR="00E41283" w:rsidRPr="00E41283" w:rsidRDefault="00E41283" w:rsidP="00E41283">
            <w:pPr>
              <w:suppressAutoHyphens w:val="0"/>
              <w:spacing w:before="40" w:after="40" w:line="220" w:lineRule="exact"/>
              <w:ind w:right="113"/>
              <w:jc w:val="right"/>
              <w:rPr>
                <w:sz w:val="18"/>
              </w:rPr>
            </w:pPr>
            <w:r w:rsidRPr="00E41283">
              <w:rPr>
                <w:sz w:val="18"/>
              </w:rPr>
              <w:t>1.4S</w:t>
            </w:r>
          </w:p>
        </w:tc>
        <w:tc>
          <w:tcPr>
            <w:tcW w:w="1800" w:type="dxa"/>
            <w:shd w:val="clear" w:color="auto" w:fill="auto"/>
            <w:vAlign w:val="bottom"/>
          </w:tcPr>
          <w:p w14:paraId="4A7100B7" w14:textId="77777777" w:rsidR="00E41283" w:rsidRPr="00E41283" w:rsidRDefault="00E41283" w:rsidP="00E41283">
            <w:pPr>
              <w:suppressAutoHyphens w:val="0"/>
              <w:spacing w:before="40" w:after="40" w:line="220" w:lineRule="exact"/>
              <w:ind w:right="113"/>
              <w:jc w:val="right"/>
              <w:rPr>
                <w:sz w:val="18"/>
              </w:rPr>
            </w:pPr>
            <w:r w:rsidRPr="00E41283">
              <w:rPr>
                <w:sz w:val="18"/>
              </w:rPr>
              <w:t>0360</w:t>
            </w:r>
          </w:p>
          <w:p w14:paraId="1B933F5F" w14:textId="77777777" w:rsidR="00E41283" w:rsidRPr="00E41283" w:rsidRDefault="00E41283" w:rsidP="00E41283">
            <w:pPr>
              <w:suppressAutoHyphens w:val="0"/>
              <w:spacing w:before="40" w:after="40" w:line="220" w:lineRule="exact"/>
              <w:ind w:right="113"/>
              <w:jc w:val="right"/>
              <w:rPr>
                <w:sz w:val="18"/>
              </w:rPr>
            </w:pPr>
            <w:r w:rsidRPr="00E41283">
              <w:rPr>
                <w:sz w:val="18"/>
              </w:rPr>
              <w:t>0361</w:t>
            </w:r>
          </w:p>
          <w:p w14:paraId="115CFD69" w14:textId="77777777" w:rsidR="00E41283" w:rsidRPr="00E41283" w:rsidRDefault="00E41283" w:rsidP="00E41283">
            <w:pPr>
              <w:suppressAutoHyphens w:val="0"/>
              <w:spacing w:before="40" w:after="40" w:line="220" w:lineRule="exact"/>
              <w:ind w:right="113"/>
              <w:jc w:val="right"/>
              <w:rPr>
                <w:sz w:val="18"/>
              </w:rPr>
            </w:pPr>
            <w:r w:rsidRPr="00E41283">
              <w:rPr>
                <w:sz w:val="18"/>
              </w:rPr>
              <w:t>0500</w:t>
            </w:r>
          </w:p>
        </w:tc>
      </w:tr>
    </w:tbl>
    <w:p w14:paraId="77881280" w14:textId="77777777" w:rsidR="0078270D" w:rsidRDefault="0078270D" w:rsidP="00E41283">
      <w:pPr>
        <w:pStyle w:val="SingleTxtG"/>
        <w:spacing w:before="240"/>
      </w:pPr>
    </w:p>
    <w:p w14:paraId="74BD4264" w14:textId="070807E2" w:rsidR="00E41283" w:rsidRDefault="00E41283" w:rsidP="0078270D">
      <w:pPr>
        <w:pStyle w:val="SingleTxtG"/>
      </w:pPr>
      <w:r>
        <w:lastRenderedPageBreak/>
        <w:t>2.</w:t>
      </w:r>
      <w:r>
        <w:tab/>
      </w:r>
      <w:r w:rsidR="00EF2383">
        <w:t xml:space="preserve">At the fifty-first session in July 2017, AEISG submitted a proposal for a new entry in the Model Regulations for electronic detonators ST/SG/AC.10/C.3/2017/14. </w:t>
      </w:r>
      <w:r w:rsidR="00051062">
        <w:t>In response, an</w:t>
      </w:r>
      <w:r w:rsidR="00EF2383">
        <w:t xml:space="preserve"> informa</w:t>
      </w:r>
      <w:r w:rsidR="008A6B52">
        <w:t>l</w:t>
      </w:r>
      <w:r w:rsidR="00EF2383">
        <w:t xml:space="preserve"> </w:t>
      </w:r>
      <w:r w:rsidR="008A6B52">
        <w:t>document</w:t>
      </w:r>
      <w:r w:rsidR="00EF2383">
        <w:t xml:space="preserve"> from Sweden on this subject </w:t>
      </w:r>
      <w:r w:rsidR="008A6B52">
        <w:t>INF.33</w:t>
      </w:r>
      <w:r w:rsidR="00EF2383">
        <w:t xml:space="preserve"> suggested the existing entry for electric detonators could be reworded to include electronic detonators.</w:t>
      </w:r>
    </w:p>
    <w:p w14:paraId="309F55EF" w14:textId="77777777" w:rsidR="00E41283" w:rsidRPr="00DE7419" w:rsidRDefault="00E41283" w:rsidP="00E41283">
      <w:pPr>
        <w:pStyle w:val="SingleTxtG"/>
      </w:pPr>
      <w:r>
        <w:t>3.</w:t>
      </w:r>
      <w:r>
        <w:tab/>
        <w:t>Electronic detonators should not be confused with electric detonators, having significantly different design characteristics, and improved safety and security benefits:</w:t>
      </w:r>
    </w:p>
    <w:p w14:paraId="11C4FEF6" w14:textId="77777777" w:rsidR="0078270D" w:rsidRDefault="0078270D" w:rsidP="0078270D">
      <w:pPr>
        <w:pStyle w:val="SingleTxtG"/>
        <w:ind w:left="1701"/>
      </w:pPr>
      <w:r>
        <w:t>(a)</w:t>
      </w:r>
      <w:r>
        <w:tab/>
        <w:t>Electronic detonators</w:t>
      </w:r>
      <w:r w:rsidR="00B355CF">
        <w:t>,</w:t>
      </w:r>
      <w:r>
        <w:t xml:space="preserve"> </w:t>
      </w:r>
      <w:r w:rsidR="00EF2383">
        <w:t>as defined</w:t>
      </w:r>
      <w:r w:rsidR="00B355CF">
        <w:t>,</w:t>
      </w:r>
      <w:r w:rsidR="00EF2383">
        <w:t xml:space="preserve"> </w:t>
      </w:r>
      <w:r>
        <w:t>cannot be fired electrically without pre-programming and communication via associated relevant electronic blasting firing devices;</w:t>
      </w:r>
    </w:p>
    <w:p w14:paraId="2EB73FB2" w14:textId="77777777" w:rsidR="0078270D" w:rsidRDefault="0078270D" w:rsidP="0078270D">
      <w:pPr>
        <w:pStyle w:val="SingleTxtG"/>
        <w:ind w:left="1701"/>
      </w:pPr>
      <w:r>
        <w:t>(b)</w:t>
      </w:r>
      <w:r>
        <w:tab/>
        <w:t>Electronic detonator wire leads do not attach directly to a match head or bridge wire as in electric detonators;</w:t>
      </w:r>
    </w:p>
    <w:p w14:paraId="408639B2" w14:textId="7AA104F9" w:rsidR="0078270D" w:rsidRDefault="0078270D" w:rsidP="0078270D">
      <w:pPr>
        <w:pStyle w:val="SingleTxtG"/>
        <w:ind w:left="1701"/>
      </w:pPr>
      <w:r>
        <w:t>(c)</w:t>
      </w:r>
      <w:r>
        <w:tab/>
        <w:t>Electronic detonators are resistant to extraneous/stray/induced currents or static discharges;</w:t>
      </w:r>
    </w:p>
    <w:p w14:paraId="7E6FE4DA" w14:textId="77777777" w:rsidR="0078270D" w:rsidRDefault="0078270D" w:rsidP="0078270D">
      <w:pPr>
        <w:pStyle w:val="SingleTxtG"/>
        <w:ind w:left="1701"/>
      </w:pPr>
      <w:r>
        <w:t>(d)</w:t>
      </w:r>
      <w:r>
        <w:tab/>
        <w:t>Communication between electronic detonators and firing devic</w:t>
      </w:r>
      <w:r w:rsidR="0020640F">
        <w:t xml:space="preserve">e </w:t>
      </w:r>
      <w:r w:rsidR="00051062">
        <w:t xml:space="preserve"> prior to use </w:t>
      </w:r>
      <w:r w:rsidR="0020640F">
        <w:t>ensures continuity and minimiz</w:t>
      </w:r>
      <w:r>
        <w:t>es the potential for misfires;</w:t>
      </w:r>
    </w:p>
    <w:p w14:paraId="4380F74E" w14:textId="77777777" w:rsidR="0078270D" w:rsidRPr="003C5004" w:rsidRDefault="0078270D" w:rsidP="0078270D">
      <w:pPr>
        <w:pStyle w:val="SingleTxtG"/>
        <w:ind w:left="1701"/>
      </w:pPr>
      <w:r>
        <w:t>(e)</w:t>
      </w:r>
      <w:r>
        <w:tab/>
        <w:t xml:space="preserve">Electronic firing systems enable operators to limit firing to authorised operators and </w:t>
      </w:r>
      <w:r w:rsidR="00EF2383">
        <w:t>minimises potential for misuse.</w:t>
      </w:r>
    </w:p>
    <w:p w14:paraId="72EFACDC" w14:textId="0CFD1FE3" w:rsidR="002E10DE" w:rsidRPr="00756073" w:rsidRDefault="002E10DE" w:rsidP="002E10DE">
      <w:pPr>
        <w:pStyle w:val="SingleTxtG"/>
      </w:pPr>
      <w:r>
        <w:t>4.</w:t>
      </w:r>
      <w:r>
        <w:tab/>
      </w:r>
      <w:r w:rsidR="00EF2383">
        <w:t xml:space="preserve">The Working Group </w:t>
      </w:r>
      <w:r w:rsidR="008A6B52">
        <w:t xml:space="preserve">on Explosives </w:t>
      </w:r>
      <w:r w:rsidR="00EF2383">
        <w:t>of the Sub-Committee of Experts on the Transport of Dangerous Goods considered the proposal from AEISG and the comments from Sweden and agreed that electronic detonators must be distinguished from electric detonators but could not reach consensus on the preferred way forward (INF.38</w:t>
      </w:r>
      <w:r w:rsidR="008A6B52">
        <w:t>, 51</w:t>
      </w:r>
      <w:r w:rsidR="008A6B52" w:rsidRPr="008A6B52">
        <w:t>st</w:t>
      </w:r>
      <w:r w:rsidR="008A6B52">
        <w:t xml:space="preserve"> session</w:t>
      </w:r>
      <w:r w:rsidR="00EF2383">
        <w:t>).</w:t>
      </w:r>
    </w:p>
    <w:p w14:paraId="3AB008A5" w14:textId="30C1E74C" w:rsidR="002E10DE" w:rsidRDefault="002E10DE" w:rsidP="00EF2383">
      <w:pPr>
        <w:pStyle w:val="SingleTxtG"/>
      </w:pPr>
      <w:r>
        <w:t>5.</w:t>
      </w:r>
      <w:r>
        <w:tab/>
      </w:r>
      <w:r w:rsidR="00EF2383">
        <w:t xml:space="preserve">The Working Group </w:t>
      </w:r>
      <w:r w:rsidR="008A6B52">
        <w:t xml:space="preserve">on Explosives </w:t>
      </w:r>
      <w:r w:rsidR="00EF2383">
        <w:t>noted the safety issues involved, not so much for transport safety, but for downstream uses (e.g. storage, handling, use) where current labelling requirements (as electric detonators</w:t>
      </w:r>
      <w:r w:rsidR="00100242">
        <w:t>) and regulation by UN number in some jurisdictions, cause significant confusion. Further, the Working Group suggested</w:t>
      </w:r>
      <w:r w:rsidR="00B355CF">
        <w:t xml:space="preserve"> the consideration of</w:t>
      </w:r>
      <w:r w:rsidR="00100242">
        <w:t xml:space="preserve"> alternative naming to assist differentiation between the terms ‘electric’ and ‘electronic’, which</w:t>
      </w:r>
      <w:r w:rsidR="00B355CF">
        <w:t xml:space="preserve"> because of the similarity</w:t>
      </w:r>
      <w:r w:rsidR="00100242">
        <w:t xml:space="preserve"> could cause confusion</w:t>
      </w:r>
      <w:r w:rsidR="00B355CF">
        <w:t xml:space="preserve"> particularly</w:t>
      </w:r>
      <w:r w:rsidR="00100242">
        <w:t xml:space="preserve"> in various translations.</w:t>
      </w:r>
    </w:p>
    <w:p w14:paraId="7581E722" w14:textId="04372774" w:rsidR="00100242" w:rsidRDefault="00A065BA" w:rsidP="00EF2383">
      <w:pPr>
        <w:pStyle w:val="SingleTxtG"/>
      </w:pPr>
      <w:r>
        <w:t>6.</w:t>
      </w:r>
      <w:r>
        <w:tab/>
      </w:r>
      <w:r w:rsidR="00100242">
        <w:t>AEISG agreed to take account of the concerns and comments of the working group and return with an updated proposal.</w:t>
      </w:r>
    </w:p>
    <w:p w14:paraId="688F3F2A" w14:textId="369D738B" w:rsidR="00B355CF" w:rsidRDefault="00A065BA" w:rsidP="002E10DE">
      <w:pPr>
        <w:pStyle w:val="SingleTxtG"/>
      </w:pPr>
      <w:r>
        <w:t>7</w:t>
      </w:r>
      <w:r w:rsidR="002E10DE">
        <w:t>.</w:t>
      </w:r>
      <w:r w:rsidR="002E10DE">
        <w:tab/>
        <w:t>While the safety of transporting electronic detonators might not be significantly different from other detonator types, the</w:t>
      </w:r>
      <w:r w:rsidR="008C3133">
        <w:t xml:space="preserve"> precedent of</w:t>
      </w:r>
      <w:r w:rsidR="00B355CF">
        <w:t xml:space="preserve"> single</w:t>
      </w:r>
      <w:r w:rsidR="008C3133">
        <w:t xml:space="preserve"> entries in the </w:t>
      </w:r>
      <w:r w:rsidR="002E10DE">
        <w:t>Model Regulations for different detonator types has been set</w:t>
      </w:r>
      <w:r w:rsidR="00100242">
        <w:t xml:space="preserve"> as outlined in 2.0.2.2 </w:t>
      </w:r>
      <w:r w:rsidR="00B355CF">
        <w:t>and not as</w:t>
      </w:r>
      <w:r w:rsidR="00100242">
        <w:t xml:space="preserve"> generic entries. </w:t>
      </w:r>
    </w:p>
    <w:p w14:paraId="15A7B64B" w14:textId="53876371" w:rsidR="00B355CF" w:rsidRPr="003C5004" w:rsidRDefault="00A065BA" w:rsidP="00B355CF">
      <w:pPr>
        <w:pStyle w:val="SingleTxtG"/>
      </w:pPr>
      <w:r>
        <w:t>8</w:t>
      </w:r>
      <w:r w:rsidR="002E10DE">
        <w:t>.</w:t>
      </w:r>
      <w:r w:rsidR="002E10DE">
        <w:tab/>
      </w:r>
      <w:r w:rsidR="00B355CF">
        <w:t>The secretariat has confirmed that there is no restriction or limitation on the number of entries in the Model Regulations and no implied desire to do so. Hence there is no need at this stage to attempt the grouping of different detonator type</w:t>
      </w:r>
      <w:r w:rsidR="008828E0">
        <w:t>s</w:t>
      </w:r>
      <w:r w:rsidR="00B355CF">
        <w:t xml:space="preserve"> without proper review.</w:t>
      </w:r>
    </w:p>
    <w:p w14:paraId="6F736456" w14:textId="50B2A859" w:rsidR="00681744" w:rsidRDefault="00A065BA" w:rsidP="00A065BA">
      <w:pPr>
        <w:pStyle w:val="SingleTxtG"/>
      </w:pPr>
      <w:r>
        <w:tab/>
        <w:t>9</w:t>
      </w:r>
      <w:r w:rsidR="00681744">
        <w:t>.</w:t>
      </w:r>
      <w:r w:rsidR="00681744">
        <w:tab/>
        <w:t>Electronic detonators are programmable post manufacture and it is proposed to include the term ‘programable’ in the entry definition to further assist clear distinguishing from electric detonators.</w:t>
      </w:r>
    </w:p>
    <w:p w14:paraId="0922F472" w14:textId="1E3C0EDC" w:rsidR="00681744" w:rsidRDefault="00A065BA" w:rsidP="00681744">
      <w:pPr>
        <w:pStyle w:val="SingleTxtG"/>
      </w:pPr>
      <w:r>
        <w:t>10</w:t>
      </w:r>
      <w:r w:rsidR="00681744">
        <w:t>.</w:t>
      </w:r>
      <w:r w:rsidR="00681744">
        <w:tab/>
        <w:t xml:space="preserve">Electronic detonators cannot reasonably or legitimately be included within the existing </w:t>
      </w:r>
      <w:r w:rsidR="00051062">
        <w:t xml:space="preserve">single </w:t>
      </w:r>
      <w:r w:rsidR="00681744">
        <w:t>entries</w:t>
      </w:r>
      <w:r w:rsidR="00051062">
        <w:t xml:space="preserve"> for different detonator types</w:t>
      </w:r>
      <w:r w:rsidR="00681744">
        <w:t xml:space="preserve"> and, as with other explosives, the proper classification of these devices will depend on packaging. Hence new entries would need to include all possible classifications.</w:t>
      </w:r>
    </w:p>
    <w:p w14:paraId="6FD82307" w14:textId="77777777" w:rsidR="00681744" w:rsidRDefault="00681744" w:rsidP="00681744">
      <w:pPr>
        <w:pStyle w:val="SingleTxtG"/>
      </w:pPr>
    </w:p>
    <w:p w14:paraId="4DB74EF2" w14:textId="05164CA7" w:rsidR="002E10DE" w:rsidRDefault="00A065BA" w:rsidP="002E10DE">
      <w:pPr>
        <w:pStyle w:val="HChG"/>
      </w:pPr>
      <w:bookmarkStart w:id="0" w:name="_GoBack"/>
      <w:bookmarkEnd w:id="0"/>
      <w:r>
        <w:lastRenderedPageBreak/>
        <w:tab/>
      </w:r>
      <w:r>
        <w:tab/>
      </w:r>
      <w:r w:rsidR="002E10DE">
        <w:t>Proposal</w:t>
      </w:r>
    </w:p>
    <w:p w14:paraId="62E3487C" w14:textId="4128B310" w:rsidR="00681744" w:rsidRDefault="00A065BA" w:rsidP="00A065BA">
      <w:pPr>
        <w:pStyle w:val="SingleTxtG"/>
      </w:pPr>
      <w:r>
        <w:t>11.</w:t>
      </w:r>
      <w:r>
        <w:tab/>
      </w:r>
      <w:r w:rsidR="007548D5" w:rsidRPr="00A065BA">
        <w:t>It is proposed that new UN entries be included in Chapter 3.2 of the Model Regulations for electronic detonators as follows:</w:t>
      </w: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985"/>
        <w:gridCol w:w="567"/>
        <w:gridCol w:w="567"/>
        <w:gridCol w:w="567"/>
        <w:gridCol w:w="567"/>
        <w:gridCol w:w="356"/>
        <w:gridCol w:w="352"/>
        <w:gridCol w:w="709"/>
        <w:gridCol w:w="709"/>
        <w:gridCol w:w="709"/>
        <w:gridCol w:w="708"/>
      </w:tblGrid>
      <w:tr w:rsidR="002D767C" w:rsidRPr="00B501B7" w14:paraId="5E3DBFC1" w14:textId="77777777" w:rsidTr="002D767C">
        <w:trPr>
          <w:trHeight w:hRule="exact" w:val="394"/>
        </w:trPr>
        <w:tc>
          <w:tcPr>
            <w:tcW w:w="425" w:type="dxa"/>
            <w:vMerge w:val="restart"/>
          </w:tcPr>
          <w:p w14:paraId="1657979F" w14:textId="77777777" w:rsidR="00CD747F" w:rsidRPr="00B501B7" w:rsidRDefault="00CD747F" w:rsidP="002D767C">
            <w:pPr>
              <w:pStyle w:val="TableParagraph"/>
              <w:spacing w:before="8"/>
              <w:rPr>
                <w:sz w:val="14"/>
                <w:szCs w:val="14"/>
              </w:rPr>
            </w:pPr>
          </w:p>
          <w:p w14:paraId="39606815" w14:textId="77777777" w:rsidR="00CD747F" w:rsidRPr="00B501B7" w:rsidRDefault="00CD747F" w:rsidP="002D767C">
            <w:pPr>
              <w:pStyle w:val="TableParagraph"/>
              <w:rPr>
                <w:b/>
                <w:sz w:val="14"/>
                <w:szCs w:val="14"/>
              </w:rPr>
            </w:pPr>
            <w:r w:rsidRPr="00B501B7">
              <w:rPr>
                <w:b/>
                <w:sz w:val="14"/>
                <w:szCs w:val="14"/>
              </w:rPr>
              <w:t>UN</w:t>
            </w:r>
          </w:p>
          <w:p w14:paraId="4285C5BF" w14:textId="77777777" w:rsidR="00CD747F" w:rsidRPr="00B501B7" w:rsidRDefault="00CD747F" w:rsidP="002D767C">
            <w:pPr>
              <w:pStyle w:val="TableParagraph"/>
              <w:rPr>
                <w:b/>
                <w:sz w:val="14"/>
                <w:szCs w:val="14"/>
              </w:rPr>
            </w:pPr>
            <w:r w:rsidRPr="00B501B7">
              <w:rPr>
                <w:b/>
                <w:sz w:val="14"/>
                <w:szCs w:val="14"/>
              </w:rPr>
              <w:t>No.</w:t>
            </w:r>
          </w:p>
        </w:tc>
        <w:tc>
          <w:tcPr>
            <w:tcW w:w="1985" w:type="dxa"/>
            <w:vMerge w:val="restart"/>
          </w:tcPr>
          <w:p w14:paraId="20FFFB3E" w14:textId="77777777" w:rsidR="00CD747F" w:rsidRPr="00B501B7" w:rsidRDefault="00CD747F" w:rsidP="002D767C">
            <w:pPr>
              <w:pStyle w:val="TableParagraph"/>
              <w:rPr>
                <w:sz w:val="14"/>
                <w:szCs w:val="14"/>
              </w:rPr>
            </w:pPr>
          </w:p>
          <w:p w14:paraId="17563E9C" w14:textId="77777777" w:rsidR="00CD747F" w:rsidRPr="00B501B7" w:rsidRDefault="00CD747F" w:rsidP="002D767C">
            <w:pPr>
              <w:pStyle w:val="TableParagraph"/>
              <w:spacing w:before="7"/>
              <w:rPr>
                <w:sz w:val="14"/>
                <w:szCs w:val="14"/>
              </w:rPr>
            </w:pPr>
          </w:p>
          <w:p w14:paraId="62ACAC47" w14:textId="77777777" w:rsidR="00CD747F" w:rsidRPr="00B501B7" w:rsidRDefault="00CD747F" w:rsidP="002D767C">
            <w:pPr>
              <w:pStyle w:val="TableParagraph"/>
              <w:spacing w:before="1"/>
              <w:rPr>
                <w:b/>
                <w:sz w:val="14"/>
                <w:szCs w:val="14"/>
              </w:rPr>
            </w:pPr>
            <w:bookmarkStart w:id="1" w:name="Name_and_description"/>
            <w:bookmarkEnd w:id="1"/>
            <w:r w:rsidRPr="00B501B7">
              <w:rPr>
                <w:b/>
                <w:sz w:val="14"/>
                <w:szCs w:val="14"/>
              </w:rPr>
              <w:t>Name and description</w:t>
            </w:r>
          </w:p>
        </w:tc>
        <w:tc>
          <w:tcPr>
            <w:tcW w:w="567" w:type="dxa"/>
            <w:vMerge w:val="restart"/>
          </w:tcPr>
          <w:p w14:paraId="155A162F" w14:textId="77777777" w:rsidR="00CD747F" w:rsidRPr="00B501B7" w:rsidRDefault="00CD747F" w:rsidP="002D767C">
            <w:pPr>
              <w:pStyle w:val="TableParagraph"/>
              <w:spacing w:before="9"/>
              <w:rPr>
                <w:sz w:val="14"/>
                <w:szCs w:val="14"/>
              </w:rPr>
            </w:pPr>
          </w:p>
          <w:p w14:paraId="3C11BC40" w14:textId="77777777" w:rsidR="00CD747F" w:rsidRPr="00B501B7" w:rsidRDefault="00CD747F" w:rsidP="002D767C">
            <w:pPr>
              <w:pStyle w:val="TableParagraph"/>
              <w:rPr>
                <w:b/>
                <w:sz w:val="14"/>
                <w:szCs w:val="14"/>
              </w:rPr>
            </w:pPr>
            <w:r w:rsidRPr="00B501B7">
              <w:rPr>
                <w:b/>
                <w:sz w:val="14"/>
                <w:szCs w:val="14"/>
              </w:rPr>
              <w:t xml:space="preserve">Class or  </w:t>
            </w:r>
            <w:r w:rsidRPr="00B501B7">
              <w:rPr>
                <w:b/>
                <w:spacing w:val="-1"/>
                <w:sz w:val="14"/>
                <w:szCs w:val="14"/>
              </w:rPr>
              <w:t>division</w:t>
            </w:r>
          </w:p>
        </w:tc>
        <w:tc>
          <w:tcPr>
            <w:tcW w:w="567" w:type="dxa"/>
            <w:vMerge w:val="restart"/>
          </w:tcPr>
          <w:p w14:paraId="0F6FBF6A" w14:textId="77777777" w:rsidR="00CD747F" w:rsidRPr="00B501B7" w:rsidRDefault="00CD747F" w:rsidP="002D767C">
            <w:pPr>
              <w:pStyle w:val="TableParagraph"/>
              <w:spacing w:before="9"/>
              <w:rPr>
                <w:sz w:val="14"/>
                <w:szCs w:val="14"/>
              </w:rPr>
            </w:pPr>
          </w:p>
          <w:p w14:paraId="4D0F0905" w14:textId="77777777" w:rsidR="00CD747F" w:rsidRPr="00B501B7" w:rsidRDefault="00CD747F" w:rsidP="002D767C">
            <w:pPr>
              <w:pStyle w:val="TableParagraph"/>
              <w:rPr>
                <w:b/>
                <w:sz w:val="14"/>
                <w:szCs w:val="14"/>
              </w:rPr>
            </w:pPr>
            <w:r w:rsidRPr="00B501B7">
              <w:rPr>
                <w:b/>
                <w:sz w:val="14"/>
                <w:szCs w:val="14"/>
              </w:rPr>
              <w:t>Subsi- diary hazard</w:t>
            </w:r>
          </w:p>
        </w:tc>
        <w:tc>
          <w:tcPr>
            <w:tcW w:w="567" w:type="dxa"/>
            <w:vMerge w:val="restart"/>
          </w:tcPr>
          <w:p w14:paraId="54D9D18B" w14:textId="77777777" w:rsidR="00CD747F" w:rsidRPr="00B501B7" w:rsidRDefault="00CD747F" w:rsidP="002D767C">
            <w:pPr>
              <w:pStyle w:val="TableParagraph"/>
              <w:spacing w:before="9"/>
              <w:rPr>
                <w:sz w:val="14"/>
                <w:szCs w:val="14"/>
              </w:rPr>
            </w:pPr>
          </w:p>
          <w:p w14:paraId="43489B56" w14:textId="77777777" w:rsidR="00CD747F" w:rsidRPr="00B501B7" w:rsidRDefault="00CD747F" w:rsidP="002D767C">
            <w:pPr>
              <w:pStyle w:val="TableParagraph"/>
              <w:spacing w:line="183" w:lineRule="exact"/>
              <w:rPr>
                <w:b/>
                <w:sz w:val="14"/>
                <w:szCs w:val="14"/>
              </w:rPr>
            </w:pPr>
            <w:r w:rsidRPr="00B501B7">
              <w:rPr>
                <w:b/>
                <w:sz w:val="14"/>
                <w:szCs w:val="14"/>
              </w:rPr>
              <w:t>UN</w:t>
            </w:r>
          </w:p>
          <w:p w14:paraId="537C03EA" w14:textId="77777777" w:rsidR="00CD747F" w:rsidRPr="00B501B7" w:rsidRDefault="00CD747F" w:rsidP="002D767C">
            <w:pPr>
              <w:pStyle w:val="TableParagraph"/>
              <w:rPr>
                <w:b/>
                <w:sz w:val="14"/>
                <w:szCs w:val="14"/>
              </w:rPr>
            </w:pPr>
            <w:r w:rsidRPr="00B501B7">
              <w:rPr>
                <w:b/>
                <w:sz w:val="14"/>
                <w:szCs w:val="14"/>
              </w:rPr>
              <w:t>packing group</w:t>
            </w:r>
          </w:p>
        </w:tc>
        <w:tc>
          <w:tcPr>
            <w:tcW w:w="567" w:type="dxa"/>
            <w:vMerge w:val="restart"/>
          </w:tcPr>
          <w:p w14:paraId="57AF0165" w14:textId="77777777" w:rsidR="00CD747F" w:rsidRPr="00B501B7" w:rsidRDefault="00CD747F" w:rsidP="002D767C">
            <w:pPr>
              <w:pStyle w:val="TableParagraph"/>
              <w:spacing w:before="9"/>
              <w:rPr>
                <w:sz w:val="14"/>
                <w:szCs w:val="14"/>
              </w:rPr>
            </w:pPr>
          </w:p>
          <w:p w14:paraId="6FD57447" w14:textId="77777777" w:rsidR="00CD747F" w:rsidRPr="00B501B7" w:rsidRDefault="00CD747F" w:rsidP="002D767C">
            <w:pPr>
              <w:pStyle w:val="TableParagraph"/>
              <w:rPr>
                <w:b/>
                <w:sz w:val="14"/>
                <w:szCs w:val="14"/>
              </w:rPr>
            </w:pPr>
            <w:r w:rsidRPr="00B501B7">
              <w:rPr>
                <w:b/>
                <w:sz w:val="14"/>
                <w:szCs w:val="14"/>
              </w:rPr>
              <w:t>Special provi- sions</w:t>
            </w:r>
          </w:p>
        </w:tc>
        <w:tc>
          <w:tcPr>
            <w:tcW w:w="708" w:type="dxa"/>
            <w:gridSpan w:val="2"/>
            <w:vMerge w:val="restart"/>
          </w:tcPr>
          <w:p w14:paraId="6ADAB9E8" w14:textId="77777777" w:rsidR="00CD747F" w:rsidRPr="00B501B7" w:rsidRDefault="00CD747F" w:rsidP="002D767C">
            <w:pPr>
              <w:pStyle w:val="TableParagraph"/>
              <w:spacing w:before="9"/>
              <w:rPr>
                <w:sz w:val="14"/>
                <w:szCs w:val="14"/>
              </w:rPr>
            </w:pPr>
          </w:p>
          <w:p w14:paraId="641AEBB2" w14:textId="77777777" w:rsidR="00CD747F" w:rsidRPr="00B501B7" w:rsidRDefault="00CD747F" w:rsidP="002D767C">
            <w:pPr>
              <w:pStyle w:val="TableParagraph"/>
              <w:rPr>
                <w:b/>
                <w:sz w:val="14"/>
                <w:szCs w:val="14"/>
              </w:rPr>
            </w:pPr>
            <w:r w:rsidRPr="00B501B7">
              <w:rPr>
                <w:b/>
                <w:sz w:val="14"/>
                <w:szCs w:val="14"/>
              </w:rPr>
              <w:t>Limited and excepted quantities</w:t>
            </w:r>
          </w:p>
        </w:tc>
        <w:tc>
          <w:tcPr>
            <w:tcW w:w="1418" w:type="dxa"/>
            <w:gridSpan w:val="2"/>
          </w:tcPr>
          <w:p w14:paraId="77D0F396" w14:textId="77777777" w:rsidR="00CD747F" w:rsidRPr="00B501B7" w:rsidRDefault="00CD747F" w:rsidP="002D767C">
            <w:pPr>
              <w:pStyle w:val="TableParagraph"/>
              <w:spacing w:before="99"/>
              <w:rPr>
                <w:b/>
                <w:sz w:val="14"/>
                <w:szCs w:val="14"/>
              </w:rPr>
            </w:pPr>
            <w:r w:rsidRPr="00B501B7">
              <w:rPr>
                <w:b/>
                <w:sz w:val="14"/>
                <w:szCs w:val="14"/>
              </w:rPr>
              <w:t>Packagings and IBCs</w:t>
            </w:r>
          </w:p>
        </w:tc>
        <w:tc>
          <w:tcPr>
            <w:tcW w:w="1417" w:type="dxa"/>
            <w:gridSpan w:val="2"/>
          </w:tcPr>
          <w:p w14:paraId="261DBF39" w14:textId="77777777" w:rsidR="00CD747F" w:rsidRPr="00B501B7" w:rsidRDefault="00CD747F" w:rsidP="002D767C">
            <w:pPr>
              <w:pStyle w:val="TableParagraph"/>
              <w:spacing w:before="8"/>
              <w:rPr>
                <w:b/>
                <w:sz w:val="14"/>
                <w:szCs w:val="14"/>
              </w:rPr>
            </w:pPr>
            <w:r w:rsidRPr="00B501B7">
              <w:rPr>
                <w:b/>
                <w:sz w:val="14"/>
                <w:szCs w:val="14"/>
              </w:rPr>
              <w:t>Portable tanks and bulk containers</w:t>
            </w:r>
          </w:p>
        </w:tc>
      </w:tr>
      <w:tr w:rsidR="002D767C" w:rsidRPr="00B501B7" w14:paraId="4D2618BC" w14:textId="77777777" w:rsidTr="002D767C">
        <w:trPr>
          <w:trHeight w:hRule="exact" w:val="578"/>
        </w:trPr>
        <w:tc>
          <w:tcPr>
            <w:tcW w:w="425" w:type="dxa"/>
            <w:vMerge/>
          </w:tcPr>
          <w:p w14:paraId="01F224FC" w14:textId="77777777" w:rsidR="00CD747F" w:rsidRPr="00B501B7" w:rsidRDefault="00CD747F" w:rsidP="007F58FF">
            <w:pPr>
              <w:rPr>
                <w:sz w:val="14"/>
                <w:szCs w:val="14"/>
              </w:rPr>
            </w:pPr>
          </w:p>
        </w:tc>
        <w:tc>
          <w:tcPr>
            <w:tcW w:w="1985" w:type="dxa"/>
            <w:vMerge/>
          </w:tcPr>
          <w:p w14:paraId="4181912B" w14:textId="77777777" w:rsidR="00CD747F" w:rsidRPr="00B501B7" w:rsidRDefault="00CD747F" w:rsidP="007F58FF">
            <w:pPr>
              <w:rPr>
                <w:sz w:val="14"/>
                <w:szCs w:val="14"/>
              </w:rPr>
            </w:pPr>
          </w:p>
        </w:tc>
        <w:tc>
          <w:tcPr>
            <w:tcW w:w="567" w:type="dxa"/>
            <w:vMerge/>
          </w:tcPr>
          <w:p w14:paraId="22AAEC40" w14:textId="77777777" w:rsidR="00CD747F" w:rsidRPr="00B501B7" w:rsidRDefault="00CD747F" w:rsidP="007F58FF">
            <w:pPr>
              <w:rPr>
                <w:sz w:val="14"/>
                <w:szCs w:val="14"/>
              </w:rPr>
            </w:pPr>
          </w:p>
        </w:tc>
        <w:tc>
          <w:tcPr>
            <w:tcW w:w="567" w:type="dxa"/>
            <w:vMerge/>
          </w:tcPr>
          <w:p w14:paraId="123624A0" w14:textId="77777777" w:rsidR="00CD747F" w:rsidRPr="00B501B7" w:rsidRDefault="00CD747F" w:rsidP="007F58FF">
            <w:pPr>
              <w:rPr>
                <w:sz w:val="14"/>
                <w:szCs w:val="14"/>
              </w:rPr>
            </w:pPr>
          </w:p>
        </w:tc>
        <w:tc>
          <w:tcPr>
            <w:tcW w:w="567" w:type="dxa"/>
            <w:vMerge/>
          </w:tcPr>
          <w:p w14:paraId="4227CBA4" w14:textId="77777777" w:rsidR="00CD747F" w:rsidRPr="00B501B7" w:rsidRDefault="00CD747F" w:rsidP="007F58FF">
            <w:pPr>
              <w:rPr>
                <w:sz w:val="14"/>
                <w:szCs w:val="14"/>
              </w:rPr>
            </w:pPr>
          </w:p>
        </w:tc>
        <w:tc>
          <w:tcPr>
            <w:tcW w:w="567" w:type="dxa"/>
            <w:vMerge/>
          </w:tcPr>
          <w:p w14:paraId="0BBC314A" w14:textId="77777777" w:rsidR="00CD747F" w:rsidRPr="00B501B7" w:rsidRDefault="00CD747F" w:rsidP="007F58FF">
            <w:pPr>
              <w:rPr>
                <w:sz w:val="14"/>
                <w:szCs w:val="14"/>
              </w:rPr>
            </w:pPr>
          </w:p>
        </w:tc>
        <w:tc>
          <w:tcPr>
            <w:tcW w:w="708" w:type="dxa"/>
            <w:gridSpan w:val="2"/>
            <w:vMerge/>
          </w:tcPr>
          <w:p w14:paraId="4DBBAE23" w14:textId="77777777" w:rsidR="00CD747F" w:rsidRPr="00B501B7" w:rsidRDefault="00CD747F" w:rsidP="007F58FF">
            <w:pPr>
              <w:rPr>
                <w:sz w:val="14"/>
                <w:szCs w:val="14"/>
              </w:rPr>
            </w:pPr>
          </w:p>
        </w:tc>
        <w:tc>
          <w:tcPr>
            <w:tcW w:w="709" w:type="dxa"/>
          </w:tcPr>
          <w:p w14:paraId="34144EC8" w14:textId="77777777" w:rsidR="00CD747F" w:rsidRPr="00B501B7" w:rsidRDefault="00CD747F" w:rsidP="002D767C">
            <w:pPr>
              <w:pStyle w:val="TableParagraph"/>
              <w:spacing w:before="99"/>
              <w:ind w:left="2" w:right="28" w:hanging="2"/>
              <w:rPr>
                <w:b/>
                <w:sz w:val="14"/>
                <w:szCs w:val="14"/>
              </w:rPr>
            </w:pPr>
            <w:r w:rsidRPr="00B501B7">
              <w:rPr>
                <w:b/>
                <w:sz w:val="14"/>
                <w:szCs w:val="14"/>
              </w:rPr>
              <w:t>Packing instruction</w:t>
            </w:r>
          </w:p>
        </w:tc>
        <w:tc>
          <w:tcPr>
            <w:tcW w:w="709" w:type="dxa"/>
          </w:tcPr>
          <w:p w14:paraId="0A1F0EE0" w14:textId="77777777" w:rsidR="00CD747F" w:rsidRPr="00B501B7" w:rsidRDefault="00CD747F" w:rsidP="002D767C">
            <w:pPr>
              <w:pStyle w:val="TableParagraph"/>
              <w:spacing w:before="8"/>
              <w:rPr>
                <w:b/>
                <w:sz w:val="14"/>
                <w:szCs w:val="14"/>
              </w:rPr>
            </w:pPr>
            <w:r w:rsidRPr="00B501B7">
              <w:rPr>
                <w:b/>
                <w:sz w:val="14"/>
                <w:szCs w:val="14"/>
              </w:rPr>
              <w:t>Special packing provisions</w:t>
            </w:r>
          </w:p>
        </w:tc>
        <w:tc>
          <w:tcPr>
            <w:tcW w:w="709" w:type="dxa"/>
          </w:tcPr>
          <w:p w14:paraId="648A4E09" w14:textId="77777777" w:rsidR="00CD747F" w:rsidRPr="00B501B7" w:rsidRDefault="00CD747F" w:rsidP="002D767C">
            <w:pPr>
              <w:pStyle w:val="TableParagraph"/>
              <w:spacing w:before="99"/>
              <w:ind w:left="-8" w:right="-9"/>
              <w:rPr>
                <w:b/>
                <w:sz w:val="14"/>
                <w:szCs w:val="14"/>
              </w:rPr>
            </w:pPr>
            <w:r w:rsidRPr="00B501B7">
              <w:rPr>
                <w:b/>
                <w:sz w:val="14"/>
                <w:szCs w:val="14"/>
              </w:rPr>
              <w:t>Instruc- tions</w:t>
            </w:r>
          </w:p>
        </w:tc>
        <w:tc>
          <w:tcPr>
            <w:tcW w:w="708" w:type="dxa"/>
          </w:tcPr>
          <w:p w14:paraId="28E0A4FC" w14:textId="77777777" w:rsidR="00CD747F" w:rsidRPr="00B501B7" w:rsidRDefault="00CD747F" w:rsidP="00B501B7">
            <w:pPr>
              <w:pStyle w:val="TableParagraph"/>
              <w:spacing w:before="99"/>
              <w:ind w:left="21" w:hanging="2"/>
              <w:rPr>
                <w:b/>
                <w:sz w:val="14"/>
                <w:szCs w:val="14"/>
              </w:rPr>
            </w:pPr>
            <w:r w:rsidRPr="00B501B7">
              <w:rPr>
                <w:b/>
                <w:sz w:val="14"/>
                <w:szCs w:val="14"/>
              </w:rPr>
              <w:t>Special provisions</w:t>
            </w:r>
          </w:p>
        </w:tc>
      </w:tr>
      <w:tr w:rsidR="002D767C" w:rsidRPr="00B501B7" w14:paraId="2756C4A9" w14:textId="77777777" w:rsidTr="002D767C">
        <w:trPr>
          <w:trHeight w:hRule="exact" w:val="209"/>
        </w:trPr>
        <w:tc>
          <w:tcPr>
            <w:tcW w:w="425" w:type="dxa"/>
          </w:tcPr>
          <w:p w14:paraId="498FBF2F" w14:textId="77777777" w:rsidR="00CD747F" w:rsidRPr="00B501B7" w:rsidRDefault="00CD747F" w:rsidP="007F58FF">
            <w:pPr>
              <w:pStyle w:val="TableParagraph"/>
              <w:spacing w:before="6"/>
              <w:ind w:right="114"/>
              <w:jc w:val="right"/>
              <w:rPr>
                <w:b/>
                <w:sz w:val="14"/>
                <w:szCs w:val="14"/>
              </w:rPr>
            </w:pPr>
            <w:r w:rsidRPr="00B501B7">
              <w:rPr>
                <w:b/>
                <w:sz w:val="14"/>
                <w:szCs w:val="14"/>
              </w:rPr>
              <w:t>(1)</w:t>
            </w:r>
          </w:p>
        </w:tc>
        <w:tc>
          <w:tcPr>
            <w:tcW w:w="1985" w:type="dxa"/>
          </w:tcPr>
          <w:p w14:paraId="2AA65494" w14:textId="77777777" w:rsidR="00CD747F" w:rsidRPr="00B501B7" w:rsidRDefault="00CD747F" w:rsidP="007F58FF">
            <w:pPr>
              <w:pStyle w:val="TableParagraph"/>
              <w:spacing w:before="6"/>
              <w:ind w:left="9" w:right="6"/>
              <w:rPr>
                <w:b/>
                <w:sz w:val="14"/>
                <w:szCs w:val="14"/>
              </w:rPr>
            </w:pPr>
            <w:r w:rsidRPr="00B501B7">
              <w:rPr>
                <w:b/>
                <w:sz w:val="14"/>
                <w:szCs w:val="14"/>
              </w:rPr>
              <w:t>(2)</w:t>
            </w:r>
          </w:p>
        </w:tc>
        <w:tc>
          <w:tcPr>
            <w:tcW w:w="567" w:type="dxa"/>
          </w:tcPr>
          <w:p w14:paraId="4A0777D3" w14:textId="77777777" w:rsidR="00CD747F" w:rsidRPr="00B501B7" w:rsidRDefault="00CD747F" w:rsidP="007F58FF">
            <w:pPr>
              <w:pStyle w:val="TableParagraph"/>
              <w:spacing w:before="6"/>
              <w:ind w:left="126" w:right="126"/>
              <w:rPr>
                <w:b/>
                <w:sz w:val="14"/>
                <w:szCs w:val="14"/>
              </w:rPr>
            </w:pPr>
            <w:r w:rsidRPr="00B501B7">
              <w:rPr>
                <w:b/>
                <w:sz w:val="14"/>
                <w:szCs w:val="14"/>
              </w:rPr>
              <w:t>(3)</w:t>
            </w:r>
          </w:p>
        </w:tc>
        <w:tc>
          <w:tcPr>
            <w:tcW w:w="567" w:type="dxa"/>
          </w:tcPr>
          <w:p w14:paraId="1B8CAD20" w14:textId="77777777" w:rsidR="00CD747F" w:rsidRPr="00B501B7" w:rsidRDefault="00CD747F" w:rsidP="007F58FF">
            <w:pPr>
              <w:pStyle w:val="TableParagraph"/>
              <w:spacing w:before="6"/>
              <w:ind w:left="106" w:right="107"/>
              <w:rPr>
                <w:b/>
                <w:sz w:val="14"/>
                <w:szCs w:val="14"/>
              </w:rPr>
            </w:pPr>
            <w:r w:rsidRPr="00B501B7">
              <w:rPr>
                <w:b/>
                <w:sz w:val="14"/>
                <w:szCs w:val="14"/>
              </w:rPr>
              <w:t>(4)</w:t>
            </w:r>
          </w:p>
        </w:tc>
        <w:tc>
          <w:tcPr>
            <w:tcW w:w="567" w:type="dxa"/>
          </w:tcPr>
          <w:p w14:paraId="7EDA656F" w14:textId="77777777" w:rsidR="00CD747F" w:rsidRPr="00B501B7" w:rsidRDefault="00CD747F" w:rsidP="007F58FF">
            <w:pPr>
              <w:pStyle w:val="TableParagraph"/>
              <w:spacing w:before="6"/>
              <w:ind w:left="67" w:right="68"/>
              <w:rPr>
                <w:b/>
                <w:sz w:val="14"/>
                <w:szCs w:val="14"/>
              </w:rPr>
            </w:pPr>
            <w:r w:rsidRPr="00B501B7">
              <w:rPr>
                <w:b/>
                <w:sz w:val="14"/>
                <w:szCs w:val="14"/>
              </w:rPr>
              <w:t>(5)</w:t>
            </w:r>
          </w:p>
        </w:tc>
        <w:tc>
          <w:tcPr>
            <w:tcW w:w="567" w:type="dxa"/>
          </w:tcPr>
          <w:p w14:paraId="1B72581A" w14:textId="77777777" w:rsidR="00CD747F" w:rsidRPr="00B501B7" w:rsidRDefault="00CD747F" w:rsidP="007F58FF">
            <w:pPr>
              <w:pStyle w:val="TableParagraph"/>
              <w:spacing w:before="6"/>
              <w:ind w:left="105" w:right="102"/>
              <w:rPr>
                <w:b/>
                <w:sz w:val="14"/>
                <w:szCs w:val="14"/>
              </w:rPr>
            </w:pPr>
            <w:r w:rsidRPr="00B501B7">
              <w:rPr>
                <w:b/>
                <w:sz w:val="14"/>
                <w:szCs w:val="14"/>
              </w:rPr>
              <w:t>(6)</w:t>
            </w:r>
          </w:p>
        </w:tc>
        <w:tc>
          <w:tcPr>
            <w:tcW w:w="356" w:type="dxa"/>
          </w:tcPr>
          <w:p w14:paraId="0CAA8BD4" w14:textId="77777777" w:rsidR="00CD747F" w:rsidRPr="00B501B7" w:rsidRDefault="00CD747F" w:rsidP="002D767C">
            <w:pPr>
              <w:pStyle w:val="TableParagraph"/>
              <w:spacing w:before="6"/>
              <w:ind w:left="-15" w:right="16"/>
              <w:rPr>
                <w:b/>
                <w:sz w:val="14"/>
                <w:szCs w:val="14"/>
              </w:rPr>
            </w:pPr>
            <w:r w:rsidRPr="00B501B7">
              <w:rPr>
                <w:b/>
                <w:sz w:val="14"/>
                <w:szCs w:val="14"/>
              </w:rPr>
              <w:t>(7a)</w:t>
            </w:r>
          </w:p>
        </w:tc>
        <w:tc>
          <w:tcPr>
            <w:tcW w:w="352" w:type="dxa"/>
          </w:tcPr>
          <w:p w14:paraId="05C30834" w14:textId="77777777" w:rsidR="00CD747F" w:rsidRPr="00B501B7" w:rsidRDefault="00CD747F" w:rsidP="002D767C">
            <w:pPr>
              <w:pStyle w:val="TableParagraph"/>
              <w:spacing w:before="6"/>
              <w:rPr>
                <w:b/>
                <w:sz w:val="14"/>
                <w:szCs w:val="14"/>
              </w:rPr>
            </w:pPr>
            <w:r w:rsidRPr="00B501B7">
              <w:rPr>
                <w:b/>
                <w:sz w:val="14"/>
                <w:szCs w:val="14"/>
              </w:rPr>
              <w:t>(7b)</w:t>
            </w:r>
          </w:p>
        </w:tc>
        <w:tc>
          <w:tcPr>
            <w:tcW w:w="709" w:type="dxa"/>
          </w:tcPr>
          <w:p w14:paraId="261E719C" w14:textId="77777777" w:rsidR="00CD747F" w:rsidRPr="00B501B7" w:rsidRDefault="00CD747F" w:rsidP="007F58FF">
            <w:pPr>
              <w:pStyle w:val="TableParagraph"/>
              <w:spacing w:before="6"/>
              <w:ind w:left="144" w:right="141"/>
              <w:rPr>
                <w:b/>
                <w:sz w:val="14"/>
                <w:szCs w:val="14"/>
              </w:rPr>
            </w:pPr>
            <w:r w:rsidRPr="00B501B7">
              <w:rPr>
                <w:b/>
                <w:sz w:val="14"/>
                <w:szCs w:val="14"/>
              </w:rPr>
              <w:t>(8)</w:t>
            </w:r>
          </w:p>
        </w:tc>
        <w:tc>
          <w:tcPr>
            <w:tcW w:w="709" w:type="dxa"/>
          </w:tcPr>
          <w:p w14:paraId="78F9226B" w14:textId="77777777" w:rsidR="00CD747F" w:rsidRPr="00B501B7" w:rsidRDefault="00CD747F" w:rsidP="007F58FF">
            <w:pPr>
              <w:pStyle w:val="TableParagraph"/>
              <w:spacing w:before="6"/>
              <w:ind w:right="290"/>
              <w:jc w:val="right"/>
              <w:rPr>
                <w:b/>
                <w:sz w:val="14"/>
                <w:szCs w:val="14"/>
              </w:rPr>
            </w:pPr>
            <w:r w:rsidRPr="00B501B7">
              <w:rPr>
                <w:b/>
                <w:sz w:val="14"/>
                <w:szCs w:val="14"/>
              </w:rPr>
              <w:t>(9)</w:t>
            </w:r>
          </w:p>
        </w:tc>
        <w:tc>
          <w:tcPr>
            <w:tcW w:w="709" w:type="dxa"/>
          </w:tcPr>
          <w:p w14:paraId="08AA5E48" w14:textId="77777777" w:rsidR="00CD747F" w:rsidRPr="00B501B7" w:rsidRDefault="00CD747F" w:rsidP="002D767C">
            <w:pPr>
              <w:pStyle w:val="TableParagraph"/>
              <w:spacing w:before="6"/>
              <w:ind w:left="7" w:right="-9"/>
              <w:rPr>
                <w:b/>
                <w:sz w:val="14"/>
                <w:szCs w:val="14"/>
              </w:rPr>
            </w:pPr>
            <w:r w:rsidRPr="00B501B7">
              <w:rPr>
                <w:b/>
                <w:sz w:val="14"/>
                <w:szCs w:val="14"/>
              </w:rPr>
              <w:t>(10)</w:t>
            </w:r>
          </w:p>
        </w:tc>
        <w:tc>
          <w:tcPr>
            <w:tcW w:w="708" w:type="dxa"/>
          </w:tcPr>
          <w:p w14:paraId="0AEFA9EE" w14:textId="77777777" w:rsidR="00CD747F" w:rsidRPr="00B501B7" w:rsidRDefault="00CD747F" w:rsidP="007F58FF">
            <w:pPr>
              <w:pStyle w:val="TableParagraph"/>
              <w:spacing w:before="6"/>
              <w:ind w:left="239"/>
              <w:jc w:val="left"/>
              <w:rPr>
                <w:b/>
                <w:sz w:val="14"/>
                <w:szCs w:val="14"/>
              </w:rPr>
            </w:pPr>
            <w:r w:rsidRPr="00B501B7">
              <w:rPr>
                <w:b/>
                <w:sz w:val="14"/>
                <w:szCs w:val="14"/>
              </w:rPr>
              <w:t>(11)</w:t>
            </w:r>
          </w:p>
        </w:tc>
      </w:tr>
      <w:tr w:rsidR="002D767C" w:rsidRPr="00B501B7" w14:paraId="7B478747" w14:textId="77777777" w:rsidTr="002D767C">
        <w:trPr>
          <w:trHeight w:hRule="exact" w:val="209"/>
        </w:trPr>
        <w:tc>
          <w:tcPr>
            <w:tcW w:w="425" w:type="dxa"/>
          </w:tcPr>
          <w:p w14:paraId="46C35FE2" w14:textId="77777777" w:rsidR="00CD747F" w:rsidRPr="00B501B7" w:rsidRDefault="00CD747F" w:rsidP="007F58FF">
            <w:pPr>
              <w:pStyle w:val="TableParagraph"/>
              <w:spacing w:before="3"/>
              <w:rPr>
                <w:sz w:val="14"/>
                <w:szCs w:val="14"/>
              </w:rPr>
            </w:pPr>
            <w:r w:rsidRPr="00B501B7">
              <w:rPr>
                <w:sz w:val="14"/>
                <w:szCs w:val="14"/>
              </w:rPr>
              <w:t>-</w:t>
            </w:r>
          </w:p>
        </w:tc>
        <w:tc>
          <w:tcPr>
            <w:tcW w:w="1985" w:type="dxa"/>
          </w:tcPr>
          <w:p w14:paraId="50424ECC" w14:textId="77777777" w:rsidR="00CD747F" w:rsidRPr="00B501B7" w:rsidRDefault="00CD747F" w:rsidP="007F58FF">
            <w:pPr>
              <w:pStyle w:val="TableParagraph"/>
              <w:spacing w:before="6"/>
              <w:ind w:left="6" w:right="6"/>
              <w:rPr>
                <w:b/>
                <w:sz w:val="14"/>
                <w:szCs w:val="14"/>
              </w:rPr>
            </w:pPr>
            <w:r w:rsidRPr="00B501B7">
              <w:rPr>
                <w:b/>
                <w:sz w:val="14"/>
                <w:szCs w:val="14"/>
              </w:rPr>
              <w:t>3.1.2</w:t>
            </w:r>
          </w:p>
        </w:tc>
        <w:tc>
          <w:tcPr>
            <w:tcW w:w="567" w:type="dxa"/>
          </w:tcPr>
          <w:p w14:paraId="1AD5BEF4" w14:textId="77777777" w:rsidR="00CD747F" w:rsidRPr="00B501B7" w:rsidRDefault="00CD747F" w:rsidP="007F58FF">
            <w:pPr>
              <w:pStyle w:val="TableParagraph"/>
              <w:spacing w:before="6"/>
              <w:ind w:left="127" w:right="126"/>
              <w:rPr>
                <w:b/>
                <w:sz w:val="14"/>
                <w:szCs w:val="14"/>
              </w:rPr>
            </w:pPr>
            <w:r w:rsidRPr="00B501B7">
              <w:rPr>
                <w:b/>
                <w:sz w:val="14"/>
                <w:szCs w:val="14"/>
              </w:rPr>
              <w:t>2.0</w:t>
            </w:r>
          </w:p>
        </w:tc>
        <w:tc>
          <w:tcPr>
            <w:tcW w:w="567" w:type="dxa"/>
          </w:tcPr>
          <w:p w14:paraId="150B5E20" w14:textId="77777777" w:rsidR="00CD747F" w:rsidRPr="00B501B7" w:rsidRDefault="00CD747F" w:rsidP="007F58FF">
            <w:pPr>
              <w:pStyle w:val="TableParagraph"/>
              <w:spacing w:before="6"/>
              <w:ind w:left="107" w:right="107"/>
              <w:rPr>
                <w:b/>
                <w:sz w:val="14"/>
                <w:szCs w:val="14"/>
              </w:rPr>
            </w:pPr>
            <w:r w:rsidRPr="00B501B7">
              <w:rPr>
                <w:b/>
                <w:sz w:val="14"/>
                <w:szCs w:val="14"/>
              </w:rPr>
              <w:t>2.0</w:t>
            </w:r>
          </w:p>
        </w:tc>
        <w:tc>
          <w:tcPr>
            <w:tcW w:w="567" w:type="dxa"/>
          </w:tcPr>
          <w:p w14:paraId="7026B00A" w14:textId="77777777" w:rsidR="00CD747F" w:rsidRPr="00B501B7" w:rsidRDefault="00CD747F" w:rsidP="007F58FF">
            <w:pPr>
              <w:pStyle w:val="TableParagraph"/>
              <w:spacing w:before="6"/>
              <w:ind w:left="67" w:right="67"/>
              <w:rPr>
                <w:b/>
                <w:sz w:val="14"/>
                <w:szCs w:val="14"/>
              </w:rPr>
            </w:pPr>
            <w:r w:rsidRPr="00B501B7">
              <w:rPr>
                <w:b/>
                <w:sz w:val="14"/>
                <w:szCs w:val="14"/>
              </w:rPr>
              <w:t>2.0.1.3</w:t>
            </w:r>
          </w:p>
        </w:tc>
        <w:tc>
          <w:tcPr>
            <w:tcW w:w="567" w:type="dxa"/>
          </w:tcPr>
          <w:p w14:paraId="173C553D" w14:textId="77777777" w:rsidR="00CD747F" w:rsidRPr="00B501B7" w:rsidRDefault="00CD747F" w:rsidP="007F58FF">
            <w:pPr>
              <w:pStyle w:val="TableParagraph"/>
              <w:spacing w:before="6"/>
              <w:ind w:left="106" w:right="102"/>
              <w:rPr>
                <w:b/>
                <w:sz w:val="14"/>
                <w:szCs w:val="14"/>
              </w:rPr>
            </w:pPr>
            <w:r w:rsidRPr="00B501B7">
              <w:rPr>
                <w:b/>
                <w:sz w:val="14"/>
                <w:szCs w:val="14"/>
              </w:rPr>
              <w:t>3.3</w:t>
            </w:r>
          </w:p>
        </w:tc>
        <w:tc>
          <w:tcPr>
            <w:tcW w:w="356" w:type="dxa"/>
          </w:tcPr>
          <w:p w14:paraId="009EC454" w14:textId="77777777" w:rsidR="00CD747F" w:rsidRPr="00B501B7" w:rsidRDefault="00CD747F" w:rsidP="002D767C">
            <w:pPr>
              <w:pStyle w:val="TableParagraph"/>
              <w:spacing w:before="6"/>
              <w:ind w:left="-15" w:right="16"/>
              <w:rPr>
                <w:b/>
                <w:sz w:val="14"/>
                <w:szCs w:val="14"/>
              </w:rPr>
            </w:pPr>
            <w:r w:rsidRPr="00B501B7">
              <w:rPr>
                <w:b/>
                <w:sz w:val="14"/>
                <w:szCs w:val="14"/>
              </w:rPr>
              <w:t>3.4</w:t>
            </w:r>
          </w:p>
        </w:tc>
        <w:tc>
          <w:tcPr>
            <w:tcW w:w="352" w:type="dxa"/>
          </w:tcPr>
          <w:p w14:paraId="65DE82B6" w14:textId="77777777" w:rsidR="00CD747F" w:rsidRPr="00B501B7" w:rsidRDefault="00CD747F" w:rsidP="002D767C">
            <w:pPr>
              <w:pStyle w:val="TableParagraph"/>
              <w:spacing w:before="6"/>
              <w:rPr>
                <w:b/>
                <w:sz w:val="14"/>
                <w:szCs w:val="14"/>
              </w:rPr>
            </w:pPr>
            <w:r w:rsidRPr="00B501B7">
              <w:rPr>
                <w:b/>
                <w:sz w:val="14"/>
                <w:szCs w:val="14"/>
              </w:rPr>
              <w:t>3.5</w:t>
            </w:r>
          </w:p>
        </w:tc>
        <w:tc>
          <w:tcPr>
            <w:tcW w:w="709" w:type="dxa"/>
          </w:tcPr>
          <w:p w14:paraId="244962CD" w14:textId="77777777" w:rsidR="00CD747F" w:rsidRPr="00B501B7" w:rsidRDefault="00CD747F" w:rsidP="007F58FF">
            <w:pPr>
              <w:pStyle w:val="TableParagraph"/>
              <w:spacing w:before="6"/>
              <w:ind w:left="141" w:right="141"/>
              <w:rPr>
                <w:b/>
                <w:sz w:val="14"/>
                <w:szCs w:val="14"/>
              </w:rPr>
            </w:pPr>
            <w:r w:rsidRPr="00B501B7">
              <w:rPr>
                <w:b/>
                <w:sz w:val="14"/>
                <w:szCs w:val="14"/>
              </w:rPr>
              <w:t>4.1.4</w:t>
            </w:r>
          </w:p>
        </w:tc>
        <w:tc>
          <w:tcPr>
            <w:tcW w:w="709" w:type="dxa"/>
          </w:tcPr>
          <w:p w14:paraId="2E6019E1" w14:textId="77777777" w:rsidR="00CD747F" w:rsidRPr="00B501B7" w:rsidRDefault="00CD747F" w:rsidP="007F58FF">
            <w:pPr>
              <w:pStyle w:val="TableParagraph"/>
              <w:spacing w:before="6"/>
              <w:ind w:right="226"/>
              <w:jc w:val="right"/>
              <w:rPr>
                <w:b/>
                <w:sz w:val="14"/>
                <w:szCs w:val="14"/>
              </w:rPr>
            </w:pPr>
            <w:r w:rsidRPr="00B501B7">
              <w:rPr>
                <w:b/>
                <w:sz w:val="14"/>
                <w:szCs w:val="14"/>
              </w:rPr>
              <w:t>4.1.4</w:t>
            </w:r>
          </w:p>
        </w:tc>
        <w:tc>
          <w:tcPr>
            <w:tcW w:w="709" w:type="dxa"/>
          </w:tcPr>
          <w:p w14:paraId="37CDAA8D" w14:textId="5BAA00F2" w:rsidR="00CD747F" w:rsidRPr="00B501B7" w:rsidRDefault="00CD747F" w:rsidP="002D767C">
            <w:pPr>
              <w:pStyle w:val="TableParagraph"/>
              <w:spacing w:before="6"/>
              <w:ind w:left="7" w:right="-9"/>
              <w:rPr>
                <w:b/>
                <w:sz w:val="14"/>
                <w:szCs w:val="14"/>
              </w:rPr>
            </w:pPr>
            <w:r w:rsidRPr="00B501B7">
              <w:rPr>
                <w:b/>
                <w:sz w:val="14"/>
                <w:szCs w:val="14"/>
              </w:rPr>
              <w:t>4.2.5/4.3.2</w:t>
            </w:r>
          </w:p>
        </w:tc>
        <w:tc>
          <w:tcPr>
            <w:tcW w:w="708" w:type="dxa"/>
          </w:tcPr>
          <w:p w14:paraId="6814A695" w14:textId="77777777" w:rsidR="00CD747F" w:rsidRPr="00B501B7" w:rsidRDefault="00CD747F" w:rsidP="007F58FF">
            <w:pPr>
              <w:pStyle w:val="TableParagraph"/>
              <w:spacing w:before="6"/>
              <w:ind w:left="213"/>
              <w:jc w:val="left"/>
              <w:rPr>
                <w:b/>
                <w:sz w:val="14"/>
                <w:szCs w:val="14"/>
              </w:rPr>
            </w:pPr>
            <w:r w:rsidRPr="00B501B7">
              <w:rPr>
                <w:b/>
                <w:sz w:val="14"/>
                <w:szCs w:val="14"/>
              </w:rPr>
              <w:t>4.2.5</w:t>
            </w:r>
          </w:p>
        </w:tc>
      </w:tr>
      <w:tr w:rsidR="002D767C" w:rsidRPr="00B501B7" w14:paraId="5AE4B05A" w14:textId="77777777" w:rsidTr="002D767C">
        <w:trPr>
          <w:trHeight w:hRule="exact" w:val="447"/>
        </w:trPr>
        <w:tc>
          <w:tcPr>
            <w:tcW w:w="425" w:type="dxa"/>
          </w:tcPr>
          <w:p w14:paraId="54D347E7" w14:textId="534F848E" w:rsidR="00CD747F" w:rsidRPr="00B501B7" w:rsidRDefault="00CD747F" w:rsidP="007F58FF">
            <w:pPr>
              <w:pStyle w:val="TableParagraph"/>
              <w:spacing w:before="3"/>
              <w:rPr>
                <w:sz w:val="14"/>
                <w:szCs w:val="14"/>
              </w:rPr>
            </w:pPr>
            <w:r w:rsidRPr="00B501B7">
              <w:rPr>
                <w:sz w:val="14"/>
                <w:szCs w:val="14"/>
              </w:rPr>
              <w:t>05XX</w:t>
            </w:r>
          </w:p>
        </w:tc>
        <w:tc>
          <w:tcPr>
            <w:tcW w:w="1985" w:type="dxa"/>
          </w:tcPr>
          <w:p w14:paraId="487A3E43" w14:textId="06EBA2C8" w:rsidR="00CD747F" w:rsidRPr="00B501B7" w:rsidRDefault="00CD747F" w:rsidP="00CD747F">
            <w:pPr>
              <w:pStyle w:val="TableParagraph"/>
              <w:spacing w:before="6"/>
              <w:ind w:left="6" w:right="6"/>
              <w:jc w:val="left"/>
              <w:rPr>
                <w:b/>
                <w:sz w:val="14"/>
                <w:szCs w:val="14"/>
              </w:rPr>
            </w:pPr>
            <w:r w:rsidRPr="00B501B7">
              <w:rPr>
                <w:sz w:val="14"/>
                <w:szCs w:val="14"/>
              </w:rPr>
              <w:t>DETONATORS, ELECTRONIC programmable for blasting†</w:t>
            </w:r>
          </w:p>
        </w:tc>
        <w:tc>
          <w:tcPr>
            <w:tcW w:w="567" w:type="dxa"/>
          </w:tcPr>
          <w:p w14:paraId="14B365E9" w14:textId="1B3EDEC6" w:rsidR="00CD747F" w:rsidRPr="00B501B7" w:rsidRDefault="00CD747F" w:rsidP="007F58FF">
            <w:pPr>
              <w:pStyle w:val="TableParagraph"/>
              <w:spacing w:before="6"/>
              <w:ind w:left="127" w:right="126"/>
              <w:rPr>
                <w:b/>
                <w:sz w:val="14"/>
                <w:szCs w:val="14"/>
              </w:rPr>
            </w:pPr>
            <w:r w:rsidRPr="00B501B7">
              <w:rPr>
                <w:sz w:val="14"/>
                <w:szCs w:val="14"/>
              </w:rPr>
              <w:t>1.1B</w:t>
            </w:r>
          </w:p>
        </w:tc>
        <w:tc>
          <w:tcPr>
            <w:tcW w:w="567" w:type="dxa"/>
          </w:tcPr>
          <w:p w14:paraId="41595FC1" w14:textId="77777777" w:rsidR="00CD747F" w:rsidRPr="00B501B7" w:rsidRDefault="00CD747F" w:rsidP="007F58FF">
            <w:pPr>
              <w:pStyle w:val="TableParagraph"/>
              <w:spacing w:before="6"/>
              <w:ind w:left="107" w:right="107"/>
              <w:rPr>
                <w:b/>
                <w:sz w:val="14"/>
                <w:szCs w:val="14"/>
              </w:rPr>
            </w:pPr>
          </w:p>
        </w:tc>
        <w:tc>
          <w:tcPr>
            <w:tcW w:w="567" w:type="dxa"/>
          </w:tcPr>
          <w:p w14:paraId="1CBB4D3A" w14:textId="77777777" w:rsidR="00CD747F" w:rsidRPr="00B501B7" w:rsidRDefault="00CD747F" w:rsidP="007F58FF">
            <w:pPr>
              <w:pStyle w:val="TableParagraph"/>
              <w:spacing w:before="6"/>
              <w:ind w:left="67" w:right="67"/>
              <w:rPr>
                <w:b/>
                <w:sz w:val="14"/>
                <w:szCs w:val="14"/>
              </w:rPr>
            </w:pPr>
          </w:p>
        </w:tc>
        <w:tc>
          <w:tcPr>
            <w:tcW w:w="567" w:type="dxa"/>
          </w:tcPr>
          <w:p w14:paraId="588E62F1" w14:textId="77777777" w:rsidR="00CD747F" w:rsidRPr="00B501B7" w:rsidRDefault="00CD747F" w:rsidP="007F58FF">
            <w:pPr>
              <w:pStyle w:val="TableParagraph"/>
              <w:spacing w:before="6"/>
              <w:ind w:left="106" w:right="102"/>
              <w:rPr>
                <w:b/>
                <w:sz w:val="14"/>
                <w:szCs w:val="14"/>
              </w:rPr>
            </w:pPr>
          </w:p>
        </w:tc>
        <w:tc>
          <w:tcPr>
            <w:tcW w:w="356" w:type="dxa"/>
          </w:tcPr>
          <w:p w14:paraId="69768C38" w14:textId="2D46A2B8" w:rsidR="00CD747F" w:rsidRPr="00B501B7" w:rsidRDefault="00CD747F" w:rsidP="002D767C">
            <w:pPr>
              <w:pStyle w:val="TableParagraph"/>
              <w:spacing w:before="6"/>
              <w:ind w:left="-15" w:right="16"/>
              <w:rPr>
                <w:b/>
                <w:sz w:val="14"/>
                <w:szCs w:val="14"/>
              </w:rPr>
            </w:pPr>
            <w:r w:rsidRPr="00B501B7">
              <w:rPr>
                <w:sz w:val="14"/>
                <w:szCs w:val="14"/>
              </w:rPr>
              <w:t>0</w:t>
            </w:r>
          </w:p>
        </w:tc>
        <w:tc>
          <w:tcPr>
            <w:tcW w:w="352" w:type="dxa"/>
          </w:tcPr>
          <w:p w14:paraId="03EE23ED" w14:textId="4B9445BC" w:rsidR="00CD747F" w:rsidRPr="00B501B7" w:rsidRDefault="00CD747F" w:rsidP="002D767C">
            <w:pPr>
              <w:pStyle w:val="TableParagraph"/>
              <w:spacing w:before="6"/>
              <w:rPr>
                <w:b/>
                <w:sz w:val="14"/>
                <w:szCs w:val="14"/>
              </w:rPr>
            </w:pPr>
            <w:r w:rsidRPr="00B501B7">
              <w:rPr>
                <w:sz w:val="14"/>
                <w:szCs w:val="14"/>
              </w:rPr>
              <w:t>E0</w:t>
            </w:r>
          </w:p>
        </w:tc>
        <w:tc>
          <w:tcPr>
            <w:tcW w:w="709" w:type="dxa"/>
          </w:tcPr>
          <w:p w14:paraId="61E4FDEF" w14:textId="252851A9" w:rsidR="00CD747F" w:rsidRPr="00B501B7" w:rsidRDefault="00CD747F" w:rsidP="007F58FF">
            <w:pPr>
              <w:pStyle w:val="TableParagraph"/>
              <w:spacing w:before="6"/>
              <w:ind w:left="141" w:right="141"/>
              <w:rPr>
                <w:b/>
                <w:sz w:val="14"/>
                <w:szCs w:val="14"/>
              </w:rPr>
            </w:pPr>
            <w:r w:rsidRPr="00B501B7">
              <w:rPr>
                <w:sz w:val="14"/>
                <w:szCs w:val="14"/>
              </w:rPr>
              <w:t>P131</w:t>
            </w:r>
          </w:p>
        </w:tc>
        <w:tc>
          <w:tcPr>
            <w:tcW w:w="709" w:type="dxa"/>
          </w:tcPr>
          <w:p w14:paraId="28EE9490" w14:textId="77777777" w:rsidR="00CD747F" w:rsidRPr="00B501B7" w:rsidRDefault="00CD747F" w:rsidP="007F58FF">
            <w:pPr>
              <w:pStyle w:val="TableParagraph"/>
              <w:spacing w:before="6"/>
              <w:ind w:right="226"/>
              <w:jc w:val="right"/>
              <w:rPr>
                <w:b/>
                <w:sz w:val="14"/>
                <w:szCs w:val="14"/>
              </w:rPr>
            </w:pPr>
          </w:p>
        </w:tc>
        <w:tc>
          <w:tcPr>
            <w:tcW w:w="709" w:type="dxa"/>
          </w:tcPr>
          <w:p w14:paraId="63C630E0" w14:textId="77777777" w:rsidR="00CD747F" w:rsidRPr="00B501B7" w:rsidRDefault="00CD747F" w:rsidP="007F58FF">
            <w:pPr>
              <w:pStyle w:val="TableParagraph"/>
              <w:spacing w:before="6"/>
              <w:ind w:left="7" w:right="8"/>
              <w:rPr>
                <w:b/>
                <w:sz w:val="14"/>
                <w:szCs w:val="14"/>
              </w:rPr>
            </w:pPr>
          </w:p>
        </w:tc>
        <w:tc>
          <w:tcPr>
            <w:tcW w:w="708" w:type="dxa"/>
          </w:tcPr>
          <w:p w14:paraId="454DF60A" w14:textId="77777777" w:rsidR="00CD747F" w:rsidRPr="00B501B7" w:rsidRDefault="00CD747F" w:rsidP="007F58FF">
            <w:pPr>
              <w:pStyle w:val="TableParagraph"/>
              <w:spacing w:before="6"/>
              <w:ind w:left="213"/>
              <w:jc w:val="left"/>
              <w:rPr>
                <w:b/>
                <w:sz w:val="14"/>
                <w:szCs w:val="14"/>
              </w:rPr>
            </w:pPr>
          </w:p>
        </w:tc>
      </w:tr>
      <w:tr w:rsidR="002D767C" w:rsidRPr="00B501B7" w14:paraId="2F6F5291" w14:textId="77777777" w:rsidTr="002D767C">
        <w:trPr>
          <w:trHeight w:hRule="exact" w:val="447"/>
        </w:trPr>
        <w:tc>
          <w:tcPr>
            <w:tcW w:w="425" w:type="dxa"/>
          </w:tcPr>
          <w:p w14:paraId="27522907" w14:textId="61922879" w:rsidR="00CD747F" w:rsidRPr="00B501B7" w:rsidRDefault="00CD747F" w:rsidP="007F58FF">
            <w:pPr>
              <w:pStyle w:val="TableParagraph"/>
              <w:spacing w:before="3"/>
              <w:rPr>
                <w:sz w:val="14"/>
                <w:szCs w:val="14"/>
              </w:rPr>
            </w:pPr>
            <w:r w:rsidRPr="00B501B7">
              <w:rPr>
                <w:sz w:val="14"/>
                <w:szCs w:val="14"/>
              </w:rPr>
              <w:t>05XX</w:t>
            </w:r>
          </w:p>
        </w:tc>
        <w:tc>
          <w:tcPr>
            <w:tcW w:w="1985" w:type="dxa"/>
          </w:tcPr>
          <w:p w14:paraId="15FCB881" w14:textId="5BD3AB79" w:rsidR="00CD747F" w:rsidRPr="00B501B7" w:rsidRDefault="00CD747F" w:rsidP="00CD747F">
            <w:pPr>
              <w:pStyle w:val="TableParagraph"/>
              <w:spacing w:before="6"/>
              <w:ind w:left="6" w:right="6"/>
              <w:jc w:val="left"/>
              <w:rPr>
                <w:sz w:val="14"/>
                <w:szCs w:val="14"/>
              </w:rPr>
            </w:pPr>
            <w:r w:rsidRPr="00B501B7">
              <w:rPr>
                <w:sz w:val="14"/>
                <w:szCs w:val="14"/>
              </w:rPr>
              <w:t>DETONATORS, ELECTRONIC programmable for blasting†</w:t>
            </w:r>
          </w:p>
        </w:tc>
        <w:tc>
          <w:tcPr>
            <w:tcW w:w="567" w:type="dxa"/>
          </w:tcPr>
          <w:p w14:paraId="1B3EE0DE" w14:textId="4BE7FDD0" w:rsidR="00CD747F" w:rsidRPr="00B501B7" w:rsidRDefault="00CD747F" w:rsidP="007F58FF">
            <w:pPr>
              <w:pStyle w:val="TableParagraph"/>
              <w:spacing w:before="6"/>
              <w:ind w:left="127" w:right="126"/>
              <w:rPr>
                <w:sz w:val="14"/>
                <w:szCs w:val="14"/>
              </w:rPr>
            </w:pPr>
            <w:r w:rsidRPr="00B501B7">
              <w:rPr>
                <w:sz w:val="14"/>
                <w:szCs w:val="14"/>
              </w:rPr>
              <w:t>1.4B</w:t>
            </w:r>
          </w:p>
        </w:tc>
        <w:tc>
          <w:tcPr>
            <w:tcW w:w="567" w:type="dxa"/>
          </w:tcPr>
          <w:p w14:paraId="56455A5F" w14:textId="77777777" w:rsidR="00CD747F" w:rsidRPr="00B501B7" w:rsidRDefault="00CD747F" w:rsidP="007F58FF">
            <w:pPr>
              <w:pStyle w:val="TableParagraph"/>
              <w:spacing w:before="6"/>
              <w:ind w:left="107" w:right="107"/>
              <w:rPr>
                <w:b/>
                <w:sz w:val="14"/>
                <w:szCs w:val="14"/>
              </w:rPr>
            </w:pPr>
          </w:p>
        </w:tc>
        <w:tc>
          <w:tcPr>
            <w:tcW w:w="567" w:type="dxa"/>
          </w:tcPr>
          <w:p w14:paraId="3DA8D16B" w14:textId="77777777" w:rsidR="00CD747F" w:rsidRPr="00B501B7" w:rsidRDefault="00CD747F" w:rsidP="007F58FF">
            <w:pPr>
              <w:pStyle w:val="TableParagraph"/>
              <w:spacing w:before="6"/>
              <w:ind w:left="67" w:right="67"/>
              <w:rPr>
                <w:b/>
                <w:sz w:val="14"/>
                <w:szCs w:val="14"/>
              </w:rPr>
            </w:pPr>
          </w:p>
        </w:tc>
        <w:tc>
          <w:tcPr>
            <w:tcW w:w="567" w:type="dxa"/>
          </w:tcPr>
          <w:p w14:paraId="1076C6B9" w14:textId="77777777" w:rsidR="00CD747F" w:rsidRPr="00B501B7" w:rsidRDefault="00CD747F" w:rsidP="007F58FF">
            <w:pPr>
              <w:pStyle w:val="TableParagraph"/>
              <w:spacing w:before="6"/>
              <w:ind w:left="106" w:right="102"/>
              <w:rPr>
                <w:b/>
                <w:sz w:val="14"/>
                <w:szCs w:val="14"/>
              </w:rPr>
            </w:pPr>
          </w:p>
        </w:tc>
        <w:tc>
          <w:tcPr>
            <w:tcW w:w="356" w:type="dxa"/>
          </w:tcPr>
          <w:p w14:paraId="37B25A4F" w14:textId="72A9F034" w:rsidR="00CD747F" w:rsidRPr="00B501B7" w:rsidRDefault="00CD747F" w:rsidP="002D767C">
            <w:pPr>
              <w:pStyle w:val="TableParagraph"/>
              <w:spacing w:before="6"/>
              <w:ind w:left="-15" w:right="16"/>
              <w:rPr>
                <w:sz w:val="14"/>
                <w:szCs w:val="14"/>
              </w:rPr>
            </w:pPr>
            <w:r w:rsidRPr="00B501B7">
              <w:rPr>
                <w:sz w:val="14"/>
                <w:szCs w:val="14"/>
              </w:rPr>
              <w:t>0</w:t>
            </w:r>
          </w:p>
        </w:tc>
        <w:tc>
          <w:tcPr>
            <w:tcW w:w="352" w:type="dxa"/>
          </w:tcPr>
          <w:p w14:paraId="503F5DE4" w14:textId="0542A437" w:rsidR="00CD747F" w:rsidRPr="00B501B7" w:rsidRDefault="00CD747F" w:rsidP="002D767C">
            <w:pPr>
              <w:pStyle w:val="TableParagraph"/>
              <w:spacing w:before="6"/>
              <w:rPr>
                <w:sz w:val="14"/>
                <w:szCs w:val="14"/>
              </w:rPr>
            </w:pPr>
            <w:r w:rsidRPr="00B501B7">
              <w:rPr>
                <w:sz w:val="14"/>
                <w:szCs w:val="14"/>
              </w:rPr>
              <w:t>E0</w:t>
            </w:r>
          </w:p>
        </w:tc>
        <w:tc>
          <w:tcPr>
            <w:tcW w:w="709" w:type="dxa"/>
          </w:tcPr>
          <w:p w14:paraId="2A01E1D3" w14:textId="3F45BF28" w:rsidR="00CD747F" w:rsidRPr="00B501B7" w:rsidRDefault="00CD747F" w:rsidP="007F58FF">
            <w:pPr>
              <w:pStyle w:val="TableParagraph"/>
              <w:spacing w:before="6"/>
              <w:ind w:left="141" w:right="141"/>
              <w:rPr>
                <w:sz w:val="14"/>
                <w:szCs w:val="14"/>
              </w:rPr>
            </w:pPr>
            <w:r w:rsidRPr="00B501B7">
              <w:rPr>
                <w:sz w:val="14"/>
                <w:szCs w:val="14"/>
              </w:rPr>
              <w:t>P131</w:t>
            </w:r>
          </w:p>
        </w:tc>
        <w:tc>
          <w:tcPr>
            <w:tcW w:w="709" w:type="dxa"/>
          </w:tcPr>
          <w:p w14:paraId="25412802" w14:textId="77777777" w:rsidR="00CD747F" w:rsidRPr="00B501B7" w:rsidRDefault="00CD747F" w:rsidP="007F58FF">
            <w:pPr>
              <w:pStyle w:val="TableParagraph"/>
              <w:spacing w:before="6"/>
              <w:ind w:right="226"/>
              <w:jc w:val="right"/>
              <w:rPr>
                <w:b/>
                <w:sz w:val="14"/>
                <w:szCs w:val="14"/>
              </w:rPr>
            </w:pPr>
          </w:p>
        </w:tc>
        <w:tc>
          <w:tcPr>
            <w:tcW w:w="709" w:type="dxa"/>
          </w:tcPr>
          <w:p w14:paraId="4FA88BB9" w14:textId="77777777" w:rsidR="00CD747F" w:rsidRPr="00B501B7" w:rsidRDefault="00CD747F" w:rsidP="007F58FF">
            <w:pPr>
              <w:pStyle w:val="TableParagraph"/>
              <w:spacing w:before="6"/>
              <w:ind w:left="7" w:right="8"/>
              <w:rPr>
                <w:b/>
                <w:sz w:val="14"/>
                <w:szCs w:val="14"/>
              </w:rPr>
            </w:pPr>
          </w:p>
        </w:tc>
        <w:tc>
          <w:tcPr>
            <w:tcW w:w="708" w:type="dxa"/>
          </w:tcPr>
          <w:p w14:paraId="10051E7D" w14:textId="77777777" w:rsidR="00CD747F" w:rsidRPr="00B501B7" w:rsidRDefault="00CD747F" w:rsidP="007F58FF">
            <w:pPr>
              <w:pStyle w:val="TableParagraph"/>
              <w:spacing w:before="6"/>
              <w:ind w:left="213"/>
              <w:jc w:val="left"/>
              <w:rPr>
                <w:b/>
                <w:sz w:val="14"/>
                <w:szCs w:val="14"/>
              </w:rPr>
            </w:pPr>
          </w:p>
        </w:tc>
      </w:tr>
      <w:tr w:rsidR="002D767C" w:rsidRPr="00B501B7" w14:paraId="4DFAFA21" w14:textId="77777777" w:rsidTr="002D767C">
        <w:trPr>
          <w:trHeight w:hRule="exact" w:val="447"/>
        </w:trPr>
        <w:tc>
          <w:tcPr>
            <w:tcW w:w="425" w:type="dxa"/>
          </w:tcPr>
          <w:p w14:paraId="69C9788E" w14:textId="7D43D8B2" w:rsidR="00CD747F" w:rsidRPr="00B501B7" w:rsidRDefault="00CD747F" w:rsidP="007F58FF">
            <w:pPr>
              <w:pStyle w:val="TableParagraph"/>
              <w:spacing w:before="3"/>
              <w:rPr>
                <w:sz w:val="14"/>
                <w:szCs w:val="14"/>
              </w:rPr>
            </w:pPr>
            <w:r w:rsidRPr="00B501B7">
              <w:rPr>
                <w:sz w:val="14"/>
                <w:szCs w:val="14"/>
              </w:rPr>
              <w:t>05XX</w:t>
            </w:r>
          </w:p>
        </w:tc>
        <w:tc>
          <w:tcPr>
            <w:tcW w:w="1985" w:type="dxa"/>
          </w:tcPr>
          <w:p w14:paraId="7122DBAA" w14:textId="30E425E7" w:rsidR="00CD747F" w:rsidRPr="00B501B7" w:rsidRDefault="00CD747F" w:rsidP="00CD747F">
            <w:pPr>
              <w:pStyle w:val="TableParagraph"/>
              <w:spacing w:before="6"/>
              <w:ind w:left="6" w:right="6"/>
              <w:jc w:val="left"/>
              <w:rPr>
                <w:sz w:val="14"/>
                <w:szCs w:val="14"/>
              </w:rPr>
            </w:pPr>
            <w:r w:rsidRPr="00B501B7">
              <w:rPr>
                <w:sz w:val="14"/>
                <w:szCs w:val="14"/>
              </w:rPr>
              <w:t>DETONATORS, ELECTRONIC programmable for blasting†</w:t>
            </w:r>
          </w:p>
        </w:tc>
        <w:tc>
          <w:tcPr>
            <w:tcW w:w="567" w:type="dxa"/>
          </w:tcPr>
          <w:p w14:paraId="6152012A" w14:textId="4C2C01AB" w:rsidR="00CD747F" w:rsidRPr="00B501B7" w:rsidRDefault="00CD747F" w:rsidP="007F58FF">
            <w:pPr>
              <w:pStyle w:val="TableParagraph"/>
              <w:spacing w:before="6"/>
              <w:ind w:left="127" w:right="126"/>
              <w:rPr>
                <w:sz w:val="14"/>
                <w:szCs w:val="14"/>
              </w:rPr>
            </w:pPr>
            <w:r w:rsidRPr="00B501B7">
              <w:rPr>
                <w:sz w:val="14"/>
                <w:szCs w:val="14"/>
              </w:rPr>
              <w:t>1.4S</w:t>
            </w:r>
          </w:p>
        </w:tc>
        <w:tc>
          <w:tcPr>
            <w:tcW w:w="567" w:type="dxa"/>
          </w:tcPr>
          <w:p w14:paraId="2203A491" w14:textId="77777777" w:rsidR="00CD747F" w:rsidRPr="00B501B7" w:rsidRDefault="00CD747F" w:rsidP="007F58FF">
            <w:pPr>
              <w:pStyle w:val="TableParagraph"/>
              <w:spacing w:before="6"/>
              <w:ind w:left="107" w:right="107"/>
              <w:rPr>
                <w:b/>
                <w:sz w:val="14"/>
                <w:szCs w:val="14"/>
              </w:rPr>
            </w:pPr>
          </w:p>
        </w:tc>
        <w:tc>
          <w:tcPr>
            <w:tcW w:w="567" w:type="dxa"/>
          </w:tcPr>
          <w:p w14:paraId="00CD0F45" w14:textId="77777777" w:rsidR="00CD747F" w:rsidRPr="00B501B7" w:rsidRDefault="00CD747F" w:rsidP="007F58FF">
            <w:pPr>
              <w:pStyle w:val="TableParagraph"/>
              <w:spacing w:before="6"/>
              <w:ind w:left="67" w:right="67"/>
              <w:rPr>
                <w:b/>
                <w:sz w:val="14"/>
                <w:szCs w:val="14"/>
              </w:rPr>
            </w:pPr>
          </w:p>
        </w:tc>
        <w:tc>
          <w:tcPr>
            <w:tcW w:w="567" w:type="dxa"/>
          </w:tcPr>
          <w:p w14:paraId="55CF6D35" w14:textId="4A0B7A09" w:rsidR="00CD747F" w:rsidRPr="00B501B7" w:rsidRDefault="00CD747F" w:rsidP="007F58FF">
            <w:pPr>
              <w:pStyle w:val="TableParagraph"/>
              <w:spacing w:before="6"/>
              <w:ind w:left="106" w:right="102"/>
              <w:rPr>
                <w:b/>
                <w:sz w:val="14"/>
                <w:szCs w:val="14"/>
              </w:rPr>
            </w:pPr>
            <w:r w:rsidRPr="00B501B7">
              <w:rPr>
                <w:sz w:val="14"/>
                <w:szCs w:val="14"/>
              </w:rPr>
              <w:t>347</w:t>
            </w:r>
          </w:p>
        </w:tc>
        <w:tc>
          <w:tcPr>
            <w:tcW w:w="356" w:type="dxa"/>
          </w:tcPr>
          <w:p w14:paraId="119D6B5E" w14:textId="49ADA8BE" w:rsidR="00CD747F" w:rsidRPr="00B501B7" w:rsidRDefault="00CD747F" w:rsidP="002D767C">
            <w:pPr>
              <w:pStyle w:val="TableParagraph"/>
              <w:spacing w:before="6"/>
              <w:ind w:left="-15" w:right="16"/>
              <w:rPr>
                <w:sz w:val="14"/>
                <w:szCs w:val="14"/>
              </w:rPr>
            </w:pPr>
            <w:r w:rsidRPr="00B501B7">
              <w:rPr>
                <w:sz w:val="14"/>
                <w:szCs w:val="14"/>
              </w:rPr>
              <w:t>0</w:t>
            </w:r>
          </w:p>
        </w:tc>
        <w:tc>
          <w:tcPr>
            <w:tcW w:w="352" w:type="dxa"/>
          </w:tcPr>
          <w:p w14:paraId="5F2C9D4F" w14:textId="63AFEB85" w:rsidR="00CD747F" w:rsidRPr="00B501B7" w:rsidRDefault="00CD747F" w:rsidP="002D767C">
            <w:pPr>
              <w:pStyle w:val="TableParagraph"/>
              <w:spacing w:before="6"/>
              <w:rPr>
                <w:sz w:val="14"/>
                <w:szCs w:val="14"/>
              </w:rPr>
            </w:pPr>
            <w:r w:rsidRPr="00B501B7">
              <w:rPr>
                <w:sz w:val="14"/>
                <w:szCs w:val="14"/>
              </w:rPr>
              <w:t>E0</w:t>
            </w:r>
          </w:p>
        </w:tc>
        <w:tc>
          <w:tcPr>
            <w:tcW w:w="709" w:type="dxa"/>
          </w:tcPr>
          <w:p w14:paraId="4D9BC753" w14:textId="587F2FA7" w:rsidR="00CD747F" w:rsidRPr="00B501B7" w:rsidRDefault="00CD747F" w:rsidP="007F58FF">
            <w:pPr>
              <w:pStyle w:val="TableParagraph"/>
              <w:spacing w:before="6"/>
              <w:ind w:left="141" w:right="141"/>
              <w:rPr>
                <w:sz w:val="14"/>
                <w:szCs w:val="14"/>
              </w:rPr>
            </w:pPr>
            <w:r w:rsidRPr="00B501B7">
              <w:rPr>
                <w:sz w:val="14"/>
                <w:szCs w:val="14"/>
              </w:rPr>
              <w:t>P131</w:t>
            </w:r>
          </w:p>
        </w:tc>
        <w:tc>
          <w:tcPr>
            <w:tcW w:w="709" w:type="dxa"/>
          </w:tcPr>
          <w:p w14:paraId="6C3A9D02" w14:textId="77777777" w:rsidR="00CD747F" w:rsidRPr="00B501B7" w:rsidRDefault="00CD747F" w:rsidP="007F58FF">
            <w:pPr>
              <w:pStyle w:val="TableParagraph"/>
              <w:spacing w:before="6"/>
              <w:ind w:right="226"/>
              <w:jc w:val="right"/>
              <w:rPr>
                <w:b/>
                <w:sz w:val="14"/>
                <w:szCs w:val="14"/>
              </w:rPr>
            </w:pPr>
          </w:p>
        </w:tc>
        <w:tc>
          <w:tcPr>
            <w:tcW w:w="709" w:type="dxa"/>
          </w:tcPr>
          <w:p w14:paraId="1FA6381C" w14:textId="77777777" w:rsidR="00CD747F" w:rsidRPr="00B501B7" w:rsidRDefault="00CD747F" w:rsidP="007F58FF">
            <w:pPr>
              <w:pStyle w:val="TableParagraph"/>
              <w:spacing w:before="6"/>
              <w:ind w:left="7" w:right="8"/>
              <w:rPr>
                <w:b/>
                <w:sz w:val="14"/>
                <w:szCs w:val="14"/>
              </w:rPr>
            </w:pPr>
          </w:p>
        </w:tc>
        <w:tc>
          <w:tcPr>
            <w:tcW w:w="708" w:type="dxa"/>
          </w:tcPr>
          <w:p w14:paraId="46C350AE" w14:textId="77777777" w:rsidR="00CD747F" w:rsidRPr="00B501B7" w:rsidRDefault="00CD747F" w:rsidP="007F58FF">
            <w:pPr>
              <w:pStyle w:val="TableParagraph"/>
              <w:spacing w:before="6"/>
              <w:ind w:left="213"/>
              <w:jc w:val="left"/>
              <w:rPr>
                <w:b/>
                <w:sz w:val="14"/>
                <w:szCs w:val="14"/>
              </w:rPr>
            </w:pPr>
          </w:p>
        </w:tc>
      </w:tr>
    </w:tbl>
    <w:p w14:paraId="103BF8FF" w14:textId="547D6408" w:rsidR="002E10DE" w:rsidRPr="0036589F" w:rsidRDefault="00A065BA" w:rsidP="00A065BA">
      <w:pPr>
        <w:pStyle w:val="SingleTxtG"/>
        <w:spacing w:before="240"/>
      </w:pPr>
      <w:r>
        <w:t>12.</w:t>
      </w:r>
      <w:r>
        <w:tab/>
      </w:r>
      <w:r w:rsidR="002E10DE">
        <w:t xml:space="preserve">It is also proposed that </w:t>
      </w:r>
      <w:r w:rsidR="002E10DE" w:rsidRPr="00A065BA">
        <w:t>consequential</w:t>
      </w:r>
      <w:r w:rsidR="002E10DE">
        <w:t xml:space="preserve"> amendments be made to the Glossary of Terms in </w:t>
      </w:r>
      <w:r w:rsidR="008C3133">
        <w:t xml:space="preserve">Appendix B of the Model Regulators </w:t>
      </w:r>
      <w:r w:rsidR="002E10DE">
        <w:t>as follows</w:t>
      </w:r>
      <w:r w:rsidR="00CD747F">
        <w:t xml:space="preserve"> (new text is </w:t>
      </w:r>
      <w:r w:rsidR="00CD747F" w:rsidRPr="00CD747F">
        <w:rPr>
          <w:u w:val="single"/>
        </w:rPr>
        <w:t>underlined</w:t>
      </w:r>
      <w:r w:rsidR="00CD747F">
        <w:t xml:space="preserve">; deleted text is </w:t>
      </w:r>
      <w:r w:rsidR="00CD747F" w:rsidRPr="00CD747F">
        <w:rPr>
          <w:strike/>
        </w:rPr>
        <w:t>crossed out</w:t>
      </w:r>
      <w:r w:rsidR="00CD747F">
        <w:t>)</w:t>
      </w:r>
      <w:r w:rsidR="002E10DE">
        <w:t>:</w:t>
      </w:r>
    </w:p>
    <w:p w14:paraId="04433A96" w14:textId="699CE3BF" w:rsidR="002E10DE" w:rsidRPr="0036589F" w:rsidRDefault="002E10DE" w:rsidP="002E10DE">
      <w:pPr>
        <w:pStyle w:val="SingleTxtG"/>
        <w:ind w:firstLine="567"/>
      </w:pPr>
      <w:r>
        <w:t>(a)</w:t>
      </w:r>
      <w:r>
        <w:tab/>
        <w:t xml:space="preserve">Amend the explanation of </w:t>
      </w:r>
      <w:r w:rsidR="00CD747F">
        <w:t>“</w:t>
      </w:r>
      <w:r>
        <w:t>Detonators</w:t>
      </w:r>
      <w:r w:rsidR="00CD747F">
        <w:t>”</w:t>
      </w:r>
      <w:r>
        <w:t xml:space="preserve"> </w:t>
      </w:r>
      <w:r w:rsidR="00CD747F">
        <w:t>as follows</w:t>
      </w:r>
      <w:r>
        <w:t>:</w:t>
      </w:r>
    </w:p>
    <w:p w14:paraId="26429855" w14:textId="77777777" w:rsidR="002E10DE" w:rsidRPr="002E10DE" w:rsidRDefault="002E10DE" w:rsidP="002E10DE">
      <w:pPr>
        <w:pStyle w:val="SingleTxtG"/>
        <w:ind w:left="1701" w:firstLine="567"/>
        <w:rPr>
          <w:b/>
        </w:rPr>
      </w:pPr>
      <w:r>
        <w:rPr>
          <w:b/>
        </w:rPr>
        <w:t>“</w:t>
      </w:r>
      <w:r w:rsidRPr="002E10DE">
        <w:rPr>
          <w:b/>
        </w:rPr>
        <w:t>Detonators</w:t>
      </w:r>
    </w:p>
    <w:p w14:paraId="169054CC" w14:textId="77777777" w:rsidR="002E10DE" w:rsidRDefault="002E10DE" w:rsidP="002E10DE">
      <w:pPr>
        <w:pStyle w:val="SingleTxtG"/>
        <w:ind w:left="2268"/>
      </w:pPr>
      <w:r>
        <w:tab/>
        <w:t>Articles consisting of a small metal or plastics tube containing explosives such as lead azide, PETN or combinations of explosives. They are designed to start a detonation train. They may be constructed to detonate instantaneously, or may contain a delay element. The term includes:</w:t>
      </w:r>
    </w:p>
    <w:p w14:paraId="2A1B8720" w14:textId="77777777" w:rsidR="002E10DE" w:rsidRDefault="002E10DE" w:rsidP="002E10DE">
      <w:pPr>
        <w:pStyle w:val="ListParagraph"/>
        <w:spacing w:line="249" w:lineRule="auto"/>
        <w:ind w:left="2268" w:right="1285"/>
        <w:rPr>
          <w:sz w:val="20"/>
        </w:rPr>
      </w:pPr>
      <w:r>
        <w:rPr>
          <w:sz w:val="20"/>
        </w:rPr>
        <w:t>DETONATORS FOR AMMUNITION and</w:t>
      </w:r>
    </w:p>
    <w:p w14:paraId="38E14EDC" w14:textId="77777777" w:rsidR="002E10DE" w:rsidRDefault="002E10DE" w:rsidP="002E10DE">
      <w:pPr>
        <w:pStyle w:val="ListParagraph"/>
        <w:spacing w:line="249" w:lineRule="auto"/>
        <w:ind w:left="2268" w:right="1285"/>
        <w:rPr>
          <w:sz w:val="20"/>
        </w:rPr>
      </w:pPr>
      <w:r>
        <w:rPr>
          <w:sz w:val="20"/>
        </w:rPr>
        <w:t xml:space="preserve">DETONATORS for blasting, </w:t>
      </w:r>
      <w:r w:rsidR="008947E2" w:rsidRPr="008947E2">
        <w:rPr>
          <w:strike/>
          <w:sz w:val="20"/>
        </w:rPr>
        <w:t xml:space="preserve">both </w:t>
      </w:r>
      <w:r>
        <w:rPr>
          <w:sz w:val="20"/>
        </w:rPr>
        <w:t>ELECTRIC</w:t>
      </w:r>
      <w:r w:rsidR="008947E2" w:rsidRPr="000675CC">
        <w:rPr>
          <w:sz w:val="20"/>
          <w:u w:val="single"/>
        </w:rPr>
        <w:t>,</w:t>
      </w:r>
      <w:r w:rsidR="008947E2">
        <w:rPr>
          <w:sz w:val="20"/>
        </w:rPr>
        <w:t xml:space="preserve"> </w:t>
      </w:r>
      <w:r w:rsidR="008947E2" w:rsidRPr="008947E2">
        <w:rPr>
          <w:strike/>
          <w:sz w:val="20"/>
        </w:rPr>
        <w:t xml:space="preserve">and </w:t>
      </w:r>
      <w:r>
        <w:rPr>
          <w:sz w:val="20"/>
        </w:rPr>
        <w:t>NON-ELECTRIC</w:t>
      </w:r>
      <w:r w:rsidR="008947E2">
        <w:rPr>
          <w:sz w:val="20"/>
        </w:rPr>
        <w:t xml:space="preserve"> </w:t>
      </w:r>
      <w:r w:rsidR="008947E2" w:rsidRPr="008947E2">
        <w:rPr>
          <w:sz w:val="20"/>
          <w:u w:val="single"/>
        </w:rPr>
        <w:t>and ELECTRONIC</w:t>
      </w:r>
      <w:r w:rsidR="000675CC">
        <w:rPr>
          <w:sz w:val="20"/>
          <w:u w:val="single"/>
        </w:rPr>
        <w:t xml:space="preserve"> </w:t>
      </w:r>
      <w:r w:rsidR="007548D5">
        <w:rPr>
          <w:sz w:val="20"/>
          <w:u w:val="single"/>
        </w:rPr>
        <w:t xml:space="preserve">programmable. </w:t>
      </w:r>
    </w:p>
    <w:p w14:paraId="38AC8E19" w14:textId="2FA98318" w:rsidR="002E10DE" w:rsidRDefault="002E10DE" w:rsidP="002E10DE">
      <w:pPr>
        <w:pStyle w:val="SingleTxtG"/>
        <w:spacing w:before="120"/>
        <w:ind w:firstLine="1134"/>
      </w:pPr>
      <w:r>
        <w:t>Detonating relays without flexible detonating cord are included</w:t>
      </w:r>
      <w:r w:rsidR="00CD747F">
        <w:t>.</w:t>
      </w:r>
      <w:r>
        <w:t>”</w:t>
      </w:r>
    </w:p>
    <w:p w14:paraId="25B6EA35" w14:textId="2A1B2197" w:rsidR="002E10DE" w:rsidRDefault="002E10DE" w:rsidP="00956CAD">
      <w:pPr>
        <w:pStyle w:val="SingleTxtG"/>
        <w:ind w:left="2250" w:hanging="540"/>
      </w:pPr>
      <w:r>
        <w:t>(b)</w:t>
      </w:r>
      <w:r>
        <w:tab/>
      </w:r>
      <w:r w:rsidR="00CD747F">
        <w:t>Add</w:t>
      </w:r>
      <w:r>
        <w:t xml:space="preserve"> a new explanation f</w:t>
      </w:r>
      <w:r w:rsidR="00474B1C">
        <w:t>or “DETONATORS, ELECTRONIC</w:t>
      </w:r>
      <w:r w:rsidR="00956CAD">
        <w:t xml:space="preserve">    programmable</w:t>
      </w:r>
      <w:r w:rsidR="00474B1C">
        <w:t xml:space="preserve"> for </w:t>
      </w:r>
      <w:r>
        <w:t xml:space="preserve">blasting” </w:t>
      </w:r>
      <w:r w:rsidR="00CD747F">
        <w:t xml:space="preserve">to read </w:t>
      </w:r>
      <w:r>
        <w:t>as follows:</w:t>
      </w:r>
    </w:p>
    <w:p w14:paraId="4B797A6F" w14:textId="77777777" w:rsidR="002E10DE" w:rsidRPr="00CD747F" w:rsidRDefault="002E10DE" w:rsidP="002E10DE">
      <w:pPr>
        <w:pStyle w:val="SingleTxtG"/>
        <w:ind w:left="1701" w:firstLine="567"/>
        <w:rPr>
          <w:u w:val="single"/>
        </w:rPr>
      </w:pPr>
      <w:r w:rsidRPr="00CD747F">
        <w:rPr>
          <w:u w:val="single"/>
        </w:rPr>
        <w:t>“DETONATORS, ELECTRONIC</w:t>
      </w:r>
      <w:r w:rsidR="00956CAD" w:rsidRPr="00CD747F">
        <w:rPr>
          <w:u w:val="single"/>
        </w:rPr>
        <w:t xml:space="preserve"> programmable</w:t>
      </w:r>
      <w:r w:rsidRPr="00CD747F">
        <w:rPr>
          <w:u w:val="single"/>
        </w:rPr>
        <w:t xml:space="preserve"> for blasting</w:t>
      </w:r>
    </w:p>
    <w:p w14:paraId="2D33F8DB" w14:textId="77777777" w:rsidR="002E10DE" w:rsidRDefault="002E10DE" w:rsidP="002E10DE">
      <w:pPr>
        <w:pStyle w:val="SingleTxtG"/>
        <w:ind w:left="2268"/>
      </w:pPr>
      <w:r w:rsidRPr="00CD747F">
        <w:rPr>
          <w:u w:val="single"/>
        </w:rPr>
        <w:t>Detonators utilizing electronic components, such as an integrated circuit and/or micro processing technology to provide communications, an energy control and storage capability, timing delay information and validated commands in order to send a firing signal to the initiating charge.</w:t>
      </w:r>
      <w:r>
        <w:t>”.</w:t>
      </w:r>
    </w:p>
    <w:p w14:paraId="6E435B9F" w14:textId="77777777" w:rsidR="002E10DE" w:rsidRPr="002E10DE" w:rsidRDefault="002E10DE" w:rsidP="002E10DE">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p w14:paraId="5438AF91" w14:textId="77777777" w:rsidR="002E10DE" w:rsidRDefault="002E10DE" w:rsidP="002E10DE">
      <w:pPr>
        <w:spacing w:before="3"/>
        <w:rPr>
          <w:sz w:val="24"/>
          <w:szCs w:val="24"/>
        </w:rPr>
      </w:pPr>
    </w:p>
    <w:p w14:paraId="3C309637" w14:textId="77777777" w:rsidR="0078270D" w:rsidRDefault="0078270D" w:rsidP="00E41283"/>
    <w:p w14:paraId="3377171D" w14:textId="77777777" w:rsidR="0078270D" w:rsidRDefault="0078270D" w:rsidP="00E41283"/>
    <w:p w14:paraId="72D8DE5D" w14:textId="77777777" w:rsidR="0078270D" w:rsidRDefault="0078270D" w:rsidP="00E41283"/>
    <w:sectPr w:rsidR="0078270D" w:rsidSect="00D8651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BEA" w14:textId="77777777" w:rsidR="002B1A41" w:rsidRDefault="002B1A41"/>
  </w:endnote>
  <w:endnote w:type="continuationSeparator" w:id="0">
    <w:p w14:paraId="6AF16231" w14:textId="77777777" w:rsidR="002B1A41" w:rsidRDefault="002B1A41"/>
  </w:endnote>
  <w:endnote w:type="continuationNotice" w:id="1">
    <w:p w14:paraId="3D16D383" w14:textId="77777777" w:rsidR="002B1A41" w:rsidRDefault="002B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184" w14:textId="51DE797B"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27776D">
      <w:rPr>
        <w:b/>
        <w:noProof/>
      </w:rPr>
      <w:t>2</w:t>
    </w:r>
    <w:r w:rsidRPr="009C67CC">
      <w:rPr>
        <w:b/>
        <w:noProof/>
      </w:rPr>
      <w:fldChar w:fldCharType="end"/>
    </w:r>
  </w:p>
  <w:p w14:paraId="73296404"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28F" w14:textId="6B8E688D"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27776D">
      <w:rPr>
        <w:b/>
        <w:noProof/>
        <w:sz w:val="18"/>
        <w:szCs w:val="18"/>
      </w:rPr>
      <w:t>3</w:t>
    </w:r>
    <w:r w:rsidRPr="009D58C1">
      <w:rPr>
        <w:b/>
        <w:noProof/>
        <w:sz w:val="18"/>
        <w:szCs w:val="18"/>
      </w:rPr>
      <w:fldChar w:fldCharType="end"/>
    </w:r>
  </w:p>
  <w:p w14:paraId="0ABBA8CE" w14:textId="77777777"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FD" w14:textId="77777777" w:rsidR="002B1A41" w:rsidRPr="000B175B" w:rsidRDefault="002B1A41" w:rsidP="000B175B">
      <w:pPr>
        <w:tabs>
          <w:tab w:val="right" w:pos="2155"/>
        </w:tabs>
        <w:spacing w:after="80"/>
        <w:ind w:left="680"/>
        <w:rPr>
          <w:u w:val="single"/>
        </w:rPr>
      </w:pPr>
      <w:r>
        <w:rPr>
          <w:u w:val="single"/>
        </w:rPr>
        <w:tab/>
      </w:r>
    </w:p>
  </w:footnote>
  <w:footnote w:type="continuationSeparator" w:id="0">
    <w:p w14:paraId="7F3A3A62" w14:textId="77777777" w:rsidR="002B1A41" w:rsidRPr="00FC68B7" w:rsidRDefault="002B1A41" w:rsidP="00FC68B7">
      <w:pPr>
        <w:tabs>
          <w:tab w:val="left" w:pos="2155"/>
        </w:tabs>
        <w:spacing w:after="80"/>
        <w:ind w:left="680"/>
        <w:rPr>
          <w:u w:val="single"/>
        </w:rPr>
      </w:pPr>
      <w:r>
        <w:rPr>
          <w:u w:val="single"/>
        </w:rPr>
        <w:tab/>
      </w:r>
    </w:p>
  </w:footnote>
  <w:footnote w:type="continuationNotice" w:id="1">
    <w:p w14:paraId="35D52392" w14:textId="77777777" w:rsidR="002B1A41" w:rsidRDefault="002B1A41"/>
  </w:footnote>
  <w:footnote w:id="2">
    <w:p w14:paraId="36425247" w14:textId="77777777" w:rsidR="00100242" w:rsidRPr="00E41283" w:rsidRDefault="00100242" w:rsidP="00E41283">
      <w:pPr>
        <w:pStyle w:val="FootnoteText"/>
        <w:tabs>
          <w:tab w:val="left" w:pos="1418"/>
        </w:tabs>
        <w:ind w:firstLine="0"/>
        <w:rPr>
          <w:lang w:val="fr-CH"/>
        </w:rPr>
      </w:pPr>
      <w:r>
        <w:rPr>
          <w:rStyle w:val="FootnoteReference"/>
        </w:rPr>
        <w:footnoteRef/>
      </w:r>
      <w:r>
        <w:tab/>
        <w:t xml:space="preserve">In accordance with the programme of work of the Sub-Committee for 2017–2018 approved by the Committee at its eighth session (see ST/SG/AC.10/C.3/100, paragraph 98 and ST/SG/AC.10/44, paragraph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4D770A9D" w:rsidR="00100242" w:rsidRPr="00432CFD" w:rsidRDefault="00A065BA">
    <w:pPr>
      <w:pStyle w:val="Header"/>
      <w:rPr>
        <w:lang w:val="fr-CH"/>
      </w:rPr>
    </w:pPr>
    <w:r>
      <w:rPr>
        <w:lang w:val="fr-CH"/>
      </w:rPr>
      <w:t>ST/SG/AC.10/C.3/2018/58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1302C8A2" w:rsidR="00100242" w:rsidRPr="009D58C1" w:rsidRDefault="00100242" w:rsidP="009D58C1">
    <w:pPr>
      <w:pStyle w:val="Header"/>
      <w:pBdr>
        <w:bottom w:val="single" w:sz="4" w:space="1" w:color="auto"/>
      </w:pBdr>
      <w:jc w:val="right"/>
      <w:rPr>
        <w:lang w:val="fr-CH"/>
      </w:rPr>
    </w:pPr>
    <w:r>
      <w:rPr>
        <w:lang w:val="fr-CH"/>
      </w:rPr>
      <w:t>ST/SG/AC.10/C.3/201</w:t>
    </w:r>
    <w:r w:rsidR="008129F0">
      <w:rPr>
        <w:lang w:val="fr-CH"/>
      </w:rPr>
      <w:t>8</w:t>
    </w:r>
    <w:r>
      <w:rPr>
        <w:lang w:val="fr-CH"/>
      </w:rPr>
      <w:t>/</w:t>
    </w:r>
    <w:r w:rsidR="00A065BA">
      <w:rPr>
        <w:lang w:val="fr-CH"/>
      </w:rPr>
      <w:t>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77777777" w:rsidR="00100242" w:rsidRPr="002E10DE" w:rsidRDefault="00100242" w:rsidP="002E10DE">
    <w:pPr>
      <w:pStyle w:val="Header"/>
      <w:pBdr>
        <w:bottom w:val="single" w:sz="8"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4"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7"/>
  </w:num>
  <w:num w:numId="13">
    <w:abstractNumId w:val="12"/>
  </w:num>
  <w:num w:numId="14">
    <w:abstractNumId w:val="40"/>
  </w:num>
  <w:num w:numId="15">
    <w:abstractNumId w:val="44"/>
  </w:num>
  <w:num w:numId="16">
    <w:abstractNumId w:val="26"/>
  </w:num>
  <w:num w:numId="17">
    <w:abstractNumId w:val="24"/>
  </w:num>
  <w:num w:numId="18">
    <w:abstractNumId w:val="43"/>
  </w:num>
  <w:num w:numId="19">
    <w:abstractNumId w:val="18"/>
  </w:num>
  <w:num w:numId="20">
    <w:abstractNumId w:val="14"/>
  </w:num>
  <w:num w:numId="21">
    <w:abstractNumId w:val="25"/>
  </w:num>
  <w:num w:numId="22">
    <w:abstractNumId w:val="11"/>
  </w:num>
  <w:num w:numId="23">
    <w:abstractNumId w:val="30"/>
  </w:num>
  <w:num w:numId="24">
    <w:abstractNumId w:val="15"/>
  </w:num>
  <w:num w:numId="25">
    <w:abstractNumId w:val="20"/>
  </w:num>
  <w:num w:numId="26">
    <w:abstractNumId w:val="34"/>
  </w:num>
  <w:num w:numId="27">
    <w:abstractNumId w:val="41"/>
  </w:num>
  <w:num w:numId="28">
    <w:abstractNumId w:val="21"/>
  </w:num>
  <w:num w:numId="29">
    <w:abstractNumId w:val="23"/>
  </w:num>
  <w:num w:numId="30">
    <w:abstractNumId w:val="36"/>
  </w:num>
  <w:num w:numId="31">
    <w:abstractNumId w:val="19"/>
  </w:num>
  <w:num w:numId="32">
    <w:abstractNumId w:val="22"/>
  </w:num>
  <w:num w:numId="33">
    <w:abstractNumId w:val="33"/>
  </w:num>
  <w:num w:numId="34">
    <w:abstractNumId w:val="45"/>
  </w:num>
  <w:num w:numId="35">
    <w:abstractNumId w:val="42"/>
  </w:num>
  <w:num w:numId="36">
    <w:abstractNumId w:val="37"/>
  </w:num>
  <w:num w:numId="37">
    <w:abstractNumId w:val="13"/>
  </w:num>
  <w:num w:numId="38">
    <w:abstractNumId w:val="27"/>
  </w:num>
  <w:num w:numId="39">
    <w:abstractNumId w:val="31"/>
  </w:num>
  <w:num w:numId="40">
    <w:abstractNumId w:val="29"/>
  </w:num>
  <w:num w:numId="41">
    <w:abstractNumId w:val="10"/>
  </w:num>
  <w:num w:numId="42">
    <w:abstractNumId w:val="16"/>
  </w:num>
  <w:num w:numId="43">
    <w:abstractNumId w:val="39"/>
  </w:num>
  <w:num w:numId="44">
    <w:abstractNumId w:val="32"/>
  </w:num>
  <w:num w:numId="45">
    <w:abstractNumId w:val="35"/>
  </w:num>
  <w:num w:numId="4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5E4D"/>
    <w:rsid w:val="00026046"/>
    <w:rsid w:val="0002626C"/>
    <w:rsid w:val="00027FBE"/>
    <w:rsid w:val="00031FF3"/>
    <w:rsid w:val="00034B57"/>
    <w:rsid w:val="00037FD8"/>
    <w:rsid w:val="00044B65"/>
    <w:rsid w:val="00044DE9"/>
    <w:rsid w:val="00050F6B"/>
    <w:rsid w:val="00051062"/>
    <w:rsid w:val="000540AC"/>
    <w:rsid w:val="00056542"/>
    <w:rsid w:val="00060E74"/>
    <w:rsid w:val="00062F47"/>
    <w:rsid w:val="00064A74"/>
    <w:rsid w:val="000675CC"/>
    <w:rsid w:val="00071BCB"/>
    <w:rsid w:val="00072C8C"/>
    <w:rsid w:val="0007360D"/>
    <w:rsid w:val="00074065"/>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F2380"/>
    <w:rsid w:val="000F5031"/>
    <w:rsid w:val="00100242"/>
    <w:rsid w:val="00105D5C"/>
    <w:rsid w:val="0010735D"/>
    <w:rsid w:val="00115198"/>
    <w:rsid w:val="00117787"/>
    <w:rsid w:val="00130B2B"/>
    <w:rsid w:val="00131714"/>
    <w:rsid w:val="00131767"/>
    <w:rsid w:val="00131D42"/>
    <w:rsid w:val="001329B7"/>
    <w:rsid w:val="001359E2"/>
    <w:rsid w:val="001415AC"/>
    <w:rsid w:val="00141AC5"/>
    <w:rsid w:val="0014274C"/>
    <w:rsid w:val="0014749F"/>
    <w:rsid w:val="00147BFD"/>
    <w:rsid w:val="00150A37"/>
    <w:rsid w:val="0015390C"/>
    <w:rsid w:val="001559C5"/>
    <w:rsid w:val="00155A9F"/>
    <w:rsid w:val="0016239A"/>
    <w:rsid w:val="001633FB"/>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5B82"/>
    <w:rsid w:val="001F7DAC"/>
    <w:rsid w:val="00204D75"/>
    <w:rsid w:val="002054BE"/>
    <w:rsid w:val="0020640F"/>
    <w:rsid w:val="00211E0B"/>
    <w:rsid w:val="00212046"/>
    <w:rsid w:val="002213FA"/>
    <w:rsid w:val="0022446F"/>
    <w:rsid w:val="002262D3"/>
    <w:rsid w:val="002309A7"/>
    <w:rsid w:val="00230CED"/>
    <w:rsid w:val="00230F2E"/>
    <w:rsid w:val="00235937"/>
    <w:rsid w:val="002370FA"/>
    <w:rsid w:val="00237785"/>
    <w:rsid w:val="00241466"/>
    <w:rsid w:val="00244BA0"/>
    <w:rsid w:val="00253374"/>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F8"/>
    <w:rsid w:val="002A6E0B"/>
    <w:rsid w:val="002A7BC0"/>
    <w:rsid w:val="002B1A41"/>
    <w:rsid w:val="002B1CDA"/>
    <w:rsid w:val="002B26CF"/>
    <w:rsid w:val="002C56EC"/>
    <w:rsid w:val="002C638D"/>
    <w:rsid w:val="002D30CC"/>
    <w:rsid w:val="002D767C"/>
    <w:rsid w:val="002E0A46"/>
    <w:rsid w:val="002E10DE"/>
    <w:rsid w:val="002F0ACF"/>
    <w:rsid w:val="002F7AAF"/>
    <w:rsid w:val="002F7F51"/>
    <w:rsid w:val="00301F46"/>
    <w:rsid w:val="003107FA"/>
    <w:rsid w:val="00316CDE"/>
    <w:rsid w:val="003229D8"/>
    <w:rsid w:val="00323B8F"/>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5E81"/>
    <w:rsid w:val="003F347E"/>
    <w:rsid w:val="003F66B7"/>
    <w:rsid w:val="004028F0"/>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74B1C"/>
    <w:rsid w:val="0048040E"/>
    <w:rsid w:val="004815BC"/>
    <w:rsid w:val="00486F0C"/>
    <w:rsid w:val="004906B4"/>
    <w:rsid w:val="00495374"/>
    <w:rsid w:val="004A411D"/>
    <w:rsid w:val="004A72B1"/>
    <w:rsid w:val="004B2C9D"/>
    <w:rsid w:val="004B4C10"/>
    <w:rsid w:val="004C008C"/>
    <w:rsid w:val="004C3287"/>
    <w:rsid w:val="004C5AF0"/>
    <w:rsid w:val="004C6CF4"/>
    <w:rsid w:val="004D0FBF"/>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5058"/>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492F"/>
    <w:rsid w:val="00696595"/>
    <w:rsid w:val="00697525"/>
    <w:rsid w:val="006A7392"/>
    <w:rsid w:val="006B7933"/>
    <w:rsid w:val="006C0D34"/>
    <w:rsid w:val="006C1CA0"/>
    <w:rsid w:val="006C7E11"/>
    <w:rsid w:val="006D247B"/>
    <w:rsid w:val="006D5191"/>
    <w:rsid w:val="006E564B"/>
    <w:rsid w:val="006E6FBD"/>
    <w:rsid w:val="006F4D74"/>
    <w:rsid w:val="007012C4"/>
    <w:rsid w:val="0070311F"/>
    <w:rsid w:val="00704A7F"/>
    <w:rsid w:val="007102D9"/>
    <w:rsid w:val="007227B6"/>
    <w:rsid w:val="00725848"/>
    <w:rsid w:val="0072632A"/>
    <w:rsid w:val="0073039D"/>
    <w:rsid w:val="007319D5"/>
    <w:rsid w:val="00731BEA"/>
    <w:rsid w:val="00741915"/>
    <w:rsid w:val="0075116C"/>
    <w:rsid w:val="00753201"/>
    <w:rsid w:val="007548D5"/>
    <w:rsid w:val="007612E0"/>
    <w:rsid w:val="00761389"/>
    <w:rsid w:val="00762706"/>
    <w:rsid w:val="007665DE"/>
    <w:rsid w:val="00771113"/>
    <w:rsid w:val="007713F2"/>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24A5"/>
    <w:rsid w:val="008129F0"/>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28E0"/>
    <w:rsid w:val="00884B25"/>
    <w:rsid w:val="00885E87"/>
    <w:rsid w:val="00893828"/>
    <w:rsid w:val="008947E2"/>
    <w:rsid w:val="00894C13"/>
    <w:rsid w:val="008979B1"/>
    <w:rsid w:val="008A1350"/>
    <w:rsid w:val="008A29F7"/>
    <w:rsid w:val="008A5C06"/>
    <w:rsid w:val="008A6B25"/>
    <w:rsid w:val="008A6B52"/>
    <w:rsid w:val="008A6C4F"/>
    <w:rsid w:val="008B174F"/>
    <w:rsid w:val="008C0C4E"/>
    <w:rsid w:val="008C3133"/>
    <w:rsid w:val="008C4A16"/>
    <w:rsid w:val="008C518D"/>
    <w:rsid w:val="008C7398"/>
    <w:rsid w:val="008D16E8"/>
    <w:rsid w:val="008D16EF"/>
    <w:rsid w:val="008D5AB6"/>
    <w:rsid w:val="008D6FE1"/>
    <w:rsid w:val="008D7973"/>
    <w:rsid w:val="008D7AB3"/>
    <w:rsid w:val="008E0E46"/>
    <w:rsid w:val="008E3B3C"/>
    <w:rsid w:val="008F596C"/>
    <w:rsid w:val="008F671F"/>
    <w:rsid w:val="009019F7"/>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F0F06"/>
    <w:rsid w:val="00A04323"/>
    <w:rsid w:val="00A065BA"/>
    <w:rsid w:val="00A120B4"/>
    <w:rsid w:val="00A1427D"/>
    <w:rsid w:val="00A176C2"/>
    <w:rsid w:val="00A23A0D"/>
    <w:rsid w:val="00A250A4"/>
    <w:rsid w:val="00A27434"/>
    <w:rsid w:val="00A27707"/>
    <w:rsid w:val="00A40024"/>
    <w:rsid w:val="00A47B65"/>
    <w:rsid w:val="00A60EB5"/>
    <w:rsid w:val="00A67BA6"/>
    <w:rsid w:val="00A72F22"/>
    <w:rsid w:val="00A7341F"/>
    <w:rsid w:val="00A748A6"/>
    <w:rsid w:val="00A74F3D"/>
    <w:rsid w:val="00A75EC9"/>
    <w:rsid w:val="00A879A4"/>
    <w:rsid w:val="00AA7910"/>
    <w:rsid w:val="00AB48E3"/>
    <w:rsid w:val="00AB521F"/>
    <w:rsid w:val="00AB79D3"/>
    <w:rsid w:val="00AC1947"/>
    <w:rsid w:val="00AC47CB"/>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26657"/>
    <w:rsid w:val="00C302B4"/>
    <w:rsid w:val="00C35AE7"/>
    <w:rsid w:val="00C44685"/>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03EB"/>
    <w:rsid w:val="00CB26B3"/>
    <w:rsid w:val="00CB51FE"/>
    <w:rsid w:val="00CC2702"/>
    <w:rsid w:val="00CC78A6"/>
    <w:rsid w:val="00CD20A1"/>
    <w:rsid w:val="00CD3225"/>
    <w:rsid w:val="00CD64B5"/>
    <w:rsid w:val="00CD747F"/>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50452"/>
    <w:rsid w:val="00D72DC1"/>
    <w:rsid w:val="00D753D8"/>
    <w:rsid w:val="00D76673"/>
    <w:rsid w:val="00D80431"/>
    <w:rsid w:val="00D80A99"/>
    <w:rsid w:val="00D8153A"/>
    <w:rsid w:val="00D86516"/>
    <w:rsid w:val="00D87F4C"/>
    <w:rsid w:val="00D94B0C"/>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8535A"/>
    <w:rsid w:val="00E856CE"/>
    <w:rsid w:val="00E9059F"/>
    <w:rsid w:val="00E90F23"/>
    <w:rsid w:val="00E96630"/>
    <w:rsid w:val="00EA392B"/>
    <w:rsid w:val="00EA772F"/>
    <w:rsid w:val="00EB18D7"/>
    <w:rsid w:val="00EB30C3"/>
    <w:rsid w:val="00EB5EFC"/>
    <w:rsid w:val="00EB6832"/>
    <w:rsid w:val="00EB70E2"/>
    <w:rsid w:val="00EC5BC7"/>
    <w:rsid w:val="00EC7146"/>
    <w:rsid w:val="00ED6D82"/>
    <w:rsid w:val="00ED7A2A"/>
    <w:rsid w:val="00EE5771"/>
    <w:rsid w:val="00EE639C"/>
    <w:rsid w:val="00EF0B5A"/>
    <w:rsid w:val="00EF1D7F"/>
    <w:rsid w:val="00EF2383"/>
    <w:rsid w:val="00EF497D"/>
    <w:rsid w:val="00EF6834"/>
    <w:rsid w:val="00F14AAA"/>
    <w:rsid w:val="00F16818"/>
    <w:rsid w:val="00F179DE"/>
    <w:rsid w:val="00F20E52"/>
    <w:rsid w:val="00F236CE"/>
    <w:rsid w:val="00F30427"/>
    <w:rsid w:val="00F345D5"/>
    <w:rsid w:val="00F36C76"/>
    <w:rsid w:val="00F3711E"/>
    <w:rsid w:val="00F40E75"/>
    <w:rsid w:val="00F41498"/>
    <w:rsid w:val="00F42066"/>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199B"/>
    <w:rsid w:val="00FD21A9"/>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A794F"/>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1EBB-14DC-4D88-A55B-9ED6A63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881</Words>
  <Characters>5174</Characters>
  <Application>Microsoft Office Word</Application>
  <DocSecurity>0</DocSecurity>
  <Lines>228</Lines>
  <Paragraphs>123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8</cp:revision>
  <cp:lastPrinted>2018-04-09T07:23:00Z</cp:lastPrinted>
  <dcterms:created xsi:type="dcterms:W3CDTF">2018-04-09T06:15:00Z</dcterms:created>
  <dcterms:modified xsi:type="dcterms:W3CDTF">2018-04-09T09:18:00Z</dcterms:modified>
</cp:coreProperties>
</file>