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B62411">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62411" w:rsidP="00B62411">
            <w:pPr>
              <w:jc w:val="right"/>
            </w:pPr>
            <w:r w:rsidRPr="00B62411">
              <w:rPr>
                <w:sz w:val="40"/>
              </w:rPr>
              <w:t>ST</w:t>
            </w:r>
            <w:r>
              <w:t>/SG/AC.10/C.3/2018/51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62411" w:rsidP="00F01738">
            <w:pPr>
              <w:spacing w:before="240"/>
            </w:pPr>
            <w:r>
              <w:t xml:space="preserve">Distr. </w:t>
            </w:r>
            <w:proofErr w:type="gramStart"/>
            <w:r>
              <w:t>générale</w:t>
            </w:r>
            <w:proofErr w:type="gramEnd"/>
          </w:p>
          <w:p w:rsidR="00B62411" w:rsidRDefault="00B62411" w:rsidP="00B62411">
            <w:pPr>
              <w:spacing w:line="240" w:lineRule="exact"/>
            </w:pPr>
            <w:r>
              <w:t>5 avril 2018</w:t>
            </w:r>
          </w:p>
          <w:p w:rsidR="00B62411" w:rsidRDefault="00B62411" w:rsidP="00B62411">
            <w:pPr>
              <w:spacing w:line="240" w:lineRule="exact"/>
            </w:pPr>
            <w:r>
              <w:t>Français</w:t>
            </w:r>
          </w:p>
          <w:p w:rsidR="00B62411" w:rsidRPr="00DB58B5" w:rsidRDefault="00B62411" w:rsidP="00B62411">
            <w:pPr>
              <w:spacing w:line="240" w:lineRule="exact"/>
            </w:pPr>
            <w:r>
              <w:t>Original : anglais</w:t>
            </w:r>
          </w:p>
        </w:tc>
      </w:tr>
    </w:tbl>
    <w:p w:rsidR="00B62411" w:rsidRPr="00CA0680" w:rsidRDefault="00B62411"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B62411" w:rsidRPr="00CA0680" w:rsidRDefault="00B62411" w:rsidP="000305D3">
      <w:pPr>
        <w:spacing w:before="120"/>
        <w:rPr>
          <w:b/>
        </w:rPr>
      </w:pPr>
      <w:r w:rsidRPr="00CA0680">
        <w:rPr>
          <w:b/>
        </w:rPr>
        <w:t>Sous</w:t>
      </w:r>
      <w:r>
        <w:rPr>
          <w:b/>
        </w:rPr>
        <w:t>-</w:t>
      </w:r>
      <w:r w:rsidRPr="00CA0680">
        <w:rPr>
          <w:b/>
        </w:rPr>
        <w:t>Comité d’experts du transport des marchandises dangereuses</w:t>
      </w:r>
    </w:p>
    <w:p w:rsidR="00B62411" w:rsidRDefault="00B62411" w:rsidP="000305D3">
      <w:pPr>
        <w:spacing w:before="120"/>
        <w:rPr>
          <w:b/>
        </w:rPr>
      </w:pPr>
      <w:r>
        <w:rPr>
          <w:b/>
        </w:rPr>
        <w:t xml:space="preserve">Cinquante-troisième </w:t>
      </w:r>
      <w:r w:rsidRPr="00CA0680">
        <w:rPr>
          <w:b/>
        </w:rPr>
        <w:t>session</w:t>
      </w:r>
    </w:p>
    <w:p w:rsidR="00B62411" w:rsidRDefault="00B62411" w:rsidP="000305D3">
      <w:r>
        <w:t>Genève, 25 juin-4 juillet 2018</w:t>
      </w:r>
    </w:p>
    <w:p w:rsidR="00B62411" w:rsidRDefault="00B62411" w:rsidP="000305D3">
      <w:r>
        <w:t>Point 4 e) de l’ordre du jour provisoire</w:t>
      </w:r>
    </w:p>
    <w:p w:rsidR="00B62411" w:rsidRPr="00EF0B4C" w:rsidRDefault="00B62411" w:rsidP="00B62411">
      <w:pPr>
        <w:rPr>
          <w:b/>
          <w:bCs/>
          <w:lang w:val="fr-FR"/>
        </w:rPr>
      </w:pPr>
      <w:r w:rsidRPr="00EF0B4C">
        <w:rPr>
          <w:b/>
          <w:lang w:val="fr-FR"/>
        </w:rPr>
        <w:t>Systèmes de stockage de l</w:t>
      </w:r>
      <w:r>
        <w:rPr>
          <w:b/>
          <w:lang w:val="fr-FR"/>
        </w:rPr>
        <w:t>’</w:t>
      </w:r>
      <w:r w:rsidRPr="00EF0B4C">
        <w:rPr>
          <w:b/>
          <w:lang w:val="fr-FR"/>
        </w:rPr>
        <w:t xml:space="preserve">électricité : </w:t>
      </w:r>
      <w:r w:rsidRPr="00EF0B4C">
        <w:rPr>
          <w:b/>
          <w:bCs/>
          <w:lang w:val="fr-FR"/>
        </w:rPr>
        <w:t>batteries</w:t>
      </w:r>
      <w:r w:rsidRPr="00EF0B4C">
        <w:rPr>
          <w:b/>
          <w:lang w:val="fr-FR"/>
        </w:rPr>
        <w:t xml:space="preserve"> au </w:t>
      </w:r>
      <w:r w:rsidRPr="00EF0B4C">
        <w:rPr>
          <w:b/>
          <w:bCs/>
          <w:lang w:val="fr-FR"/>
        </w:rPr>
        <w:t>sodium ionique</w:t>
      </w:r>
    </w:p>
    <w:p w:rsidR="00B62411" w:rsidRPr="00EF0B4C" w:rsidRDefault="00B62411" w:rsidP="00793DAB">
      <w:pPr>
        <w:pStyle w:val="HChG"/>
        <w:rPr>
          <w:lang w:val="fr-FR"/>
        </w:rPr>
      </w:pPr>
      <w:r w:rsidRPr="00EF0B4C">
        <w:rPr>
          <w:lang w:val="fr-FR"/>
        </w:rPr>
        <w:tab/>
      </w:r>
      <w:r w:rsidRPr="00EF0B4C">
        <w:rPr>
          <w:lang w:val="fr-FR"/>
        </w:rPr>
        <w:tab/>
        <w:t xml:space="preserve">Prescriptions relatives aux piles et batteries au lithium endommagées ou défectueuses dans la disposition </w:t>
      </w:r>
      <w:proofErr w:type="gramStart"/>
      <w:r w:rsidRPr="00EF0B4C">
        <w:rPr>
          <w:lang w:val="fr-FR"/>
        </w:rPr>
        <w:t>spéciale</w:t>
      </w:r>
      <w:proofErr w:type="gramEnd"/>
      <w:r>
        <w:rPr>
          <w:lang w:val="fr-FR"/>
        </w:rPr>
        <w:t> </w:t>
      </w:r>
      <w:r w:rsidRPr="00EF0B4C">
        <w:rPr>
          <w:lang w:val="fr-FR"/>
        </w:rPr>
        <w:t>376</w:t>
      </w:r>
    </w:p>
    <w:p w:rsidR="00B62411" w:rsidRPr="00EF0B4C" w:rsidRDefault="00B62411" w:rsidP="00793DAB">
      <w:pPr>
        <w:pStyle w:val="H1G"/>
        <w:rPr>
          <w:lang w:val="fr-FR"/>
        </w:rPr>
      </w:pPr>
      <w:r w:rsidRPr="00EF0B4C">
        <w:rPr>
          <w:lang w:val="fr-FR"/>
        </w:rPr>
        <w:tab/>
      </w:r>
      <w:r w:rsidRPr="00EF0B4C">
        <w:rPr>
          <w:lang w:val="fr-FR"/>
        </w:rPr>
        <w:tab/>
      </w:r>
      <w:r w:rsidRPr="00A95D60">
        <w:rPr>
          <w:spacing w:val="-2"/>
        </w:rPr>
        <w:t xml:space="preserve">Communication de la </w:t>
      </w:r>
      <w:r w:rsidRPr="00A95D60">
        <w:rPr>
          <w:spacing w:val="-2"/>
          <w:lang w:val="fr-FR"/>
        </w:rPr>
        <w:t>Rechargeable Battery Association (PRBA),</w:t>
      </w:r>
      <w:r w:rsidRPr="00EF0B4C">
        <w:rPr>
          <w:lang w:val="fr-FR"/>
        </w:rPr>
        <w:t xml:space="preserve"> </w:t>
      </w:r>
      <w:r w:rsidR="00D72BC2">
        <w:rPr>
          <w:lang w:val="fr-FR"/>
        </w:rPr>
        <w:br/>
      </w:r>
      <w:r w:rsidRPr="00A95D60">
        <w:rPr>
          <w:spacing w:val="3"/>
          <w:lang w:val="fr-FR"/>
        </w:rPr>
        <w:t xml:space="preserve">du </w:t>
      </w:r>
      <w:proofErr w:type="spellStart"/>
      <w:r w:rsidRPr="00A95D60">
        <w:rPr>
          <w:spacing w:val="3"/>
          <w:lang w:val="fr-FR"/>
        </w:rPr>
        <w:t>Medical</w:t>
      </w:r>
      <w:proofErr w:type="spellEnd"/>
      <w:r w:rsidRPr="00A95D60">
        <w:rPr>
          <w:spacing w:val="3"/>
          <w:lang w:val="fr-FR"/>
        </w:rPr>
        <w:t xml:space="preserve"> </w:t>
      </w:r>
      <w:proofErr w:type="spellStart"/>
      <w:r w:rsidRPr="00A95D60">
        <w:rPr>
          <w:spacing w:val="3"/>
          <w:lang w:val="fr-FR"/>
        </w:rPr>
        <w:t>Device</w:t>
      </w:r>
      <w:proofErr w:type="spellEnd"/>
      <w:r w:rsidRPr="00A95D60">
        <w:rPr>
          <w:spacing w:val="3"/>
          <w:lang w:val="fr-FR"/>
        </w:rPr>
        <w:t xml:space="preserve"> Battery Trade Council (MDBTC), </w:t>
      </w:r>
      <w:r w:rsidR="00D72BC2" w:rsidRPr="00A95D60">
        <w:rPr>
          <w:spacing w:val="3"/>
          <w:lang w:val="fr-FR"/>
        </w:rPr>
        <w:br/>
      </w:r>
      <w:r w:rsidRPr="00A95D60">
        <w:rPr>
          <w:spacing w:val="3"/>
          <w:lang w:val="fr-FR"/>
        </w:rPr>
        <w:t xml:space="preserve">et de l’Advanced Rechargeable &amp; Lithium Batteries </w:t>
      </w:r>
      <w:r w:rsidR="00D72BC2" w:rsidRPr="00A95D60">
        <w:rPr>
          <w:spacing w:val="3"/>
          <w:lang w:val="fr-FR"/>
        </w:rPr>
        <w:br/>
      </w:r>
      <w:r w:rsidRPr="00A95D60">
        <w:rPr>
          <w:spacing w:val="3"/>
          <w:lang w:val="fr-FR"/>
        </w:rPr>
        <w:t>Association (RECHARGE)</w:t>
      </w:r>
      <w:r w:rsidR="00793DAB" w:rsidRPr="00A95D60">
        <w:rPr>
          <w:rStyle w:val="FootnoteReference"/>
          <w:b w:val="0"/>
          <w:spacing w:val="3"/>
          <w:sz w:val="20"/>
          <w:vertAlign w:val="baseline"/>
        </w:rPr>
        <w:footnoteReference w:customMarkFollows="1" w:id="2"/>
        <w:t>*</w:t>
      </w:r>
    </w:p>
    <w:p w:rsidR="00B62411" w:rsidRPr="00EF0B4C" w:rsidRDefault="00B62411" w:rsidP="00793DAB">
      <w:pPr>
        <w:pStyle w:val="HChG"/>
        <w:rPr>
          <w:lang w:val="fr-FR"/>
        </w:rPr>
      </w:pPr>
      <w:r w:rsidRPr="00EF0B4C">
        <w:rPr>
          <w:lang w:val="fr-FR"/>
        </w:rPr>
        <w:tab/>
      </w:r>
      <w:r w:rsidRPr="00EF0B4C">
        <w:rPr>
          <w:lang w:val="fr-FR"/>
        </w:rPr>
        <w:tab/>
        <w:t>Introduction</w:t>
      </w:r>
    </w:p>
    <w:p w:rsidR="00B62411" w:rsidRPr="00EF0B4C" w:rsidRDefault="00793DAB" w:rsidP="00793DAB">
      <w:pPr>
        <w:pStyle w:val="SingleTxtG"/>
        <w:rPr>
          <w:lang w:val="fr-FR"/>
        </w:rPr>
      </w:pPr>
      <w:r>
        <w:rPr>
          <w:lang w:val="fr-FR"/>
        </w:rPr>
        <w:t>1.</w:t>
      </w:r>
      <w:r>
        <w:rPr>
          <w:lang w:val="fr-FR"/>
        </w:rPr>
        <w:tab/>
      </w:r>
      <w:r w:rsidR="00B62411" w:rsidRPr="00EF0B4C">
        <w:rPr>
          <w:lang w:val="fr-FR"/>
        </w:rPr>
        <w:t>Au cours des dernières sessions du Sous-Comité ont été examinées les questions liées au transport et à la définition des piles et batteries au lithium endommagées ou défectueuses. Ces questions ont également été abordées lors de la vingt-sixième réunion du Groupe d</w:t>
      </w:r>
      <w:r w:rsidR="00B62411">
        <w:rPr>
          <w:lang w:val="fr-FR"/>
        </w:rPr>
        <w:t>’</w:t>
      </w:r>
      <w:r w:rsidR="00B62411" w:rsidRPr="00EF0B4C">
        <w:rPr>
          <w:lang w:val="fr-FR"/>
        </w:rPr>
        <w:t>experts des marchandises dangereuses de l</w:t>
      </w:r>
      <w:r w:rsidR="00B62411">
        <w:rPr>
          <w:lang w:val="fr-FR"/>
        </w:rPr>
        <w:t>’</w:t>
      </w:r>
      <w:r w:rsidR="00B62411" w:rsidRPr="00EF0B4C">
        <w:rPr>
          <w:lang w:val="fr-FR"/>
        </w:rPr>
        <w:t>O</w:t>
      </w:r>
      <w:r w:rsidR="00B62411">
        <w:rPr>
          <w:lang w:val="fr-FR"/>
        </w:rPr>
        <w:t>rganisation de l’aviation civile internationale</w:t>
      </w:r>
      <w:r w:rsidR="00B62411" w:rsidRPr="00EF0B4C">
        <w:rPr>
          <w:lang w:val="fr-FR"/>
        </w:rPr>
        <w:t xml:space="preserve"> </w:t>
      </w:r>
      <w:r w:rsidR="00B62411">
        <w:rPr>
          <w:lang w:val="fr-FR"/>
        </w:rPr>
        <w:t xml:space="preserve">(OACI) </w:t>
      </w:r>
      <w:r w:rsidR="00B62411" w:rsidRPr="00EF0B4C">
        <w:rPr>
          <w:lang w:val="fr-FR"/>
        </w:rPr>
        <w:t>en octobre 2017, ce qui a conduit à l</w:t>
      </w:r>
      <w:r w:rsidR="00B62411">
        <w:rPr>
          <w:lang w:val="fr-FR"/>
        </w:rPr>
        <w:t>’</w:t>
      </w:r>
      <w:r w:rsidR="00B62411" w:rsidRPr="00EF0B4C">
        <w:rPr>
          <w:lang w:val="fr-FR"/>
        </w:rPr>
        <w:t>adoption d</w:t>
      </w:r>
      <w:r w:rsidR="00B62411">
        <w:rPr>
          <w:lang w:val="fr-FR"/>
        </w:rPr>
        <w:t>’</w:t>
      </w:r>
      <w:r w:rsidR="00B62411" w:rsidRPr="00EF0B4C">
        <w:rPr>
          <w:lang w:val="fr-FR"/>
        </w:rPr>
        <w:t xml:space="preserve">amendements aux </w:t>
      </w:r>
      <w:r w:rsidR="00B62411">
        <w:rPr>
          <w:lang w:val="fr-FR"/>
        </w:rPr>
        <w:t>i</w:t>
      </w:r>
      <w:r w:rsidR="00B62411" w:rsidRPr="00EF0B4C">
        <w:rPr>
          <w:lang w:val="fr-FR"/>
        </w:rPr>
        <w:t>nstructions techniques de l</w:t>
      </w:r>
      <w:r w:rsidR="00B62411">
        <w:rPr>
          <w:lang w:val="fr-FR"/>
        </w:rPr>
        <w:t>’</w:t>
      </w:r>
      <w:r w:rsidR="00B62411" w:rsidRPr="00EF0B4C">
        <w:rPr>
          <w:lang w:val="fr-FR"/>
        </w:rPr>
        <w:t>OACI sur la base d</w:t>
      </w:r>
      <w:r w:rsidR="00B62411">
        <w:rPr>
          <w:lang w:val="fr-FR"/>
        </w:rPr>
        <w:t>’</w:t>
      </w:r>
      <w:r w:rsidR="00B62411" w:rsidRPr="00EF0B4C">
        <w:rPr>
          <w:lang w:val="fr-FR"/>
        </w:rPr>
        <w:t>une proposition soumise par le membre australien du Groupe d</w:t>
      </w:r>
      <w:r w:rsidR="00B62411">
        <w:rPr>
          <w:lang w:val="fr-FR"/>
        </w:rPr>
        <w:t>’</w:t>
      </w:r>
      <w:r w:rsidR="00B62411" w:rsidRPr="00EF0B4C">
        <w:rPr>
          <w:lang w:val="fr-FR"/>
        </w:rPr>
        <w:t>experts. Les modifications convenues par le Groupe d</w:t>
      </w:r>
      <w:r w:rsidR="00B62411">
        <w:rPr>
          <w:lang w:val="fr-FR"/>
        </w:rPr>
        <w:t>’</w:t>
      </w:r>
      <w:r w:rsidR="00B62411" w:rsidRPr="00EF0B4C">
        <w:rPr>
          <w:lang w:val="fr-FR"/>
        </w:rPr>
        <w:t xml:space="preserve">experts ont contribué à préciser la disposition spéciale A154 des </w:t>
      </w:r>
      <w:r w:rsidR="00B62411">
        <w:rPr>
          <w:lang w:val="fr-FR"/>
        </w:rPr>
        <w:t>i</w:t>
      </w:r>
      <w:r w:rsidR="00B62411" w:rsidRPr="00EF0B4C">
        <w:rPr>
          <w:lang w:val="fr-FR"/>
        </w:rPr>
        <w:t xml:space="preserve">nstructions techniques en </w:t>
      </w:r>
      <w:r w:rsidR="00B62411">
        <w:rPr>
          <w:lang w:val="fr-FR"/>
        </w:rPr>
        <w:t>y ajoutant</w:t>
      </w:r>
      <w:r w:rsidR="00B62411" w:rsidRPr="00EF0B4C">
        <w:rPr>
          <w:lang w:val="fr-FR"/>
        </w:rPr>
        <w:t xml:space="preserve"> un texte qui traite des piles ou batteries qui ne peuvent pas être diagnostiquées comme endommagées ou défectueuses avant le transport</w:t>
      </w:r>
      <w:r w:rsidR="00B62411">
        <w:rPr>
          <w:lang w:val="fr-FR"/>
        </w:rPr>
        <w:t>.</w:t>
      </w:r>
    </w:p>
    <w:p w:rsidR="00B62411" w:rsidRPr="00EF0B4C" w:rsidRDefault="00793DAB" w:rsidP="00793DAB">
      <w:pPr>
        <w:pStyle w:val="SingleTxtG"/>
        <w:rPr>
          <w:lang w:val="fr-FR"/>
        </w:rPr>
      </w:pPr>
      <w:r>
        <w:rPr>
          <w:lang w:val="fr-FR"/>
        </w:rPr>
        <w:t>2.</w:t>
      </w:r>
      <w:r>
        <w:rPr>
          <w:lang w:val="fr-FR"/>
        </w:rPr>
        <w:tab/>
      </w:r>
      <w:r w:rsidR="00B62411" w:rsidRPr="00EF0B4C">
        <w:rPr>
          <w:lang w:val="fr-FR"/>
        </w:rPr>
        <w:t>Il est généralement admis que les prescriptions de la disposition s</w:t>
      </w:r>
      <w:r>
        <w:rPr>
          <w:lang w:val="fr-FR"/>
        </w:rPr>
        <w:t>péciale </w:t>
      </w:r>
      <w:r w:rsidR="00B62411" w:rsidRPr="00EF0B4C">
        <w:rPr>
          <w:lang w:val="fr-FR"/>
        </w:rPr>
        <w:t xml:space="preserve">376 du Règlement type ne prévoient pas de manière adéquate certains </w:t>
      </w:r>
      <w:r w:rsidR="00B62411">
        <w:rPr>
          <w:lang w:val="fr-FR"/>
        </w:rPr>
        <w:t>cas</w:t>
      </w:r>
      <w:r w:rsidR="00B62411" w:rsidRPr="00EF0B4C">
        <w:rPr>
          <w:lang w:val="fr-FR"/>
        </w:rPr>
        <w:t xml:space="preserve"> impliquant le transport de batteries au lithium endommagées ou défectueuses,</w:t>
      </w:r>
      <w:r w:rsidR="00B62411">
        <w:rPr>
          <w:lang w:val="fr-FR"/>
        </w:rPr>
        <w:t xml:space="preserve"> ce qui</w:t>
      </w:r>
      <w:r w:rsidR="00B62411" w:rsidRPr="00EF0B4C">
        <w:rPr>
          <w:lang w:val="fr-FR"/>
        </w:rPr>
        <w:t xml:space="preserve"> entraîn</w:t>
      </w:r>
      <w:r w:rsidR="00B62411">
        <w:rPr>
          <w:lang w:val="fr-FR"/>
        </w:rPr>
        <w:t>e parfois</w:t>
      </w:r>
      <w:r w:rsidR="00B62411" w:rsidRPr="00EF0B4C">
        <w:rPr>
          <w:lang w:val="fr-FR"/>
        </w:rPr>
        <w:t xml:space="preserve"> une certaine confusion </w:t>
      </w:r>
      <w:r w:rsidR="00B62411">
        <w:rPr>
          <w:lang w:val="fr-FR"/>
        </w:rPr>
        <w:t>de la part d</w:t>
      </w:r>
      <w:r w:rsidR="00B62411" w:rsidRPr="00EF0B4C">
        <w:rPr>
          <w:lang w:val="fr-FR"/>
        </w:rPr>
        <w:t xml:space="preserve">es expéditeurs et </w:t>
      </w:r>
      <w:r w:rsidR="00B62411">
        <w:rPr>
          <w:lang w:val="fr-FR"/>
        </w:rPr>
        <w:t>d</w:t>
      </w:r>
      <w:r w:rsidR="00B62411" w:rsidRPr="00EF0B4C">
        <w:rPr>
          <w:lang w:val="fr-FR"/>
        </w:rPr>
        <w:t xml:space="preserve">es transporteurs. Les </w:t>
      </w:r>
      <w:r w:rsidR="00B62411">
        <w:rPr>
          <w:lang w:val="fr-FR"/>
        </w:rPr>
        <w:t>modifications qu’il est</w:t>
      </w:r>
      <w:r w:rsidR="00B62411" w:rsidRPr="00EF0B4C">
        <w:rPr>
          <w:lang w:val="fr-FR"/>
        </w:rPr>
        <w:t xml:space="preserve"> proposé</w:t>
      </w:r>
      <w:r w:rsidR="00B62411">
        <w:rPr>
          <w:lang w:val="fr-FR"/>
        </w:rPr>
        <w:t xml:space="preserve"> d’apporter </w:t>
      </w:r>
      <w:r w:rsidR="00B62411" w:rsidRPr="00EF0B4C">
        <w:rPr>
          <w:lang w:val="fr-FR"/>
        </w:rPr>
        <w:t>à la disposition spéciale</w:t>
      </w:r>
      <w:r>
        <w:rPr>
          <w:lang w:val="fr-FR"/>
        </w:rPr>
        <w:t> </w:t>
      </w:r>
      <w:r w:rsidR="00B62411" w:rsidRPr="00EF0B4C">
        <w:rPr>
          <w:lang w:val="fr-FR"/>
        </w:rPr>
        <w:t xml:space="preserve">376 dans le présent document visent à traiter ce qui est devenu un </w:t>
      </w:r>
      <w:r w:rsidR="00B62411">
        <w:rPr>
          <w:lang w:val="fr-FR"/>
        </w:rPr>
        <w:t>cas</w:t>
      </w:r>
      <w:r w:rsidR="00B62411" w:rsidRPr="00EF0B4C">
        <w:rPr>
          <w:lang w:val="fr-FR"/>
        </w:rPr>
        <w:t xml:space="preserve"> très courant auquel sont confrontés les expéditeurs de batteries au lithium endommagées ou défectueuses : le transport de piles, de batteries ou d</w:t>
      </w:r>
      <w:r w:rsidR="00B62411">
        <w:rPr>
          <w:lang w:val="fr-FR"/>
        </w:rPr>
        <w:t>’</w:t>
      </w:r>
      <w:r w:rsidR="00B62411" w:rsidRPr="00EF0B4C">
        <w:rPr>
          <w:lang w:val="fr-FR"/>
        </w:rPr>
        <w:t xml:space="preserve">équipements contenant </w:t>
      </w:r>
      <w:r w:rsidR="00B62411" w:rsidRPr="00EF0B4C">
        <w:rPr>
          <w:lang w:val="fr-FR"/>
        </w:rPr>
        <w:lastRenderedPageBreak/>
        <w:t>des piles ou des batteries qui ont été endommagées mais qui ne présentent pas de risque supplémentaire au cours du transport.</w:t>
      </w:r>
    </w:p>
    <w:p w:rsidR="00B62411" w:rsidRPr="00EF0B4C" w:rsidRDefault="00793DAB" w:rsidP="00793DAB">
      <w:pPr>
        <w:pStyle w:val="SingleTxtG"/>
        <w:rPr>
          <w:lang w:val="fr-FR"/>
        </w:rPr>
      </w:pPr>
      <w:r>
        <w:rPr>
          <w:lang w:val="fr-FR"/>
        </w:rPr>
        <w:t>3.</w:t>
      </w:r>
      <w:r>
        <w:rPr>
          <w:lang w:val="fr-FR"/>
        </w:rPr>
        <w:tab/>
      </w:r>
      <w:r w:rsidR="00B62411" w:rsidRPr="00EF0B4C">
        <w:rPr>
          <w:lang w:val="fr-FR"/>
        </w:rPr>
        <w:t>La disposition spéciale 376 et les instructions d</w:t>
      </w:r>
      <w:r w:rsidR="00B62411">
        <w:rPr>
          <w:lang w:val="fr-FR"/>
        </w:rPr>
        <w:t>’</w:t>
      </w:r>
      <w:r w:rsidR="00B62411" w:rsidRPr="00EF0B4C">
        <w:rPr>
          <w:lang w:val="fr-FR"/>
        </w:rPr>
        <w:t>emballage applicables (à savoir P908</w:t>
      </w:r>
      <w:r w:rsidR="00B62411">
        <w:rPr>
          <w:lang w:val="fr-FR"/>
        </w:rPr>
        <w:t xml:space="preserve"> et</w:t>
      </w:r>
      <w:r w:rsidR="00B62411" w:rsidRPr="00EF0B4C">
        <w:rPr>
          <w:lang w:val="fr-FR"/>
        </w:rPr>
        <w:t xml:space="preserve"> P911) pour le transport de batteries au lithium endommagées ou défectueuses prévoient les </w:t>
      </w:r>
      <w:r w:rsidR="00B62411">
        <w:rPr>
          <w:lang w:val="fr-FR"/>
        </w:rPr>
        <w:t>cas</w:t>
      </w:r>
      <w:r w:rsidR="00B62411" w:rsidRPr="00EF0B4C">
        <w:rPr>
          <w:lang w:val="fr-FR"/>
        </w:rPr>
        <w:t xml:space="preserve"> suivants</w:t>
      </w:r>
      <w:r>
        <w:rPr>
          <w:lang w:val="fr-FR"/>
        </w:rPr>
        <w:t> </w:t>
      </w:r>
      <w:r w:rsidR="00B62411" w:rsidRPr="00EF0B4C">
        <w:rPr>
          <w:lang w:val="fr-FR"/>
        </w:rPr>
        <w:t>:</w:t>
      </w:r>
    </w:p>
    <w:p w:rsidR="00793DAB" w:rsidRDefault="00B62411" w:rsidP="00793DAB">
      <w:pPr>
        <w:pStyle w:val="SingleTxtG"/>
        <w:ind w:firstLine="567"/>
        <w:rPr>
          <w:lang w:val="fr-FR"/>
        </w:rPr>
      </w:pPr>
      <w:r w:rsidRPr="00EF0B4C">
        <w:rPr>
          <w:lang w:val="fr-FR"/>
        </w:rPr>
        <w:t>a)</w:t>
      </w:r>
      <w:r w:rsidRPr="00EF0B4C">
        <w:rPr>
          <w:lang w:val="fr-FR"/>
        </w:rPr>
        <w:tab/>
        <w:t xml:space="preserve">Une batterie au lithium est endommagée ou défectueuse parce que </w:t>
      </w:r>
      <w:r>
        <w:rPr>
          <w:lang w:val="fr-FR"/>
        </w:rPr>
        <w:t>s</w:t>
      </w:r>
      <w:r w:rsidRPr="00EF0B4C">
        <w:rPr>
          <w:lang w:val="fr-FR"/>
        </w:rPr>
        <w:t xml:space="preserve">es dispositifs de sécurité peuvent avoir été endommagés, mais </w:t>
      </w:r>
      <w:r>
        <w:rPr>
          <w:lang w:val="fr-FR"/>
        </w:rPr>
        <w:t xml:space="preserve">elle </w:t>
      </w:r>
      <w:r w:rsidRPr="00EF0B4C">
        <w:rPr>
          <w:lang w:val="fr-FR"/>
        </w:rPr>
        <w:t>n</w:t>
      </w:r>
      <w:r>
        <w:rPr>
          <w:lang w:val="fr-FR"/>
        </w:rPr>
        <w:t>’</w:t>
      </w:r>
      <w:r w:rsidRPr="00EF0B4C">
        <w:rPr>
          <w:lang w:val="fr-FR"/>
        </w:rPr>
        <w:t xml:space="preserve">est pas susceptible de réagir pendant le transport. La batterie conserve </w:t>
      </w:r>
      <w:r>
        <w:rPr>
          <w:lang w:val="fr-FR"/>
        </w:rPr>
        <w:t>un</w:t>
      </w:r>
      <w:r w:rsidRPr="00EF0B4C">
        <w:rPr>
          <w:lang w:val="fr-FR"/>
        </w:rPr>
        <w:t xml:space="preserve"> état, </w:t>
      </w:r>
      <w:r>
        <w:rPr>
          <w:lang w:val="fr-FR"/>
        </w:rPr>
        <w:t>une</w:t>
      </w:r>
      <w:r w:rsidRPr="00EF0B4C">
        <w:rPr>
          <w:lang w:val="fr-FR"/>
        </w:rPr>
        <w:t xml:space="preserve"> charge ou </w:t>
      </w:r>
      <w:r>
        <w:rPr>
          <w:lang w:val="fr-FR"/>
        </w:rPr>
        <w:t>une</w:t>
      </w:r>
      <w:r w:rsidRPr="00EF0B4C">
        <w:rPr>
          <w:lang w:val="fr-FR"/>
        </w:rPr>
        <w:t xml:space="preserve"> tension. Ce </w:t>
      </w:r>
      <w:r>
        <w:rPr>
          <w:lang w:val="fr-FR"/>
        </w:rPr>
        <w:t>cas</w:t>
      </w:r>
      <w:r w:rsidRPr="00EF0B4C">
        <w:rPr>
          <w:lang w:val="fr-FR"/>
        </w:rPr>
        <w:t xml:space="preserve"> présente un danger particulier, différent de celui qui existait lorsque la batterie a été fabriquée et transportée pour la première fois. La batterie est donc admise au transport à condition qu</w:t>
      </w:r>
      <w:r>
        <w:rPr>
          <w:lang w:val="fr-FR"/>
        </w:rPr>
        <w:t>’</w:t>
      </w:r>
      <w:r w:rsidRPr="00EF0B4C">
        <w:rPr>
          <w:lang w:val="fr-FR"/>
        </w:rPr>
        <w:t>elle soit emballée conformément à l</w:t>
      </w:r>
      <w:r>
        <w:rPr>
          <w:lang w:val="fr-FR"/>
        </w:rPr>
        <w:t>’</w:t>
      </w:r>
      <w:r w:rsidRPr="00EF0B4C">
        <w:rPr>
          <w:lang w:val="fr-FR"/>
        </w:rPr>
        <w:t>instruction d</w:t>
      </w:r>
      <w:r>
        <w:rPr>
          <w:lang w:val="fr-FR"/>
        </w:rPr>
        <w:t>’</w:t>
      </w:r>
      <w:r w:rsidRPr="00EF0B4C">
        <w:rPr>
          <w:lang w:val="fr-FR"/>
        </w:rPr>
        <w:t>emballage P908 ;</w:t>
      </w:r>
    </w:p>
    <w:p w:rsidR="00B62411" w:rsidRPr="00EF0B4C" w:rsidRDefault="00B62411" w:rsidP="00793DAB">
      <w:pPr>
        <w:pStyle w:val="SingleTxtG"/>
        <w:ind w:firstLine="567"/>
        <w:rPr>
          <w:lang w:val="fr-FR"/>
        </w:rPr>
      </w:pPr>
      <w:r w:rsidRPr="00EF0B4C">
        <w:rPr>
          <w:lang w:val="fr-FR"/>
        </w:rPr>
        <w:t>b)</w:t>
      </w:r>
      <w:r w:rsidRPr="00EF0B4C">
        <w:rPr>
          <w:lang w:val="fr-FR"/>
        </w:rPr>
        <w:tab/>
        <w:t xml:space="preserve">Une batterie au lithium est endommagée ou défectueuse et est susceptible de réagir. </w:t>
      </w:r>
      <w:r>
        <w:rPr>
          <w:lang w:val="fr-FR"/>
        </w:rPr>
        <w:t xml:space="preserve">Elle </w:t>
      </w:r>
      <w:r w:rsidRPr="00EF0B4C">
        <w:rPr>
          <w:lang w:val="fr-FR"/>
        </w:rPr>
        <w:t>est admise au transport à condition qu</w:t>
      </w:r>
      <w:r>
        <w:rPr>
          <w:lang w:val="fr-FR"/>
        </w:rPr>
        <w:t>’</w:t>
      </w:r>
      <w:r w:rsidRPr="00EF0B4C">
        <w:rPr>
          <w:lang w:val="fr-FR"/>
        </w:rPr>
        <w:t>elle soit emballée conformément à l</w:t>
      </w:r>
      <w:r>
        <w:rPr>
          <w:lang w:val="fr-FR"/>
        </w:rPr>
        <w:t>’</w:t>
      </w:r>
      <w:r w:rsidRPr="00EF0B4C">
        <w:rPr>
          <w:lang w:val="fr-FR"/>
        </w:rPr>
        <w:t>instruction d</w:t>
      </w:r>
      <w:r>
        <w:rPr>
          <w:lang w:val="fr-FR"/>
        </w:rPr>
        <w:t>’</w:t>
      </w:r>
      <w:r w:rsidRPr="00EF0B4C">
        <w:rPr>
          <w:lang w:val="fr-FR"/>
        </w:rPr>
        <w:t>emballage P911 ou sous réserve de l</w:t>
      </w:r>
      <w:r>
        <w:rPr>
          <w:lang w:val="fr-FR"/>
        </w:rPr>
        <w:t>’</w:t>
      </w:r>
      <w:r w:rsidRPr="00EF0B4C">
        <w:rPr>
          <w:lang w:val="fr-FR"/>
        </w:rPr>
        <w:t>approbation d</w:t>
      </w:r>
      <w:r>
        <w:rPr>
          <w:lang w:val="fr-FR"/>
        </w:rPr>
        <w:t>’</w:t>
      </w:r>
      <w:r w:rsidRPr="00EF0B4C">
        <w:rPr>
          <w:lang w:val="fr-FR"/>
        </w:rPr>
        <w:t>une autorité compétente.</w:t>
      </w:r>
    </w:p>
    <w:p w:rsidR="00B62411" w:rsidRPr="00EF0B4C" w:rsidRDefault="00793DAB" w:rsidP="00793DAB">
      <w:pPr>
        <w:pStyle w:val="SingleTxtG"/>
        <w:rPr>
          <w:lang w:val="fr-FR"/>
        </w:rPr>
      </w:pPr>
      <w:r>
        <w:rPr>
          <w:lang w:val="fr-FR"/>
        </w:rPr>
        <w:t>4.</w:t>
      </w:r>
      <w:r>
        <w:rPr>
          <w:lang w:val="fr-FR"/>
        </w:rPr>
        <w:tab/>
      </w:r>
      <w:r w:rsidR="00B62411" w:rsidRPr="00EF0B4C">
        <w:rPr>
          <w:lang w:val="fr-FR"/>
        </w:rPr>
        <w:t xml:space="preserve">Les modifications proposées dans le présent document </w:t>
      </w:r>
      <w:r w:rsidR="00B62411">
        <w:rPr>
          <w:lang w:val="fr-FR"/>
        </w:rPr>
        <w:t>de</w:t>
      </w:r>
      <w:r w:rsidR="00B62411" w:rsidRPr="00EF0B4C">
        <w:rPr>
          <w:lang w:val="fr-FR"/>
        </w:rPr>
        <w:t xml:space="preserve"> la disposition spéciale</w:t>
      </w:r>
      <w:r>
        <w:rPr>
          <w:lang w:val="fr-FR"/>
        </w:rPr>
        <w:t> </w:t>
      </w:r>
      <w:r w:rsidR="00B62411" w:rsidRPr="00EF0B4C">
        <w:rPr>
          <w:lang w:val="fr-FR"/>
        </w:rPr>
        <w:t>376 et les nouveaux Notas prévoi</w:t>
      </w:r>
      <w:r w:rsidR="00B62411">
        <w:rPr>
          <w:lang w:val="fr-FR"/>
        </w:rPr>
        <w:t>e</w:t>
      </w:r>
      <w:r w:rsidR="00B62411" w:rsidRPr="00EF0B4C">
        <w:rPr>
          <w:lang w:val="fr-FR"/>
        </w:rPr>
        <w:t>nt des scénarios différents, mais très courants, puis les deux énumérés ci-dessus. Il est proposé d</w:t>
      </w:r>
      <w:r w:rsidR="00B62411">
        <w:rPr>
          <w:lang w:val="fr-FR"/>
        </w:rPr>
        <w:t>’</w:t>
      </w:r>
      <w:r w:rsidR="00B62411" w:rsidRPr="00EF0B4C">
        <w:rPr>
          <w:lang w:val="fr-FR"/>
        </w:rPr>
        <w:t>envisager les scénarios suivants</w:t>
      </w:r>
      <w:r>
        <w:rPr>
          <w:lang w:val="fr-FR"/>
        </w:rPr>
        <w:t> :</w:t>
      </w:r>
    </w:p>
    <w:p w:rsidR="00793DAB" w:rsidRDefault="00B62411" w:rsidP="00793DAB">
      <w:pPr>
        <w:pStyle w:val="SingleTxtG"/>
        <w:ind w:firstLine="567"/>
        <w:rPr>
          <w:lang w:val="fr-FR"/>
        </w:rPr>
      </w:pPr>
      <w:r w:rsidRPr="00EF0B4C">
        <w:rPr>
          <w:lang w:val="fr-FR"/>
        </w:rPr>
        <w:t>a)</w:t>
      </w:r>
      <w:r w:rsidRPr="00EF0B4C">
        <w:rPr>
          <w:lang w:val="fr-FR"/>
        </w:rPr>
        <w:tab/>
        <w:t xml:space="preserve">Une pile ou une batterie est endommagée ou défectueuse, mais ne présente aucun danger supplémentaire pendant le transport. </w:t>
      </w:r>
      <w:r>
        <w:rPr>
          <w:lang w:val="fr-FR"/>
        </w:rPr>
        <w:t>P</w:t>
      </w:r>
      <w:r w:rsidRPr="00EF0B4C">
        <w:rPr>
          <w:lang w:val="fr-FR"/>
        </w:rPr>
        <w:t>ar exemple, une batterie qui a subi un échauffement et qui a réagi complètement (par exemple</w:t>
      </w:r>
      <w:r>
        <w:rPr>
          <w:lang w:val="fr-FR"/>
        </w:rPr>
        <w:t xml:space="preserve"> si</w:t>
      </w:r>
      <w:r w:rsidRPr="00EF0B4C">
        <w:rPr>
          <w:lang w:val="fr-FR"/>
        </w:rPr>
        <w:t xml:space="preserve"> </w:t>
      </w:r>
      <w:r>
        <w:rPr>
          <w:lang w:val="fr-FR"/>
        </w:rPr>
        <w:t>elle</w:t>
      </w:r>
      <w:r w:rsidRPr="00EF0B4C">
        <w:rPr>
          <w:lang w:val="fr-FR"/>
        </w:rPr>
        <w:t xml:space="preserve"> n</w:t>
      </w:r>
      <w:r>
        <w:rPr>
          <w:lang w:val="fr-FR"/>
        </w:rPr>
        <w:t>e</w:t>
      </w:r>
      <w:r w:rsidRPr="00EF0B4C">
        <w:rPr>
          <w:lang w:val="fr-FR"/>
        </w:rPr>
        <w:t xml:space="preserve"> </w:t>
      </w:r>
      <w:r>
        <w:rPr>
          <w:lang w:val="fr-FR"/>
        </w:rPr>
        <w:t xml:space="preserve">présente pas </w:t>
      </w:r>
      <w:r w:rsidRPr="00EF0B4C">
        <w:rPr>
          <w:lang w:val="fr-FR"/>
        </w:rPr>
        <w:t>de tension ou d</w:t>
      </w:r>
      <w:r>
        <w:rPr>
          <w:lang w:val="fr-FR"/>
        </w:rPr>
        <w:t>’</w:t>
      </w:r>
      <w:r w:rsidRPr="00EF0B4C">
        <w:rPr>
          <w:lang w:val="fr-FR"/>
        </w:rPr>
        <w:t>énergie résiduelle</w:t>
      </w:r>
      <w:r>
        <w:rPr>
          <w:lang w:val="fr-FR"/>
        </w:rPr>
        <w:t>s</w:t>
      </w:r>
      <w:r w:rsidRPr="00EF0B4C">
        <w:rPr>
          <w:lang w:val="fr-FR"/>
        </w:rPr>
        <w:t xml:space="preserve">, </w:t>
      </w:r>
      <w:r>
        <w:rPr>
          <w:lang w:val="fr-FR"/>
        </w:rPr>
        <w:t>ni ne conserve</w:t>
      </w:r>
      <w:r w:rsidRPr="00EF0B4C">
        <w:rPr>
          <w:lang w:val="fr-FR"/>
        </w:rPr>
        <w:t xml:space="preserve"> </w:t>
      </w:r>
      <w:r>
        <w:rPr>
          <w:lang w:val="fr-FR"/>
        </w:rPr>
        <w:t xml:space="preserve">de reste </w:t>
      </w:r>
      <w:r w:rsidRPr="00EF0B4C">
        <w:rPr>
          <w:lang w:val="fr-FR"/>
        </w:rPr>
        <w:t>d</w:t>
      </w:r>
      <w:r>
        <w:rPr>
          <w:lang w:val="fr-FR"/>
        </w:rPr>
        <w:t>’</w:t>
      </w:r>
      <w:r w:rsidRPr="00EF0B4C">
        <w:rPr>
          <w:lang w:val="fr-FR"/>
        </w:rPr>
        <w:t>électrolyte) ne devrait pas avoir à être transportée conformément aux instructions d</w:t>
      </w:r>
      <w:r>
        <w:rPr>
          <w:lang w:val="fr-FR"/>
        </w:rPr>
        <w:t>’</w:t>
      </w:r>
      <w:r w:rsidRPr="00EF0B4C">
        <w:rPr>
          <w:lang w:val="fr-FR"/>
        </w:rPr>
        <w:t>emballage P903, P908 ou P911</w:t>
      </w:r>
      <w:r w:rsidR="00793DAB">
        <w:rPr>
          <w:lang w:val="fr-FR"/>
        </w:rPr>
        <w:t> </w:t>
      </w:r>
      <w:r w:rsidRPr="00EF0B4C">
        <w:rPr>
          <w:lang w:val="fr-FR"/>
        </w:rPr>
        <w:t xml:space="preserve">; </w:t>
      </w:r>
      <w:proofErr w:type="gramStart"/>
      <w:r w:rsidRPr="00EF0B4C">
        <w:rPr>
          <w:lang w:val="fr-FR"/>
        </w:rPr>
        <w:t>ou</w:t>
      </w:r>
      <w:proofErr w:type="gramEnd"/>
    </w:p>
    <w:p w:rsidR="00B62411" w:rsidRPr="00EF0B4C" w:rsidRDefault="00B62411" w:rsidP="00793DAB">
      <w:pPr>
        <w:pStyle w:val="SingleTxtG"/>
        <w:ind w:firstLine="567"/>
        <w:rPr>
          <w:lang w:val="fr-FR"/>
        </w:rPr>
      </w:pPr>
      <w:r w:rsidRPr="00EF0B4C">
        <w:rPr>
          <w:lang w:val="fr-FR"/>
        </w:rPr>
        <w:t>b)</w:t>
      </w:r>
      <w:r w:rsidRPr="00EF0B4C">
        <w:rPr>
          <w:lang w:val="fr-FR"/>
        </w:rPr>
        <w:tab/>
        <w:t>La batterie est endommagée mais n</w:t>
      </w:r>
      <w:r>
        <w:rPr>
          <w:lang w:val="fr-FR"/>
        </w:rPr>
        <w:t>’</w:t>
      </w:r>
      <w:r w:rsidRPr="00EF0B4C">
        <w:rPr>
          <w:lang w:val="fr-FR"/>
        </w:rPr>
        <w:t>est pas considérée comme présentant un danger supplémentaire parce que les dommages n</w:t>
      </w:r>
      <w:r>
        <w:rPr>
          <w:lang w:val="fr-FR"/>
        </w:rPr>
        <w:t>’</w:t>
      </w:r>
      <w:r w:rsidRPr="00EF0B4C">
        <w:rPr>
          <w:lang w:val="fr-FR"/>
        </w:rPr>
        <w:t xml:space="preserve">ont pas affecté </w:t>
      </w:r>
      <w:r>
        <w:rPr>
          <w:lang w:val="fr-FR"/>
        </w:rPr>
        <w:t>s</w:t>
      </w:r>
      <w:r w:rsidRPr="00EF0B4C">
        <w:rPr>
          <w:lang w:val="fr-FR"/>
        </w:rPr>
        <w:t>es dispositifs de sécurité. Dans un tel cas, l</w:t>
      </w:r>
      <w:r>
        <w:rPr>
          <w:lang w:val="fr-FR"/>
        </w:rPr>
        <w:t>’</w:t>
      </w:r>
      <w:r w:rsidRPr="00EF0B4C">
        <w:rPr>
          <w:lang w:val="fr-FR"/>
        </w:rPr>
        <w:t>expéditeur devrait avoir la possibilité d</w:t>
      </w:r>
      <w:r>
        <w:rPr>
          <w:lang w:val="fr-FR"/>
        </w:rPr>
        <w:t>’</w:t>
      </w:r>
      <w:r w:rsidRPr="00EF0B4C">
        <w:rPr>
          <w:lang w:val="fr-FR"/>
        </w:rPr>
        <w:t>expédier la batterie conformément aux prescriptions applicables du Règlement type (par exemple</w:t>
      </w:r>
      <w:r>
        <w:rPr>
          <w:lang w:val="fr-FR"/>
        </w:rPr>
        <w:t xml:space="preserve"> l’</w:t>
      </w:r>
      <w:r w:rsidRPr="00EF0B4C">
        <w:rPr>
          <w:lang w:val="fr-FR"/>
        </w:rPr>
        <w:t>instruction d</w:t>
      </w:r>
      <w:r>
        <w:rPr>
          <w:lang w:val="fr-FR"/>
        </w:rPr>
        <w:t>’</w:t>
      </w:r>
      <w:r w:rsidRPr="00EF0B4C">
        <w:rPr>
          <w:lang w:val="fr-FR"/>
        </w:rPr>
        <w:t>emballage P903</w:t>
      </w:r>
      <w:r>
        <w:rPr>
          <w:lang w:val="fr-FR"/>
        </w:rPr>
        <w:t xml:space="preserve"> et la</w:t>
      </w:r>
      <w:r w:rsidRPr="00EF0B4C">
        <w:rPr>
          <w:lang w:val="fr-FR"/>
        </w:rPr>
        <w:t xml:space="preserve"> disposition spéciale 188).</w:t>
      </w:r>
    </w:p>
    <w:p w:rsidR="00B62411" w:rsidRPr="00EF0B4C" w:rsidRDefault="00793DAB" w:rsidP="00793DAB">
      <w:pPr>
        <w:pStyle w:val="SingleTxtG"/>
        <w:rPr>
          <w:lang w:val="fr-FR"/>
        </w:rPr>
      </w:pPr>
      <w:r>
        <w:rPr>
          <w:lang w:val="fr-FR"/>
        </w:rPr>
        <w:t>5.</w:t>
      </w:r>
      <w:r>
        <w:rPr>
          <w:lang w:val="fr-FR"/>
        </w:rPr>
        <w:tab/>
      </w:r>
      <w:r w:rsidR="00B62411" w:rsidRPr="00EF0B4C">
        <w:rPr>
          <w:lang w:val="fr-FR"/>
        </w:rPr>
        <w:t>Pour s</w:t>
      </w:r>
      <w:r w:rsidR="00B62411">
        <w:rPr>
          <w:lang w:val="fr-FR"/>
        </w:rPr>
        <w:t>’</w:t>
      </w:r>
      <w:r w:rsidR="00B62411" w:rsidRPr="00EF0B4C">
        <w:rPr>
          <w:lang w:val="fr-FR"/>
        </w:rPr>
        <w:t xml:space="preserve">assurer que les piles, batteries ou équipements </w:t>
      </w:r>
      <w:r w:rsidR="00B62411">
        <w:rPr>
          <w:lang w:val="fr-FR"/>
        </w:rPr>
        <w:t xml:space="preserve">qui en contiennent </w:t>
      </w:r>
      <w:r w:rsidR="00B62411" w:rsidRPr="00EF0B4C">
        <w:rPr>
          <w:lang w:val="fr-FR"/>
        </w:rPr>
        <w:t xml:space="preserve">sont correctement évalués et identifiés avant </w:t>
      </w:r>
      <w:r w:rsidR="00B62411">
        <w:rPr>
          <w:lang w:val="fr-FR"/>
        </w:rPr>
        <w:t>le</w:t>
      </w:r>
      <w:r w:rsidR="00B62411" w:rsidRPr="00EF0B4C">
        <w:rPr>
          <w:lang w:val="fr-FR"/>
        </w:rPr>
        <w:t xml:space="preserve"> transport, il est proposé deux Notas qui fournissent des instructions sur la manière dont une pile ou batterie peut être évaluée en fonction des compétences du fabricant, </w:t>
      </w:r>
      <w:r w:rsidR="00B62411">
        <w:rPr>
          <w:lang w:val="fr-FR"/>
        </w:rPr>
        <w:t>d’</w:t>
      </w:r>
      <w:r w:rsidR="00B62411" w:rsidRPr="00EF0B4C">
        <w:rPr>
          <w:lang w:val="fr-FR"/>
        </w:rPr>
        <w:t xml:space="preserve">une liste de contrôle de </w:t>
      </w:r>
      <w:r w:rsidR="00B62411">
        <w:rPr>
          <w:lang w:val="fr-FR"/>
        </w:rPr>
        <w:t xml:space="preserve">la </w:t>
      </w:r>
      <w:r w:rsidR="00B62411" w:rsidRPr="00EF0B4C">
        <w:rPr>
          <w:lang w:val="fr-FR"/>
        </w:rPr>
        <w:t xml:space="preserve">sécurité ou </w:t>
      </w:r>
      <w:r w:rsidR="00B62411">
        <w:rPr>
          <w:lang w:val="fr-FR"/>
        </w:rPr>
        <w:t>d’</w:t>
      </w:r>
      <w:r w:rsidR="00B62411" w:rsidRPr="00EF0B4C">
        <w:rPr>
          <w:lang w:val="fr-FR"/>
        </w:rPr>
        <w:t xml:space="preserve">une connaissance </w:t>
      </w:r>
      <w:r w:rsidR="00B62411">
        <w:rPr>
          <w:lang w:val="fr-FR"/>
        </w:rPr>
        <w:t>précise</w:t>
      </w:r>
      <w:r w:rsidR="00B62411" w:rsidRPr="00EF0B4C">
        <w:rPr>
          <w:lang w:val="fr-FR"/>
        </w:rPr>
        <w:t xml:space="preserve"> de l</w:t>
      </w:r>
      <w:r w:rsidR="00B62411">
        <w:rPr>
          <w:lang w:val="fr-FR"/>
        </w:rPr>
        <w:t>’</w:t>
      </w:r>
      <w:r w:rsidR="00B62411" w:rsidRPr="00EF0B4C">
        <w:rPr>
          <w:lang w:val="fr-FR"/>
        </w:rPr>
        <w:t xml:space="preserve">historique de la batterie et de ses dispositifs de sécurité. Ces instructions </w:t>
      </w:r>
      <w:r w:rsidR="00B62411">
        <w:rPr>
          <w:lang w:val="fr-FR"/>
        </w:rPr>
        <w:t xml:space="preserve">énoncées </w:t>
      </w:r>
      <w:r w:rsidR="00B62411" w:rsidRPr="00EF0B4C">
        <w:rPr>
          <w:lang w:val="fr-FR"/>
        </w:rPr>
        <w:t>dans</w:t>
      </w:r>
      <w:r w:rsidR="00B62411">
        <w:rPr>
          <w:lang w:val="fr-FR"/>
        </w:rPr>
        <w:t xml:space="preserve"> l</w:t>
      </w:r>
      <w:r w:rsidR="00B62411" w:rsidRPr="00EF0B4C">
        <w:rPr>
          <w:lang w:val="fr-FR"/>
        </w:rPr>
        <w:t xml:space="preserve">es Notas constituent une méthode pratique pour les personnes qui </w:t>
      </w:r>
      <w:r w:rsidR="00B62411">
        <w:rPr>
          <w:lang w:val="fr-FR"/>
        </w:rPr>
        <w:t xml:space="preserve">souhaitent </w:t>
      </w:r>
      <w:r w:rsidR="00B62411" w:rsidRPr="00EF0B4C">
        <w:rPr>
          <w:lang w:val="fr-FR"/>
        </w:rPr>
        <w:t xml:space="preserve">déterminer </w:t>
      </w:r>
      <w:r w:rsidR="00B62411">
        <w:rPr>
          <w:lang w:val="fr-FR"/>
        </w:rPr>
        <w:t>la manière d’</w:t>
      </w:r>
      <w:r w:rsidR="00B62411" w:rsidRPr="00EF0B4C">
        <w:rPr>
          <w:lang w:val="fr-FR"/>
        </w:rPr>
        <w:t>emballer et</w:t>
      </w:r>
      <w:r w:rsidR="00B62411">
        <w:rPr>
          <w:lang w:val="fr-FR"/>
        </w:rPr>
        <w:t xml:space="preserve"> de</w:t>
      </w:r>
      <w:r w:rsidR="00B62411" w:rsidRPr="00EF0B4C">
        <w:rPr>
          <w:lang w:val="fr-FR"/>
        </w:rPr>
        <w:t xml:space="preserve"> transporter </w:t>
      </w:r>
      <w:r w:rsidR="00B62411">
        <w:rPr>
          <w:lang w:val="fr-FR"/>
        </w:rPr>
        <w:t>des</w:t>
      </w:r>
      <w:r w:rsidR="00B62411" w:rsidRPr="00EF0B4C">
        <w:rPr>
          <w:lang w:val="fr-FR"/>
        </w:rPr>
        <w:t xml:space="preserve"> piles ou batteries au lithium endommagées ou </w:t>
      </w:r>
      <w:r w:rsidR="00B62411">
        <w:rPr>
          <w:lang w:val="fr-FR"/>
        </w:rPr>
        <w:t>d</w:t>
      </w:r>
      <w:r w:rsidR="00B62411" w:rsidRPr="00EF0B4C">
        <w:rPr>
          <w:lang w:val="fr-FR"/>
        </w:rPr>
        <w:t>es équipements qui en contiennent.</w:t>
      </w:r>
    </w:p>
    <w:p w:rsidR="00B62411" w:rsidRPr="00EF0B4C" w:rsidRDefault="00B62411" w:rsidP="00793DAB">
      <w:pPr>
        <w:pStyle w:val="HChG"/>
        <w:rPr>
          <w:lang w:val="fr-FR"/>
        </w:rPr>
      </w:pPr>
      <w:r w:rsidRPr="00EF0B4C">
        <w:rPr>
          <w:lang w:val="fr-FR"/>
        </w:rPr>
        <w:tab/>
      </w:r>
      <w:r w:rsidRPr="00EF0B4C">
        <w:rPr>
          <w:lang w:val="fr-FR"/>
        </w:rPr>
        <w:tab/>
        <w:t>Proposition</w:t>
      </w:r>
    </w:p>
    <w:p w:rsidR="00B62411" w:rsidRPr="00EF0B4C" w:rsidRDefault="00B62411" w:rsidP="00793DAB">
      <w:pPr>
        <w:pStyle w:val="SingleTxtG"/>
        <w:rPr>
          <w:lang w:val="fr-FR"/>
        </w:rPr>
      </w:pPr>
      <w:r w:rsidRPr="00EF0B4C">
        <w:rPr>
          <w:lang w:val="fr-FR"/>
        </w:rPr>
        <w:t>6.</w:t>
      </w:r>
      <w:r w:rsidRPr="00EF0B4C">
        <w:rPr>
          <w:lang w:val="fr-FR"/>
        </w:rPr>
        <w:tab/>
      </w:r>
      <w:r w:rsidR="00B35AB8" w:rsidRPr="00EF0B4C">
        <w:rPr>
          <w:lang w:val="fr-FR"/>
        </w:rPr>
        <w:t>Modifier</w:t>
      </w:r>
      <w:r w:rsidRPr="00EF0B4C">
        <w:rPr>
          <w:lang w:val="fr-FR"/>
        </w:rPr>
        <w:t xml:space="preserve"> la disposition spéciale 376 comme suit</w:t>
      </w:r>
      <w:r w:rsidR="00793DAB">
        <w:rPr>
          <w:lang w:val="fr-FR"/>
        </w:rPr>
        <w:t> </w:t>
      </w:r>
      <w:r w:rsidRPr="00EF0B4C">
        <w:rPr>
          <w:lang w:val="fr-FR"/>
        </w:rPr>
        <w:t>:</w:t>
      </w:r>
    </w:p>
    <w:p w:rsidR="00793DAB" w:rsidRDefault="00B62411" w:rsidP="00793DAB">
      <w:pPr>
        <w:pStyle w:val="SingleTxtG"/>
        <w:ind w:left="1701"/>
        <w:rPr>
          <w:lang w:val="fr-FR"/>
        </w:rPr>
      </w:pPr>
      <w:r w:rsidRPr="00EF0B4C">
        <w:rPr>
          <w:lang w:val="fr-FR"/>
        </w:rPr>
        <w:t>« 376</w:t>
      </w:r>
      <w:r w:rsidRPr="00EF0B4C">
        <w:rPr>
          <w:lang w:val="fr-FR"/>
        </w:rPr>
        <w:tab/>
        <w:t>Les piles et batteries au lithium ionique et les piles et batteries au lithium métal identifiées comme endommagées ou défectueuses de manière à ce qu</w:t>
      </w:r>
      <w:r>
        <w:rPr>
          <w:lang w:val="fr-FR"/>
        </w:rPr>
        <w:t>’</w:t>
      </w:r>
      <w:r w:rsidRPr="00EF0B4C">
        <w:rPr>
          <w:lang w:val="fr-FR"/>
        </w:rPr>
        <w:t xml:space="preserve">elles ne soient plus en conformité avec le type éprouvé suivant les dispositions applicables du </w:t>
      </w:r>
      <w:r w:rsidRPr="00EF0B4C">
        <w:rPr>
          <w:i/>
          <w:lang w:val="fr-FR"/>
        </w:rPr>
        <w:t>Manuel d</w:t>
      </w:r>
      <w:r>
        <w:rPr>
          <w:i/>
          <w:lang w:val="fr-FR"/>
        </w:rPr>
        <w:t>’</w:t>
      </w:r>
      <w:r w:rsidRPr="00EF0B4C">
        <w:rPr>
          <w:i/>
          <w:lang w:val="fr-FR"/>
        </w:rPr>
        <w:t>épreuves et de critères</w:t>
      </w:r>
      <w:r w:rsidRPr="00EF0B4C">
        <w:rPr>
          <w:lang w:val="fr-FR"/>
        </w:rPr>
        <w:t>, doivent satisfaire aux prescriptions de la présente disposition</w:t>
      </w:r>
      <w:r w:rsidRPr="00EF0B4C">
        <w:rPr>
          <w:spacing w:val="-31"/>
          <w:lang w:val="fr-FR"/>
        </w:rPr>
        <w:t xml:space="preserve"> </w:t>
      </w:r>
      <w:r w:rsidRPr="00EF0B4C">
        <w:rPr>
          <w:lang w:val="fr-FR"/>
        </w:rPr>
        <w:t>spéciale.</w:t>
      </w:r>
    </w:p>
    <w:p w:rsidR="00B62411" w:rsidRPr="00EF0B4C" w:rsidRDefault="00B62411" w:rsidP="00793DAB">
      <w:pPr>
        <w:pStyle w:val="SingleTxtG"/>
        <w:ind w:left="1701"/>
        <w:rPr>
          <w:lang w:val="fr-FR"/>
        </w:rPr>
      </w:pPr>
      <w:r w:rsidRPr="00EF0B4C">
        <w:rPr>
          <w:lang w:val="fr-FR"/>
        </w:rPr>
        <w:t>Aux fins de la présente disposition spéciale, il peut notamment s</w:t>
      </w:r>
      <w:r>
        <w:rPr>
          <w:lang w:val="fr-FR"/>
        </w:rPr>
        <w:t>’</w:t>
      </w:r>
      <w:r w:rsidRPr="00EF0B4C">
        <w:rPr>
          <w:lang w:val="fr-FR"/>
        </w:rPr>
        <w:t>agir, mais pas seulement, de</w:t>
      </w:r>
      <w:r w:rsidR="00793DAB">
        <w:rPr>
          <w:lang w:val="fr-FR"/>
        </w:rPr>
        <w:t> </w:t>
      </w:r>
      <w:r w:rsidRPr="00EF0B4C">
        <w:rPr>
          <w:lang w:val="fr-FR"/>
        </w:rPr>
        <w:t>:</w:t>
      </w:r>
    </w:p>
    <w:p w:rsidR="00793DAB" w:rsidRDefault="00793DAB" w:rsidP="00B62411">
      <w:pPr>
        <w:pStyle w:val="Bullet2G"/>
        <w:rPr>
          <w:lang w:val="fr-FR"/>
        </w:rPr>
      </w:pPr>
      <w:r>
        <w:rPr>
          <w:lang w:val="fr-FR"/>
        </w:rPr>
        <w:t>P</w:t>
      </w:r>
      <w:r w:rsidR="00B62411" w:rsidRPr="00EF0B4C">
        <w:rPr>
          <w:lang w:val="fr-FR"/>
        </w:rPr>
        <w:t>iles ou batteries identifiées comme défectueuses pour des raisons de sécurité</w:t>
      </w:r>
      <w:r>
        <w:rPr>
          <w:lang w:val="fr-FR"/>
        </w:rPr>
        <w:t> </w:t>
      </w:r>
      <w:r w:rsidR="00B62411" w:rsidRPr="00EF0B4C">
        <w:rPr>
          <w:lang w:val="fr-FR"/>
        </w:rPr>
        <w:t>;</w:t>
      </w:r>
    </w:p>
    <w:p w:rsidR="00793DAB" w:rsidRDefault="00793DAB" w:rsidP="00723835">
      <w:pPr>
        <w:pStyle w:val="Bullet2G"/>
        <w:rPr>
          <w:lang w:val="fr-FR"/>
        </w:rPr>
      </w:pPr>
      <w:r w:rsidRPr="00793DAB">
        <w:rPr>
          <w:lang w:val="fr-FR"/>
        </w:rPr>
        <w:t>P</w:t>
      </w:r>
      <w:r w:rsidR="00B62411" w:rsidRPr="00793DAB">
        <w:rPr>
          <w:lang w:val="fr-FR"/>
        </w:rPr>
        <w:t>iles ou batteries qui présentent des signes de fuite de liquide ou de gaz</w:t>
      </w:r>
      <w:r w:rsidRPr="00793DAB">
        <w:rPr>
          <w:lang w:val="fr-FR"/>
        </w:rPr>
        <w:t> </w:t>
      </w:r>
      <w:r w:rsidR="00B62411" w:rsidRPr="00793DAB">
        <w:rPr>
          <w:lang w:val="fr-FR"/>
        </w:rPr>
        <w:t>;</w:t>
      </w:r>
    </w:p>
    <w:p w:rsidR="00793DAB" w:rsidRDefault="00793DAB" w:rsidP="00EB4762">
      <w:pPr>
        <w:pStyle w:val="Bullet2G"/>
        <w:rPr>
          <w:lang w:val="fr-FR"/>
        </w:rPr>
      </w:pPr>
      <w:r w:rsidRPr="00793DAB">
        <w:rPr>
          <w:lang w:val="fr-FR"/>
        </w:rPr>
        <w:t>P</w:t>
      </w:r>
      <w:r w:rsidR="00B62411" w:rsidRPr="00793DAB">
        <w:rPr>
          <w:lang w:val="fr-FR"/>
        </w:rPr>
        <w:t>iles ou batteries qui ne peuvent pas être diagnostiquées avant le transport</w:t>
      </w:r>
      <w:r w:rsidRPr="00793DAB">
        <w:rPr>
          <w:lang w:val="fr-FR"/>
        </w:rPr>
        <w:t> </w:t>
      </w:r>
      <w:r w:rsidR="00B62411" w:rsidRPr="00793DAB">
        <w:rPr>
          <w:lang w:val="fr-FR"/>
        </w:rPr>
        <w:t>; ou de</w:t>
      </w:r>
    </w:p>
    <w:p w:rsidR="00B62411" w:rsidRPr="00793DAB" w:rsidRDefault="00793DAB" w:rsidP="00EB4762">
      <w:pPr>
        <w:pStyle w:val="Bullet2G"/>
        <w:rPr>
          <w:lang w:val="fr-FR"/>
        </w:rPr>
      </w:pPr>
      <w:r>
        <w:rPr>
          <w:lang w:val="fr-FR"/>
        </w:rPr>
        <w:t>P</w:t>
      </w:r>
      <w:r w:rsidR="00B62411" w:rsidRPr="00793DAB">
        <w:rPr>
          <w:lang w:val="fr-FR"/>
        </w:rPr>
        <w:t>iles ou batteries ayant subi une détérioration physique ou mécanique.</w:t>
      </w:r>
    </w:p>
    <w:p w:rsidR="00B62411" w:rsidRPr="00793DAB" w:rsidRDefault="00B62411" w:rsidP="00793DAB">
      <w:pPr>
        <w:pStyle w:val="SingleTxtG"/>
        <w:keepNext/>
        <w:keepLines/>
        <w:ind w:left="1701"/>
        <w:rPr>
          <w:b/>
          <w:i/>
          <w:u w:val="single"/>
          <w:lang w:val="fr-FR"/>
        </w:rPr>
      </w:pPr>
      <w:bookmarkStart w:id="1" w:name="_Hlk512520767"/>
      <w:r w:rsidRPr="00793DAB">
        <w:rPr>
          <w:b/>
          <w:i/>
          <w:lang w:val="fr-FR"/>
        </w:rPr>
        <w:lastRenderedPageBreak/>
        <w:t xml:space="preserve">NOTA </w:t>
      </w:r>
      <w:bookmarkEnd w:id="1"/>
      <w:r w:rsidRPr="00D72BC2">
        <w:rPr>
          <w:b/>
          <w:i/>
          <w:u w:val="single"/>
          <w:lang w:val="fr-FR"/>
        </w:rPr>
        <w:t>1</w:t>
      </w:r>
      <w:r w:rsidR="00793DAB" w:rsidRPr="00D72BC2">
        <w:rPr>
          <w:i/>
          <w:u w:val="single"/>
          <w:lang w:val="fr-FR"/>
        </w:rPr>
        <w:t> </w:t>
      </w:r>
      <w:r w:rsidRPr="00793DAB">
        <w:rPr>
          <w:b/>
          <w:i/>
          <w:lang w:val="fr-FR"/>
        </w:rPr>
        <w:t xml:space="preserve">: </w:t>
      </w:r>
      <w:r w:rsidRPr="00793DAB">
        <w:rPr>
          <w:i/>
          <w:lang w:val="fr-FR"/>
        </w:rPr>
        <w:t xml:space="preserve">Afin de déterminer si une </w:t>
      </w:r>
      <w:r w:rsidRPr="00793DAB">
        <w:rPr>
          <w:i/>
          <w:u w:val="single"/>
          <w:lang w:val="fr-FR"/>
        </w:rPr>
        <w:t>pile ou une</w:t>
      </w:r>
      <w:r w:rsidRPr="00793DAB">
        <w:rPr>
          <w:i/>
          <w:lang w:val="fr-FR"/>
        </w:rPr>
        <w:t xml:space="preserve"> batterie peut être considérée comme endommagée ou défectueuse, il faut tenir compte du type </w:t>
      </w:r>
      <w:r w:rsidRPr="00793DAB">
        <w:rPr>
          <w:i/>
          <w:u w:val="single"/>
          <w:lang w:val="fr-FR"/>
        </w:rPr>
        <w:t xml:space="preserve">de la pile ou </w:t>
      </w:r>
      <w:r w:rsidRPr="00793DAB">
        <w:rPr>
          <w:i/>
          <w:lang w:val="fr-FR"/>
        </w:rPr>
        <w:t>de la batterie, de l’utilisation qui en a été faite et d’un éventuel usage impropre de celle-ci</w:t>
      </w:r>
      <w:r w:rsidRPr="00793DAB">
        <w:rPr>
          <w:i/>
          <w:u w:val="single"/>
          <w:lang w:val="fr-FR"/>
        </w:rPr>
        <w:t>, ainsi que de l’état de ses dispositifs de sécurité.</w:t>
      </w:r>
      <w:r w:rsidRPr="00793DAB">
        <w:rPr>
          <w:i/>
          <w:u w:val="single"/>
        </w:rPr>
        <w:t xml:space="preserve"> </w:t>
      </w:r>
      <w:r w:rsidRPr="00793DAB">
        <w:rPr>
          <w:i/>
          <w:u w:val="single"/>
          <w:lang w:val="fr-FR"/>
        </w:rPr>
        <w:t>L’évaluation d’une pile ou d’une batterie doit être effectuée en tenant compte des protocoles de sécurité du fabricant de la pile, de la batterie ou du produit qui les contient (par exemple à l’aide d’une liste de contrôle de sécurité comprenant les critères du fabricant ou d’un expert technique connaissant les dispositifs de sécurité de la pile ou de la batterie).</w:t>
      </w:r>
    </w:p>
    <w:p w:rsidR="00B62411" w:rsidRPr="00EF0B4C" w:rsidRDefault="00B62411" w:rsidP="00793DAB">
      <w:pPr>
        <w:pStyle w:val="SingleTxtG"/>
        <w:ind w:left="1701"/>
        <w:rPr>
          <w:i/>
          <w:iCs/>
          <w:u w:val="single"/>
          <w:lang w:val="fr-FR"/>
        </w:rPr>
      </w:pPr>
      <w:r w:rsidRPr="00EF0B4C">
        <w:rPr>
          <w:b/>
          <w:i/>
          <w:iCs/>
          <w:u w:val="single"/>
          <w:lang w:val="fr-FR"/>
        </w:rPr>
        <w:t>NOTA 2</w:t>
      </w:r>
      <w:r w:rsidR="00793DAB">
        <w:rPr>
          <w:b/>
          <w:i/>
          <w:iCs/>
          <w:u w:val="single"/>
          <w:lang w:val="fr-FR"/>
        </w:rPr>
        <w:t> </w:t>
      </w:r>
      <w:r w:rsidRPr="00EF0B4C">
        <w:rPr>
          <w:i/>
          <w:iCs/>
          <w:u w:val="single"/>
          <w:lang w:val="fr-FR"/>
        </w:rPr>
        <w:t>: Si une évaluation de la pile ou de la batterie, ou de la pile ou de la batterie contenue dans un équipement fait apparaître que les dispositifs de sécurité d</w:t>
      </w:r>
      <w:r>
        <w:rPr>
          <w:i/>
          <w:iCs/>
          <w:u w:val="single"/>
          <w:lang w:val="fr-FR"/>
        </w:rPr>
        <w:t>u</w:t>
      </w:r>
      <w:r w:rsidRPr="00EF0B4C">
        <w:rPr>
          <w:i/>
          <w:iCs/>
          <w:u w:val="single"/>
          <w:lang w:val="fr-FR"/>
        </w:rPr>
        <w:t xml:space="preserve"> modèle</w:t>
      </w:r>
      <w:r>
        <w:rPr>
          <w:i/>
          <w:iCs/>
          <w:u w:val="single"/>
          <w:lang w:val="fr-FR"/>
        </w:rPr>
        <w:t xml:space="preserve"> concerné</w:t>
      </w:r>
      <w:r w:rsidRPr="00EF0B4C">
        <w:rPr>
          <w:i/>
          <w:iCs/>
          <w:u w:val="single"/>
          <w:lang w:val="fr-FR"/>
        </w:rPr>
        <w:t xml:space="preserve"> sont encore intacts et que le produit ne risque pas </w:t>
      </w:r>
      <w:r>
        <w:rPr>
          <w:i/>
          <w:iCs/>
          <w:u w:val="single"/>
          <w:lang w:val="fr-FR"/>
        </w:rPr>
        <w:t>d’</w:t>
      </w:r>
      <w:r w:rsidRPr="00EF0B4C">
        <w:rPr>
          <w:i/>
          <w:iCs/>
          <w:u w:val="single"/>
          <w:lang w:val="fr-FR"/>
        </w:rPr>
        <w:t>évolu</w:t>
      </w:r>
      <w:r>
        <w:rPr>
          <w:i/>
          <w:iCs/>
          <w:u w:val="single"/>
          <w:lang w:val="fr-FR"/>
        </w:rPr>
        <w:t>er de manière</w:t>
      </w:r>
      <w:r w:rsidRPr="00EF0B4C">
        <w:rPr>
          <w:i/>
          <w:iCs/>
          <w:u w:val="single"/>
          <w:lang w:val="fr-FR"/>
        </w:rPr>
        <w:t xml:space="preserve"> dangereuse (dégagement de chaleur, incendie ou court-circuit) pendant le transport, la pile, la batterie ou l</w:t>
      </w:r>
      <w:r>
        <w:rPr>
          <w:i/>
          <w:iCs/>
          <w:u w:val="single"/>
          <w:lang w:val="fr-FR"/>
        </w:rPr>
        <w:t>’</w:t>
      </w:r>
      <w:r w:rsidRPr="00EF0B4C">
        <w:rPr>
          <w:i/>
          <w:iCs/>
          <w:u w:val="single"/>
          <w:lang w:val="fr-FR"/>
        </w:rPr>
        <w:t>équipement qui les contient peuvent être transportés conformément aux dispositions applicables du présent Règlement</w:t>
      </w:r>
      <w:r w:rsidR="00793DAB">
        <w:rPr>
          <w:i/>
          <w:iCs/>
          <w:u w:val="single"/>
          <w:lang w:val="fr-FR"/>
        </w:rPr>
        <w:t>.</w:t>
      </w:r>
    </w:p>
    <w:p w:rsidR="00B62411" w:rsidRPr="00EF0B4C" w:rsidRDefault="00B62411" w:rsidP="00793DAB">
      <w:pPr>
        <w:pStyle w:val="SingleTxtG"/>
        <w:ind w:left="1701"/>
        <w:rPr>
          <w:i/>
          <w:iCs/>
          <w:u w:val="single"/>
          <w:lang w:val="fr-FR"/>
        </w:rPr>
      </w:pPr>
      <w:r w:rsidRPr="00EF0B4C">
        <w:rPr>
          <w:b/>
          <w:i/>
          <w:iCs/>
          <w:u w:val="single"/>
          <w:lang w:val="fr-FR"/>
        </w:rPr>
        <w:t>NOTA 3</w:t>
      </w:r>
      <w:r w:rsidR="005331DE">
        <w:rPr>
          <w:b/>
          <w:i/>
          <w:iCs/>
          <w:u w:val="single"/>
          <w:lang w:val="fr-FR"/>
        </w:rPr>
        <w:t> </w:t>
      </w:r>
      <w:r w:rsidRPr="00EF0B4C">
        <w:rPr>
          <w:bCs/>
          <w:i/>
          <w:iCs/>
          <w:u w:val="single"/>
          <w:lang w:val="fr-FR"/>
        </w:rPr>
        <w:t>:</w:t>
      </w:r>
      <w:r w:rsidRPr="00EF0B4C">
        <w:rPr>
          <w:i/>
          <w:iCs/>
          <w:u w:val="single"/>
          <w:lang w:val="fr-FR"/>
        </w:rPr>
        <w:t xml:space="preserve"> Les piles, les batteries monoéléments ou les batteries qui ont subi un </w:t>
      </w:r>
      <w:r>
        <w:rPr>
          <w:i/>
          <w:iCs/>
          <w:u w:val="single"/>
          <w:lang w:val="fr-FR"/>
        </w:rPr>
        <w:t>incident</w:t>
      </w:r>
      <w:r w:rsidRPr="00EF0B4C">
        <w:rPr>
          <w:i/>
          <w:iCs/>
          <w:u w:val="single"/>
          <w:lang w:val="fr-FR"/>
        </w:rPr>
        <w:t xml:space="preserve"> thermique, qui ne répondent plus à la définition d</w:t>
      </w:r>
      <w:r>
        <w:rPr>
          <w:i/>
          <w:iCs/>
          <w:u w:val="single"/>
          <w:lang w:val="fr-FR"/>
        </w:rPr>
        <w:t>’un</w:t>
      </w:r>
      <w:r w:rsidR="00793DAB">
        <w:rPr>
          <w:i/>
          <w:iCs/>
          <w:u w:val="single"/>
          <w:lang w:val="fr-FR"/>
        </w:rPr>
        <w:t xml:space="preserve">e </w:t>
      </w:r>
      <w:r w:rsidR="005331DE">
        <w:rPr>
          <w:i/>
          <w:iCs/>
          <w:u w:val="single"/>
          <w:lang w:val="fr-FR"/>
        </w:rPr>
        <w:t>“</w:t>
      </w:r>
      <w:r w:rsidRPr="00EF0B4C">
        <w:rPr>
          <w:i/>
          <w:iCs/>
          <w:u w:val="single"/>
          <w:lang w:val="fr-FR"/>
        </w:rPr>
        <w:t>pile</w:t>
      </w:r>
      <w:r w:rsidR="005331DE">
        <w:rPr>
          <w:i/>
          <w:iCs/>
          <w:u w:val="single"/>
          <w:lang w:val="fr-FR"/>
        </w:rPr>
        <w:t>”</w:t>
      </w:r>
      <w:r w:rsidRPr="00EF0B4C">
        <w:rPr>
          <w:i/>
          <w:iCs/>
          <w:u w:val="single"/>
          <w:lang w:val="fr-FR"/>
        </w:rPr>
        <w:t xml:space="preserve"> ou d</w:t>
      </w:r>
      <w:r>
        <w:rPr>
          <w:i/>
          <w:iCs/>
          <w:u w:val="single"/>
          <w:lang w:val="fr-FR"/>
        </w:rPr>
        <w:t>’un</w:t>
      </w:r>
      <w:r w:rsidRPr="00EF0B4C">
        <w:rPr>
          <w:i/>
          <w:iCs/>
          <w:u w:val="single"/>
          <w:lang w:val="fr-FR"/>
        </w:rPr>
        <w:t xml:space="preserve">e </w:t>
      </w:r>
      <w:r w:rsidR="005331DE">
        <w:rPr>
          <w:i/>
          <w:iCs/>
          <w:u w:val="single"/>
          <w:lang w:val="fr-FR"/>
        </w:rPr>
        <w:t>“</w:t>
      </w:r>
      <w:r w:rsidRPr="00EF0B4C">
        <w:rPr>
          <w:i/>
          <w:iCs/>
          <w:u w:val="single"/>
          <w:lang w:val="fr-FR"/>
        </w:rPr>
        <w:t>batterie</w:t>
      </w:r>
      <w:r w:rsidR="005331DE">
        <w:rPr>
          <w:i/>
          <w:iCs/>
          <w:u w:val="single"/>
          <w:lang w:val="fr-FR"/>
        </w:rPr>
        <w:t>”</w:t>
      </w:r>
      <w:r w:rsidRPr="00EF0B4C">
        <w:rPr>
          <w:i/>
          <w:iCs/>
          <w:u w:val="single"/>
          <w:lang w:val="fr-FR"/>
        </w:rPr>
        <w:t xml:space="preserve"> et dont il a été prouvé qu</w:t>
      </w:r>
      <w:r>
        <w:rPr>
          <w:i/>
          <w:iCs/>
          <w:u w:val="single"/>
          <w:lang w:val="fr-FR"/>
        </w:rPr>
        <w:t>’</w:t>
      </w:r>
      <w:r w:rsidRPr="00EF0B4C">
        <w:rPr>
          <w:i/>
          <w:iCs/>
          <w:u w:val="single"/>
          <w:lang w:val="fr-FR"/>
        </w:rPr>
        <w:t>elles ne présentent plus de risque pendant le transport (par exemple, en l</w:t>
      </w:r>
      <w:r>
        <w:rPr>
          <w:i/>
          <w:iCs/>
          <w:u w:val="single"/>
          <w:lang w:val="fr-FR"/>
        </w:rPr>
        <w:t>’</w:t>
      </w:r>
      <w:r w:rsidRPr="00EF0B4C">
        <w:rPr>
          <w:i/>
          <w:iCs/>
          <w:u w:val="single"/>
          <w:lang w:val="fr-FR"/>
        </w:rPr>
        <w:t>absence d</w:t>
      </w:r>
      <w:r>
        <w:rPr>
          <w:i/>
          <w:iCs/>
          <w:u w:val="single"/>
          <w:lang w:val="fr-FR"/>
        </w:rPr>
        <w:t>’</w:t>
      </w:r>
      <w:r w:rsidRPr="00EF0B4C">
        <w:rPr>
          <w:i/>
          <w:iCs/>
          <w:u w:val="single"/>
          <w:lang w:val="fr-FR"/>
        </w:rPr>
        <w:t>électrolyte résiduel, d</w:t>
      </w:r>
      <w:r>
        <w:rPr>
          <w:i/>
          <w:iCs/>
          <w:u w:val="single"/>
          <w:lang w:val="fr-FR"/>
        </w:rPr>
        <w:t>’</w:t>
      </w:r>
      <w:r w:rsidRPr="00EF0B4C">
        <w:rPr>
          <w:i/>
          <w:iCs/>
          <w:u w:val="single"/>
          <w:lang w:val="fr-FR"/>
        </w:rPr>
        <w:t>énergie, ou de capacité à évolu</w:t>
      </w:r>
      <w:r>
        <w:rPr>
          <w:i/>
          <w:iCs/>
          <w:u w:val="single"/>
          <w:lang w:val="fr-FR"/>
        </w:rPr>
        <w:t>er de manière</w:t>
      </w:r>
      <w:r w:rsidRPr="00EF0B4C">
        <w:rPr>
          <w:i/>
          <w:iCs/>
          <w:u w:val="single"/>
          <w:lang w:val="fr-FR"/>
        </w:rPr>
        <w:t xml:space="preserve"> dangereuse</w:t>
      </w:r>
      <w:r>
        <w:rPr>
          <w:i/>
          <w:iCs/>
          <w:u w:val="single"/>
          <w:lang w:val="fr-FR"/>
        </w:rPr>
        <w:t xml:space="preserve"> en provoquant un dégagement de chaleur,</w:t>
      </w:r>
      <w:r w:rsidRPr="00EF0B4C">
        <w:rPr>
          <w:i/>
          <w:iCs/>
          <w:u w:val="single"/>
          <w:lang w:val="fr-FR"/>
        </w:rPr>
        <w:t xml:space="preserve"> un incendie ou un court-circuit), ne sont pas soumises au présent Règlement, à moins qu</w:t>
      </w:r>
      <w:r>
        <w:rPr>
          <w:i/>
          <w:iCs/>
          <w:u w:val="single"/>
          <w:lang w:val="fr-FR"/>
        </w:rPr>
        <w:t>’</w:t>
      </w:r>
      <w:r w:rsidRPr="00EF0B4C">
        <w:rPr>
          <w:i/>
          <w:iCs/>
          <w:u w:val="single"/>
          <w:lang w:val="fr-FR"/>
        </w:rPr>
        <w:t>elles ne répondent aux critères d</w:t>
      </w:r>
      <w:r>
        <w:rPr>
          <w:i/>
          <w:iCs/>
          <w:u w:val="single"/>
          <w:lang w:val="fr-FR"/>
        </w:rPr>
        <w:t>’</w:t>
      </w:r>
      <w:r w:rsidRPr="00EF0B4C">
        <w:rPr>
          <w:i/>
          <w:iCs/>
          <w:u w:val="single"/>
          <w:lang w:val="fr-FR"/>
        </w:rPr>
        <w:t>inclusion dans une autre classe.</w:t>
      </w:r>
    </w:p>
    <w:p w:rsidR="00793DAB" w:rsidRDefault="00B62411" w:rsidP="00793DAB">
      <w:pPr>
        <w:pStyle w:val="SingleTxtG"/>
        <w:ind w:left="1701"/>
        <w:rPr>
          <w:lang w:val="fr-FR"/>
        </w:rPr>
      </w:pPr>
      <w:r w:rsidRPr="00EF0B4C">
        <w:rPr>
          <w:lang w:val="fr-FR"/>
        </w:rPr>
        <w:t>Les piles et batteries doivent être transportées conformément aux dispositions applicables aux N</w:t>
      </w:r>
      <w:r w:rsidRPr="00436E4F">
        <w:rPr>
          <w:vertAlign w:val="superscript"/>
          <w:lang w:val="fr-FR"/>
        </w:rPr>
        <w:t>os</w:t>
      </w:r>
      <w:r w:rsidRPr="00EF0B4C">
        <w:rPr>
          <w:lang w:val="fr-FR"/>
        </w:rPr>
        <w:t xml:space="preserve"> ONU 3090, 3091, 3480 et 3481, à l</w:t>
      </w:r>
      <w:r>
        <w:rPr>
          <w:lang w:val="fr-FR"/>
        </w:rPr>
        <w:t>’</w:t>
      </w:r>
      <w:r w:rsidRPr="00EF0B4C">
        <w:rPr>
          <w:lang w:val="fr-FR"/>
        </w:rPr>
        <w:t>exception de la disposition spéciale 230 et à moins qu</w:t>
      </w:r>
      <w:r>
        <w:rPr>
          <w:lang w:val="fr-FR"/>
        </w:rPr>
        <w:t>’</w:t>
      </w:r>
      <w:r w:rsidRPr="00EF0B4C">
        <w:rPr>
          <w:lang w:val="fr-FR"/>
        </w:rPr>
        <w:t>il n</w:t>
      </w:r>
      <w:r>
        <w:rPr>
          <w:lang w:val="fr-FR"/>
        </w:rPr>
        <w:t>’</w:t>
      </w:r>
      <w:r w:rsidRPr="00EF0B4C">
        <w:rPr>
          <w:lang w:val="fr-FR"/>
        </w:rPr>
        <w:t>en soit spécifié autrement dans la présente disposition spéciale.</w:t>
      </w:r>
    </w:p>
    <w:p w:rsidR="00793DAB" w:rsidRDefault="00B62411" w:rsidP="00793DAB">
      <w:pPr>
        <w:pStyle w:val="SingleTxtG"/>
        <w:ind w:left="1701"/>
        <w:rPr>
          <w:lang w:val="fr-FR"/>
        </w:rPr>
      </w:pPr>
      <w:r w:rsidRPr="00EF0B4C">
        <w:rPr>
          <w:lang w:val="fr-FR"/>
        </w:rPr>
        <w:t>Les piles et batteries doivent être emballées conformément aux instructions d</w:t>
      </w:r>
      <w:r>
        <w:rPr>
          <w:lang w:val="fr-FR"/>
        </w:rPr>
        <w:t>’</w:t>
      </w:r>
      <w:r w:rsidRPr="00EF0B4C">
        <w:rPr>
          <w:lang w:val="fr-FR"/>
        </w:rPr>
        <w:t>emballage P908 du 4.1.4.1 ou LP904 du 4.1.4.3, selon les cas.</w:t>
      </w:r>
    </w:p>
    <w:p w:rsidR="00793DAB" w:rsidRDefault="00B62411" w:rsidP="00793DAB">
      <w:pPr>
        <w:pStyle w:val="SingleTxtG"/>
        <w:ind w:left="1701"/>
        <w:rPr>
          <w:lang w:val="fr-FR"/>
        </w:rPr>
      </w:pPr>
      <w:r w:rsidRPr="00EF0B4C">
        <w:rPr>
          <w:lang w:val="fr-FR"/>
        </w:rPr>
        <w:t>Les</w:t>
      </w:r>
      <w:r w:rsidRPr="00EF0B4C">
        <w:rPr>
          <w:spacing w:val="-6"/>
          <w:lang w:val="fr-FR"/>
        </w:rPr>
        <w:t xml:space="preserve"> </w:t>
      </w:r>
      <w:r w:rsidRPr="00EF0B4C">
        <w:rPr>
          <w:lang w:val="fr-FR"/>
        </w:rPr>
        <w:t>piles</w:t>
      </w:r>
      <w:r w:rsidRPr="00EF0B4C">
        <w:rPr>
          <w:spacing w:val="-6"/>
          <w:lang w:val="fr-FR"/>
        </w:rPr>
        <w:t xml:space="preserve"> </w:t>
      </w:r>
      <w:r w:rsidRPr="00EF0B4C">
        <w:rPr>
          <w:lang w:val="fr-FR"/>
        </w:rPr>
        <w:t>et</w:t>
      </w:r>
      <w:r w:rsidRPr="00EF0B4C">
        <w:rPr>
          <w:spacing w:val="-5"/>
          <w:lang w:val="fr-FR"/>
        </w:rPr>
        <w:t xml:space="preserve"> </w:t>
      </w:r>
      <w:r w:rsidRPr="00EF0B4C">
        <w:rPr>
          <w:lang w:val="fr-FR"/>
        </w:rPr>
        <w:t>batteries</w:t>
      </w:r>
      <w:r w:rsidRPr="00EF0B4C">
        <w:rPr>
          <w:spacing w:val="-6"/>
          <w:lang w:val="fr-FR"/>
        </w:rPr>
        <w:t xml:space="preserve"> </w:t>
      </w:r>
      <w:r w:rsidRPr="00EF0B4C">
        <w:rPr>
          <w:lang w:val="fr-FR"/>
        </w:rPr>
        <w:t>identifiées</w:t>
      </w:r>
      <w:r w:rsidRPr="00EF0B4C">
        <w:rPr>
          <w:spacing w:val="-6"/>
          <w:lang w:val="fr-FR"/>
        </w:rPr>
        <w:t xml:space="preserve"> </w:t>
      </w:r>
      <w:r w:rsidRPr="00EF0B4C">
        <w:rPr>
          <w:lang w:val="fr-FR"/>
        </w:rPr>
        <w:t>comme</w:t>
      </w:r>
      <w:r w:rsidRPr="00EF0B4C">
        <w:rPr>
          <w:spacing w:val="-5"/>
          <w:lang w:val="fr-FR"/>
        </w:rPr>
        <w:t xml:space="preserve"> </w:t>
      </w:r>
      <w:r w:rsidRPr="00EF0B4C">
        <w:rPr>
          <w:lang w:val="fr-FR"/>
        </w:rPr>
        <w:t>endommagées</w:t>
      </w:r>
      <w:r w:rsidRPr="00EF0B4C">
        <w:rPr>
          <w:spacing w:val="-6"/>
          <w:lang w:val="fr-FR"/>
        </w:rPr>
        <w:t xml:space="preserve"> </w:t>
      </w:r>
      <w:r w:rsidRPr="00EF0B4C">
        <w:rPr>
          <w:lang w:val="fr-FR"/>
        </w:rPr>
        <w:t>ou</w:t>
      </w:r>
      <w:r w:rsidRPr="00EF0B4C">
        <w:rPr>
          <w:spacing w:val="-5"/>
          <w:lang w:val="fr-FR"/>
        </w:rPr>
        <w:t xml:space="preserve"> </w:t>
      </w:r>
      <w:r w:rsidRPr="00EF0B4C">
        <w:rPr>
          <w:lang w:val="fr-FR"/>
        </w:rPr>
        <w:t>défectueuses</w:t>
      </w:r>
      <w:r w:rsidRPr="00EF0B4C">
        <w:rPr>
          <w:spacing w:val="-7"/>
          <w:lang w:val="fr-FR"/>
        </w:rPr>
        <w:t xml:space="preserve"> </w:t>
      </w:r>
      <w:r w:rsidRPr="00EF0B4C">
        <w:rPr>
          <w:lang w:val="fr-FR"/>
        </w:rPr>
        <w:t>et</w:t>
      </w:r>
      <w:r w:rsidRPr="00EF0B4C">
        <w:rPr>
          <w:spacing w:val="-6"/>
          <w:lang w:val="fr-FR"/>
        </w:rPr>
        <w:t xml:space="preserve"> </w:t>
      </w:r>
      <w:r w:rsidRPr="00EF0B4C">
        <w:rPr>
          <w:lang w:val="fr-FR"/>
        </w:rPr>
        <w:t>susceptibles de se démonter rapidement, de réagir dangereusement, de produire une flamme ou un dangereux dégagement de chaleur ou une émission de gaz ou de vapeur toxiques, corrosifs ou inflammables, dans les conditions normales de transport doivent être emballées</w:t>
      </w:r>
      <w:r w:rsidRPr="00EF0B4C">
        <w:rPr>
          <w:spacing w:val="-9"/>
          <w:lang w:val="fr-FR"/>
        </w:rPr>
        <w:t xml:space="preserve"> </w:t>
      </w:r>
      <w:r w:rsidRPr="00EF0B4C">
        <w:rPr>
          <w:lang w:val="fr-FR"/>
        </w:rPr>
        <w:t>et</w:t>
      </w:r>
      <w:r w:rsidRPr="00EF0B4C">
        <w:rPr>
          <w:spacing w:val="-9"/>
          <w:lang w:val="fr-FR"/>
        </w:rPr>
        <w:t xml:space="preserve"> </w:t>
      </w:r>
      <w:r w:rsidRPr="00EF0B4C">
        <w:rPr>
          <w:lang w:val="fr-FR"/>
        </w:rPr>
        <w:t>transportées</w:t>
      </w:r>
      <w:r w:rsidRPr="00EF0B4C">
        <w:rPr>
          <w:spacing w:val="-10"/>
          <w:lang w:val="fr-FR"/>
        </w:rPr>
        <w:t xml:space="preserve"> </w:t>
      </w:r>
      <w:r w:rsidRPr="00EF0B4C">
        <w:rPr>
          <w:lang w:val="fr-FR"/>
        </w:rPr>
        <w:t>conformément</w:t>
      </w:r>
      <w:r w:rsidRPr="00EF0B4C">
        <w:rPr>
          <w:spacing w:val="-7"/>
          <w:lang w:val="fr-FR"/>
        </w:rPr>
        <w:t xml:space="preserve"> </w:t>
      </w:r>
      <w:r w:rsidRPr="00EF0B4C">
        <w:rPr>
          <w:lang w:val="fr-FR"/>
        </w:rPr>
        <w:t>aux</w:t>
      </w:r>
      <w:r w:rsidRPr="00EF0B4C">
        <w:rPr>
          <w:spacing w:val="-10"/>
          <w:lang w:val="fr-FR"/>
        </w:rPr>
        <w:t xml:space="preserve"> </w:t>
      </w:r>
      <w:r w:rsidRPr="00EF0B4C">
        <w:rPr>
          <w:lang w:val="fr-FR"/>
        </w:rPr>
        <w:t>instructions</w:t>
      </w:r>
      <w:r w:rsidRPr="00EF0B4C">
        <w:rPr>
          <w:spacing w:val="-9"/>
          <w:lang w:val="fr-FR"/>
        </w:rPr>
        <w:t xml:space="preserve"> </w:t>
      </w:r>
      <w:r w:rsidRPr="00EF0B4C">
        <w:rPr>
          <w:lang w:val="fr-FR"/>
        </w:rPr>
        <w:t>d</w:t>
      </w:r>
      <w:r>
        <w:rPr>
          <w:lang w:val="fr-FR"/>
        </w:rPr>
        <w:t>’</w:t>
      </w:r>
      <w:r w:rsidRPr="00EF0B4C">
        <w:rPr>
          <w:lang w:val="fr-FR"/>
        </w:rPr>
        <w:t>emballage</w:t>
      </w:r>
      <w:r w:rsidRPr="00EF0B4C">
        <w:rPr>
          <w:spacing w:val="-9"/>
          <w:lang w:val="fr-FR"/>
        </w:rPr>
        <w:t xml:space="preserve"> </w:t>
      </w:r>
      <w:r w:rsidRPr="00EF0B4C">
        <w:rPr>
          <w:lang w:val="fr-FR"/>
        </w:rPr>
        <w:t>P911</w:t>
      </w:r>
      <w:r w:rsidRPr="00EF0B4C">
        <w:rPr>
          <w:spacing w:val="-8"/>
          <w:lang w:val="fr-FR"/>
        </w:rPr>
        <w:t xml:space="preserve"> </w:t>
      </w:r>
      <w:r w:rsidRPr="00EF0B4C">
        <w:rPr>
          <w:lang w:val="fr-FR"/>
        </w:rPr>
        <w:t>du</w:t>
      </w:r>
      <w:r w:rsidRPr="00EF0B4C">
        <w:rPr>
          <w:spacing w:val="-8"/>
          <w:lang w:val="fr-FR"/>
        </w:rPr>
        <w:t xml:space="preserve"> </w:t>
      </w:r>
      <w:r w:rsidRPr="00EF0B4C">
        <w:rPr>
          <w:lang w:val="fr-FR"/>
        </w:rPr>
        <w:t>4.1.4.1 ou</w:t>
      </w:r>
      <w:r w:rsidRPr="00EF0B4C">
        <w:rPr>
          <w:spacing w:val="-11"/>
          <w:lang w:val="fr-FR"/>
        </w:rPr>
        <w:t xml:space="preserve"> </w:t>
      </w:r>
      <w:r w:rsidRPr="00EF0B4C">
        <w:rPr>
          <w:lang w:val="fr-FR"/>
        </w:rPr>
        <w:t>LP906</w:t>
      </w:r>
      <w:r w:rsidRPr="00EF0B4C">
        <w:rPr>
          <w:spacing w:val="-11"/>
          <w:lang w:val="fr-FR"/>
        </w:rPr>
        <w:t xml:space="preserve"> </w:t>
      </w:r>
      <w:r w:rsidRPr="00EF0B4C">
        <w:rPr>
          <w:lang w:val="fr-FR"/>
        </w:rPr>
        <w:t>du</w:t>
      </w:r>
      <w:r w:rsidRPr="00EF0B4C">
        <w:rPr>
          <w:spacing w:val="-11"/>
          <w:lang w:val="fr-FR"/>
        </w:rPr>
        <w:t xml:space="preserve"> </w:t>
      </w:r>
      <w:r w:rsidRPr="00EF0B4C">
        <w:rPr>
          <w:lang w:val="fr-FR"/>
        </w:rPr>
        <w:t>4.1.4.3,</w:t>
      </w:r>
      <w:r w:rsidRPr="00EF0B4C">
        <w:rPr>
          <w:spacing w:val="-11"/>
          <w:lang w:val="fr-FR"/>
        </w:rPr>
        <w:t xml:space="preserve"> </w:t>
      </w:r>
      <w:r w:rsidRPr="00EF0B4C">
        <w:rPr>
          <w:lang w:val="fr-FR"/>
        </w:rPr>
        <w:t>selon</w:t>
      </w:r>
      <w:r w:rsidRPr="00EF0B4C">
        <w:rPr>
          <w:spacing w:val="-12"/>
          <w:lang w:val="fr-FR"/>
        </w:rPr>
        <w:t xml:space="preserve"> </w:t>
      </w:r>
      <w:r w:rsidRPr="00EF0B4C">
        <w:rPr>
          <w:lang w:val="fr-FR"/>
        </w:rPr>
        <w:t>les</w:t>
      </w:r>
      <w:r w:rsidRPr="00EF0B4C">
        <w:rPr>
          <w:spacing w:val="-11"/>
          <w:lang w:val="fr-FR"/>
        </w:rPr>
        <w:t xml:space="preserve"> </w:t>
      </w:r>
      <w:r w:rsidRPr="00EF0B4C">
        <w:rPr>
          <w:lang w:val="fr-FR"/>
        </w:rPr>
        <w:t>cas.</w:t>
      </w:r>
      <w:r w:rsidRPr="00EF0B4C">
        <w:rPr>
          <w:spacing w:val="-12"/>
          <w:lang w:val="fr-FR"/>
        </w:rPr>
        <w:t xml:space="preserve"> </w:t>
      </w:r>
      <w:r w:rsidRPr="00EF0B4C">
        <w:rPr>
          <w:lang w:val="fr-FR"/>
        </w:rPr>
        <w:t>L</w:t>
      </w:r>
      <w:r>
        <w:rPr>
          <w:lang w:val="fr-FR"/>
        </w:rPr>
        <w:t>’</w:t>
      </w:r>
      <w:r w:rsidRPr="00EF0B4C">
        <w:rPr>
          <w:lang w:val="fr-FR"/>
        </w:rPr>
        <w:t>autorité</w:t>
      </w:r>
      <w:r w:rsidRPr="00EF0B4C">
        <w:rPr>
          <w:spacing w:val="-11"/>
          <w:lang w:val="fr-FR"/>
        </w:rPr>
        <w:t xml:space="preserve"> </w:t>
      </w:r>
      <w:r w:rsidRPr="00EF0B4C">
        <w:rPr>
          <w:lang w:val="fr-FR"/>
        </w:rPr>
        <w:t>compétente</w:t>
      </w:r>
      <w:r w:rsidRPr="00EF0B4C">
        <w:rPr>
          <w:spacing w:val="-9"/>
          <w:lang w:val="fr-FR"/>
        </w:rPr>
        <w:t xml:space="preserve"> </w:t>
      </w:r>
      <w:r w:rsidRPr="00EF0B4C">
        <w:rPr>
          <w:lang w:val="fr-FR"/>
        </w:rPr>
        <w:t>peut</w:t>
      </w:r>
      <w:r w:rsidRPr="00EF0B4C">
        <w:rPr>
          <w:spacing w:val="-11"/>
          <w:lang w:val="fr-FR"/>
        </w:rPr>
        <w:t xml:space="preserve"> </w:t>
      </w:r>
      <w:r w:rsidRPr="00EF0B4C">
        <w:rPr>
          <w:lang w:val="fr-FR"/>
        </w:rPr>
        <w:t>autoriser</w:t>
      </w:r>
      <w:r w:rsidRPr="00EF0B4C">
        <w:rPr>
          <w:spacing w:val="-11"/>
          <w:lang w:val="fr-FR"/>
        </w:rPr>
        <w:t xml:space="preserve"> </w:t>
      </w:r>
      <w:r w:rsidRPr="00EF0B4C">
        <w:rPr>
          <w:lang w:val="fr-FR"/>
        </w:rPr>
        <w:t>des</w:t>
      </w:r>
      <w:r w:rsidRPr="00EF0B4C">
        <w:rPr>
          <w:spacing w:val="-12"/>
          <w:lang w:val="fr-FR"/>
        </w:rPr>
        <w:t xml:space="preserve"> </w:t>
      </w:r>
      <w:r w:rsidRPr="00EF0B4C">
        <w:rPr>
          <w:lang w:val="fr-FR"/>
        </w:rPr>
        <w:t>conditions d</w:t>
      </w:r>
      <w:r>
        <w:rPr>
          <w:lang w:val="fr-FR"/>
        </w:rPr>
        <w:t>’</w:t>
      </w:r>
      <w:r w:rsidRPr="00EF0B4C">
        <w:rPr>
          <w:lang w:val="fr-FR"/>
        </w:rPr>
        <w:t>emballage</w:t>
      </w:r>
      <w:r w:rsidRPr="00EF0B4C">
        <w:rPr>
          <w:spacing w:val="-14"/>
          <w:lang w:val="fr-FR"/>
        </w:rPr>
        <w:t xml:space="preserve"> </w:t>
      </w:r>
      <w:r w:rsidRPr="00EF0B4C">
        <w:rPr>
          <w:lang w:val="fr-FR"/>
        </w:rPr>
        <w:t>ou</w:t>
      </w:r>
      <w:r w:rsidRPr="00EF0B4C">
        <w:rPr>
          <w:spacing w:val="-16"/>
          <w:lang w:val="fr-FR"/>
        </w:rPr>
        <w:t xml:space="preserve"> </w:t>
      </w:r>
      <w:r w:rsidRPr="00EF0B4C">
        <w:rPr>
          <w:lang w:val="fr-FR"/>
        </w:rPr>
        <w:t>de</w:t>
      </w:r>
      <w:r w:rsidRPr="00EF0B4C">
        <w:rPr>
          <w:spacing w:val="-14"/>
          <w:lang w:val="fr-FR"/>
        </w:rPr>
        <w:t xml:space="preserve"> </w:t>
      </w:r>
      <w:r w:rsidRPr="00EF0B4C">
        <w:rPr>
          <w:lang w:val="fr-FR"/>
        </w:rPr>
        <w:t>transport</w:t>
      </w:r>
      <w:r w:rsidRPr="00EF0B4C">
        <w:rPr>
          <w:spacing w:val="-16"/>
          <w:lang w:val="fr-FR"/>
        </w:rPr>
        <w:t xml:space="preserve"> </w:t>
      </w:r>
      <w:r>
        <w:rPr>
          <w:lang w:val="fr-FR"/>
        </w:rPr>
        <w:t>de remplacement</w:t>
      </w:r>
      <w:r w:rsidRPr="00EF0B4C">
        <w:rPr>
          <w:lang w:val="fr-FR"/>
        </w:rPr>
        <w:t>.</w:t>
      </w:r>
    </w:p>
    <w:p w:rsidR="00793DAB" w:rsidRDefault="00B62411" w:rsidP="00793DAB">
      <w:pPr>
        <w:pStyle w:val="SingleTxtG"/>
        <w:ind w:left="1701"/>
        <w:rPr>
          <w:lang w:val="fr-FR"/>
        </w:rPr>
      </w:pPr>
      <w:r w:rsidRPr="00EF0B4C">
        <w:rPr>
          <w:lang w:val="fr-FR"/>
        </w:rPr>
        <w:t>Les colis doivent porter l</w:t>
      </w:r>
      <w:r>
        <w:rPr>
          <w:lang w:val="fr-FR"/>
        </w:rPr>
        <w:t>’</w:t>
      </w:r>
      <w:r w:rsidRPr="00EF0B4C">
        <w:rPr>
          <w:lang w:val="fr-FR"/>
        </w:rPr>
        <w:t xml:space="preserve">indication </w:t>
      </w:r>
      <w:r w:rsidR="005331DE">
        <w:rPr>
          <w:lang w:val="fr-FR"/>
        </w:rPr>
        <w:t>“</w:t>
      </w:r>
      <w:r w:rsidRPr="00EF0B4C">
        <w:rPr>
          <w:lang w:val="fr-FR"/>
        </w:rPr>
        <w:t>ENDOMMAGÉES/DÉFECTUEUSES</w:t>
      </w:r>
      <w:r w:rsidR="005331DE">
        <w:rPr>
          <w:lang w:val="fr-FR"/>
        </w:rPr>
        <w:t>”</w:t>
      </w:r>
      <w:r w:rsidRPr="00EF0B4C">
        <w:rPr>
          <w:lang w:val="fr-FR"/>
        </w:rPr>
        <w:t xml:space="preserve"> en</w:t>
      </w:r>
      <w:r w:rsidRPr="00EF0B4C">
        <w:rPr>
          <w:spacing w:val="-27"/>
          <w:lang w:val="fr-FR"/>
        </w:rPr>
        <w:t xml:space="preserve"> </w:t>
      </w:r>
      <w:r w:rsidRPr="00EF0B4C">
        <w:rPr>
          <w:lang w:val="fr-FR"/>
        </w:rPr>
        <w:t>plus de</w:t>
      </w:r>
      <w:r w:rsidRPr="00EF0B4C">
        <w:rPr>
          <w:spacing w:val="-10"/>
          <w:lang w:val="fr-FR"/>
        </w:rPr>
        <w:t xml:space="preserve"> </w:t>
      </w:r>
      <w:r w:rsidRPr="00EF0B4C">
        <w:rPr>
          <w:lang w:val="fr-FR"/>
        </w:rPr>
        <w:t>la</w:t>
      </w:r>
      <w:r w:rsidRPr="00EF0B4C">
        <w:rPr>
          <w:spacing w:val="-9"/>
          <w:lang w:val="fr-FR"/>
        </w:rPr>
        <w:t xml:space="preserve"> </w:t>
      </w:r>
      <w:r w:rsidRPr="00EF0B4C">
        <w:rPr>
          <w:lang w:val="fr-FR"/>
        </w:rPr>
        <w:t>désignation</w:t>
      </w:r>
      <w:r w:rsidRPr="00EF0B4C">
        <w:rPr>
          <w:spacing w:val="-9"/>
          <w:lang w:val="fr-FR"/>
        </w:rPr>
        <w:t xml:space="preserve"> </w:t>
      </w:r>
      <w:r w:rsidRPr="00EF0B4C">
        <w:rPr>
          <w:lang w:val="fr-FR"/>
        </w:rPr>
        <w:t>officielle</w:t>
      </w:r>
      <w:r w:rsidRPr="00EF0B4C">
        <w:rPr>
          <w:spacing w:val="-9"/>
          <w:lang w:val="fr-FR"/>
        </w:rPr>
        <w:t xml:space="preserve"> </w:t>
      </w:r>
      <w:r w:rsidRPr="00EF0B4C">
        <w:rPr>
          <w:lang w:val="fr-FR"/>
        </w:rPr>
        <w:t>de</w:t>
      </w:r>
      <w:r w:rsidRPr="00EF0B4C">
        <w:rPr>
          <w:spacing w:val="-10"/>
          <w:lang w:val="fr-FR"/>
        </w:rPr>
        <w:t xml:space="preserve"> </w:t>
      </w:r>
      <w:r w:rsidRPr="00EF0B4C">
        <w:rPr>
          <w:lang w:val="fr-FR"/>
        </w:rPr>
        <w:t>transport</w:t>
      </w:r>
      <w:r w:rsidRPr="00EF0B4C">
        <w:rPr>
          <w:spacing w:val="-10"/>
          <w:lang w:val="fr-FR"/>
        </w:rPr>
        <w:t xml:space="preserve"> </w:t>
      </w:r>
      <w:r w:rsidRPr="00EF0B4C">
        <w:rPr>
          <w:lang w:val="fr-FR"/>
        </w:rPr>
        <w:t>tel</w:t>
      </w:r>
      <w:r w:rsidRPr="00EF0B4C">
        <w:rPr>
          <w:spacing w:val="-10"/>
          <w:lang w:val="fr-FR"/>
        </w:rPr>
        <w:t xml:space="preserve"> </w:t>
      </w:r>
      <w:r w:rsidRPr="00EF0B4C">
        <w:rPr>
          <w:lang w:val="fr-FR"/>
        </w:rPr>
        <w:t>qu</w:t>
      </w:r>
      <w:r>
        <w:rPr>
          <w:lang w:val="fr-FR"/>
        </w:rPr>
        <w:t>’</w:t>
      </w:r>
      <w:r w:rsidRPr="00EF0B4C">
        <w:rPr>
          <w:lang w:val="fr-FR"/>
        </w:rPr>
        <w:t>il</w:t>
      </w:r>
      <w:r w:rsidRPr="00EF0B4C">
        <w:rPr>
          <w:spacing w:val="-10"/>
          <w:lang w:val="fr-FR"/>
        </w:rPr>
        <w:t xml:space="preserve"> </w:t>
      </w:r>
      <w:r w:rsidRPr="00EF0B4C">
        <w:rPr>
          <w:lang w:val="fr-FR"/>
        </w:rPr>
        <w:t>est</w:t>
      </w:r>
      <w:r w:rsidRPr="00EF0B4C">
        <w:rPr>
          <w:spacing w:val="-9"/>
          <w:lang w:val="fr-FR"/>
        </w:rPr>
        <w:t xml:space="preserve"> </w:t>
      </w:r>
      <w:r w:rsidRPr="00EF0B4C">
        <w:rPr>
          <w:lang w:val="fr-FR"/>
        </w:rPr>
        <w:t>indiqué</w:t>
      </w:r>
      <w:r w:rsidRPr="00EF0B4C">
        <w:rPr>
          <w:spacing w:val="-10"/>
          <w:lang w:val="fr-FR"/>
        </w:rPr>
        <w:t xml:space="preserve"> </w:t>
      </w:r>
      <w:r w:rsidRPr="00EF0B4C">
        <w:rPr>
          <w:lang w:val="fr-FR"/>
        </w:rPr>
        <w:t>au</w:t>
      </w:r>
      <w:r w:rsidRPr="00EF0B4C">
        <w:rPr>
          <w:spacing w:val="-9"/>
          <w:lang w:val="fr-FR"/>
        </w:rPr>
        <w:t xml:space="preserve"> </w:t>
      </w:r>
      <w:r w:rsidRPr="00EF0B4C">
        <w:rPr>
          <w:lang w:val="fr-FR"/>
        </w:rPr>
        <w:t>5.2.1.</w:t>
      </w:r>
      <w:r w:rsidR="00D72BC2">
        <w:rPr>
          <w:lang w:val="fr-FR"/>
        </w:rPr>
        <w:t xml:space="preserve"> </w:t>
      </w:r>
      <w:r w:rsidRPr="00EF0B4C">
        <w:rPr>
          <w:lang w:val="fr-FR"/>
        </w:rPr>
        <w:t>Le document de transport doit contenir la mention suivante</w:t>
      </w:r>
      <w:r w:rsidR="00793DAB">
        <w:rPr>
          <w:lang w:val="fr-FR"/>
        </w:rPr>
        <w:t> </w:t>
      </w:r>
      <w:r w:rsidRPr="00EF0B4C">
        <w:rPr>
          <w:lang w:val="fr-FR"/>
        </w:rPr>
        <w:t xml:space="preserve">: </w:t>
      </w:r>
      <w:r w:rsidR="005331DE">
        <w:rPr>
          <w:lang w:val="fr-FR"/>
        </w:rPr>
        <w:t>“</w:t>
      </w:r>
      <w:r w:rsidRPr="00EF0B4C">
        <w:rPr>
          <w:lang w:val="fr-FR"/>
        </w:rPr>
        <w:t>Transport selon la disposition spéciale 376</w:t>
      </w:r>
      <w:r w:rsidR="005331DE">
        <w:rPr>
          <w:lang w:val="fr-FR"/>
        </w:rPr>
        <w:t>”</w:t>
      </w:r>
      <w:r w:rsidRPr="00EF0B4C">
        <w:rPr>
          <w:lang w:val="fr-FR"/>
        </w:rPr>
        <w:t>.</w:t>
      </w:r>
    </w:p>
    <w:p w:rsidR="00446FE5" w:rsidRDefault="00B62411" w:rsidP="00793DAB">
      <w:pPr>
        <w:pStyle w:val="SingleTxtG"/>
        <w:ind w:left="1701"/>
        <w:rPr>
          <w:lang w:val="fr-FR"/>
        </w:rPr>
      </w:pPr>
      <w:r w:rsidRPr="00EF0B4C">
        <w:rPr>
          <w:lang w:val="fr-FR"/>
        </w:rPr>
        <w:t>Le cas échéant, le transport doit être accompagné d</w:t>
      </w:r>
      <w:r>
        <w:rPr>
          <w:lang w:val="fr-FR"/>
        </w:rPr>
        <w:t>’</w:t>
      </w:r>
      <w:r w:rsidRPr="00EF0B4C">
        <w:rPr>
          <w:lang w:val="fr-FR"/>
        </w:rPr>
        <w:t>une copie de l</w:t>
      </w:r>
      <w:r>
        <w:rPr>
          <w:lang w:val="fr-FR"/>
        </w:rPr>
        <w:t>’</w:t>
      </w:r>
      <w:r w:rsidRPr="00EF0B4C">
        <w:rPr>
          <w:lang w:val="fr-FR"/>
        </w:rPr>
        <w:t>agrément de l</w:t>
      </w:r>
      <w:r>
        <w:rPr>
          <w:lang w:val="fr-FR"/>
        </w:rPr>
        <w:t>’</w:t>
      </w:r>
      <w:r w:rsidRPr="00EF0B4C">
        <w:rPr>
          <w:lang w:val="fr-FR"/>
        </w:rPr>
        <w:t>autorité compétente. ».</w:t>
      </w:r>
    </w:p>
    <w:p w:rsidR="00B62411" w:rsidRPr="00B62411" w:rsidRDefault="00B62411" w:rsidP="00B6241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62411" w:rsidRPr="00B62411" w:rsidSect="00B624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9C" w:rsidRDefault="00553B9C" w:rsidP="00F95C08">
      <w:pPr>
        <w:spacing w:line="240" w:lineRule="auto"/>
      </w:pPr>
    </w:p>
  </w:endnote>
  <w:endnote w:type="continuationSeparator" w:id="0">
    <w:p w:rsidR="00553B9C" w:rsidRPr="00AC3823" w:rsidRDefault="00553B9C" w:rsidP="00AC3823">
      <w:pPr>
        <w:pStyle w:val="Footer"/>
      </w:pPr>
    </w:p>
  </w:endnote>
  <w:endnote w:type="continuationNotice" w:id="1">
    <w:p w:rsidR="00553B9C" w:rsidRDefault="00553B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11" w:rsidRPr="00B62411" w:rsidRDefault="00B62411" w:rsidP="00B62411">
    <w:pPr>
      <w:pStyle w:val="Footer"/>
      <w:tabs>
        <w:tab w:val="right" w:pos="9638"/>
      </w:tabs>
    </w:pPr>
    <w:r w:rsidRPr="00B62411">
      <w:rPr>
        <w:b/>
        <w:sz w:val="18"/>
      </w:rPr>
      <w:fldChar w:fldCharType="begin"/>
    </w:r>
    <w:r w:rsidRPr="00B62411">
      <w:rPr>
        <w:b/>
        <w:sz w:val="18"/>
      </w:rPr>
      <w:instrText xml:space="preserve"> PAGE  \* MERGEFORMAT </w:instrText>
    </w:r>
    <w:r w:rsidRPr="00B62411">
      <w:rPr>
        <w:b/>
        <w:sz w:val="18"/>
      </w:rPr>
      <w:fldChar w:fldCharType="separate"/>
    </w:r>
    <w:r w:rsidR="004560F6">
      <w:rPr>
        <w:b/>
        <w:noProof/>
        <w:sz w:val="18"/>
      </w:rPr>
      <w:t>2</w:t>
    </w:r>
    <w:r w:rsidRPr="00B62411">
      <w:rPr>
        <w:b/>
        <w:sz w:val="18"/>
      </w:rPr>
      <w:fldChar w:fldCharType="end"/>
    </w:r>
    <w:r>
      <w:rPr>
        <w:b/>
        <w:sz w:val="18"/>
      </w:rPr>
      <w:tab/>
    </w:r>
    <w:r>
      <w:t>GE.18-05346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11" w:rsidRPr="00B62411" w:rsidRDefault="00B62411" w:rsidP="00B62411">
    <w:pPr>
      <w:pStyle w:val="Footer"/>
      <w:tabs>
        <w:tab w:val="right" w:pos="9638"/>
      </w:tabs>
      <w:rPr>
        <w:b/>
        <w:sz w:val="18"/>
      </w:rPr>
    </w:pPr>
    <w:r>
      <w:t>GE.18-05346</w:t>
    </w:r>
    <w:r>
      <w:tab/>
    </w:r>
    <w:r w:rsidRPr="00B62411">
      <w:rPr>
        <w:b/>
        <w:sz w:val="18"/>
      </w:rPr>
      <w:fldChar w:fldCharType="begin"/>
    </w:r>
    <w:r w:rsidRPr="00B62411">
      <w:rPr>
        <w:b/>
        <w:sz w:val="18"/>
      </w:rPr>
      <w:instrText xml:space="preserve"> PAGE  \* MERGEFORMAT </w:instrText>
    </w:r>
    <w:r w:rsidRPr="00B62411">
      <w:rPr>
        <w:b/>
        <w:sz w:val="18"/>
      </w:rPr>
      <w:fldChar w:fldCharType="separate"/>
    </w:r>
    <w:r w:rsidR="004560F6">
      <w:rPr>
        <w:b/>
        <w:noProof/>
        <w:sz w:val="18"/>
      </w:rPr>
      <w:t>3</w:t>
    </w:r>
    <w:r w:rsidRPr="00B624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B62411" w:rsidRDefault="00B62411" w:rsidP="00B62411">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05346  (</w:t>
    </w:r>
    <w:proofErr w:type="gramEnd"/>
    <w:r>
      <w:rPr>
        <w:sz w:val="20"/>
      </w:rPr>
      <w:t>F)    080518    080518</w:t>
    </w:r>
    <w:r>
      <w:rPr>
        <w:sz w:val="20"/>
      </w:rPr>
      <w:br/>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sidRPr="00B6241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9C" w:rsidRPr="00AC3823" w:rsidRDefault="00553B9C" w:rsidP="00AC3823">
      <w:pPr>
        <w:pStyle w:val="Footer"/>
        <w:tabs>
          <w:tab w:val="right" w:pos="2155"/>
        </w:tabs>
        <w:spacing w:after="80" w:line="240" w:lineRule="atLeast"/>
        <w:ind w:left="680"/>
        <w:rPr>
          <w:u w:val="single"/>
        </w:rPr>
      </w:pPr>
      <w:r>
        <w:rPr>
          <w:u w:val="single"/>
        </w:rPr>
        <w:tab/>
      </w:r>
    </w:p>
  </w:footnote>
  <w:footnote w:type="continuationSeparator" w:id="0">
    <w:p w:rsidR="00553B9C" w:rsidRPr="00AC3823" w:rsidRDefault="00553B9C" w:rsidP="00AC3823">
      <w:pPr>
        <w:pStyle w:val="Footer"/>
        <w:tabs>
          <w:tab w:val="right" w:pos="2155"/>
        </w:tabs>
        <w:spacing w:after="80" w:line="240" w:lineRule="atLeast"/>
        <w:ind w:left="680"/>
        <w:rPr>
          <w:u w:val="single"/>
        </w:rPr>
      </w:pPr>
      <w:r>
        <w:rPr>
          <w:u w:val="single"/>
        </w:rPr>
        <w:tab/>
      </w:r>
    </w:p>
  </w:footnote>
  <w:footnote w:type="continuationNotice" w:id="1">
    <w:p w:rsidR="00553B9C" w:rsidRPr="00AC3823" w:rsidRDefault="00553B9C">
      <w:pPr>
        <w:spacing w:line="240" w:lineRule="auto"/>
        <w:rPr>
          <w:sz w:val="2"/>
          <w:szCs w:val="2"/>
        </w:rPr>
      </w:pPr>
    </w:p>
  </w:footnote>
  <w:footnote w:id="2">
    <w:p w:rsidR="00793DAB" w:rsidRPr="00793DAB" w:rsidRDefault="00793DAB">
      <w:pPr>
        <w:pStyle w:val="FootnoteText"/>
      </w:pPr>
      <w:r>
        <w:rPr>
          <w:rStyle w:val="FootnoteReference"/>
        </w:rPr>
        <w:tab/>
      </w:r>
      <w:r w:rsidRPr="00793DAB">
        <w:rPr>
          <w:rStyle w:val="FootnoteReference"/>
          <w:sz w:val="20"/>
          <w:vertAlign w:val="baseline"/>
        </w:rPr>
        <w:t>*</w:t>
      </w:r>
      <w:r>
        <w:rPr>
          <w:rStyle w:val="FootnoteReference"/>
          <w:sz w:val="20"/>
          <w:vertAlign w:val="baseline"/>
        </w:rPr>
        <w:tab/>
      </w:r>
      <w:r w:rsidRPr="00E62B90">
        <w:rPr>
          <w:lang w:val="fr-FR"/>
        </w:rPr>
        <w:t xml:space="preserve">Conformément au programme de travail du Sous-Comité pour la période 2017-2018, approuvé par le Comité à sa huitième session </w:t>
      </w:r>
      <w:r>
        <w:rPr>
          <w:lang w:val="fr-FR"/>
        </w:rPr>
        <w:t>(voir ST/SG/AC.10/C.3/100, par. </w:t>
      </w:r>
      <w:r w:rsidRPr="00E62B90">
        <w:rPr>
          <w:lang w:val="fr-FR"/>
        </w:rPr>
        <w:t>98, et ST/SG/AC.10/44, par.</w:t>
      </w:r>
      <w:r>
        <w:rPr>
          <w:lang w:val="fr-FR"/>
        </w:rPr>
        <w:t> </w:t>
      </w:r>
      <w:r w:rsidRPr="00E62B90">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11" w:rsidRPr="00B62411" w:rsidRDefault="004560F6">
    <w:pPr>
      <w:pStyle w:val="Header"/>
    </w:pPr>
    <w:r>
      <w:fldChar w:fldCharType="begin"/>
    </w:r>
    <w:r>
      <w:instrText xml:space="preserve"> TITLE  \* MERGEFORMAT </w:instrText>
    </w:r>
    <w:r>
      <w:fldChar w:fldCharType="separate"/>
    </w:r>
    <w:r>
      <w:t>ST/SG/AC.10/C.3/2018/51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411" w:rsidRPr="00B62411" w:rsidRDefault="004560F6" w:rsidP="00B62411">
    <w:pPr>
      <w:pStyle w:val="Header"/>
      <w:jc w:val="right"/>
    </w:pPr>
    <w:r>
      <w:fldChar w:fldCharType="begin"/>
    </w:r>
    <w:r>
      <w:instrText xml:space="preserve"> TITLE  \* MERGEFORMAT </w:instrText>
    </w:r>
    <w:r>
      <w:fldChar w:fldCharType="separate"/>
    </w:r>
    <w:r>
      <w:t>ST/SG/AC.10/C.3/2018/51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9C"/>
    <w:rsid w:val="00017F94"/>
    <w:rsid w:val="00023842"/>
    <w:rsid w:val="000305D3"/>
    <w:rsid w:val="000334F9"/>
    <w:rsid w:val="0007796D"/>
    <w:rsid w:val="000B7790"/>
    <w:rsid w:val="00111F2F"/>
    <w:rsid w:val="00132EA9"/>
    <w:rsid w:val="0014365E"/>
    <w:rsid w:val="00176178"/>
    <w:rsid w:val="001B0193"/>
    <w:rsid w:val="001F525A"/>
    <w:rsid w:val="00223272"/>
    <w:rsid w:val="0024779E"/>
    <w:rsid w:val="00283190"/>
    <w:rsid w:val="002832AC"/>
    <w:rsid w:val="002D7C93"/>
    <w:rsid w:val="00441C3B"/>
    <w:rsid w:val="00446FE5"/>
    <w:rsid w:val="00452396"/>
    <w:rsid w:val="004560F6"/>
    <w:rsid w:val="004E468C"/>
    <w:rsid w:val="004F52A3"/>
    <w:rsid w:val="005331DE"/>
    <w:rsid w:val="005505B7"/>
    <w:rsid w:val="00553B9C"/>
    <w:rsid w:val="00573BE5"/>
    <w:rsid w:val="00584DC4"/>
    <w:rsid w:val="00586ED3"/>
    <w:rsid w:val="00596AA9"/>
    <w:rsid w:val="0068456F"/>
    <w:rsid w:val="0071601D"/>
    <w:rsid w:val="00793DAB"/>
    <w:rsid w:val="007A62E6"/>
    <w:rsid w:val="0080684C"/>
    <w:rsid w:val="00871C75"/>
    <w:rsid w:val="008776DC"/>
    <w:rsid w:val="008B40CD"/>
    <w:rsid w:val="009705C8"/>
    <w:rsid w:val="009C1CF4"/>
    <w:rsid w:val="00A30353"/>
    <w:rsid w:val="00A95D60"/>
    <w:rsid w:val="00AC3823"/>
    <w:rsid w:val="00AE323C"/>
    <w:rsid w:val="00B00181"/>
    <w:rsid w:val="00B00B0D"/>
    <w:rsid w:val="00B35AB8"/>
    <w:rsid w:val="00B62411"/>
    <w:rsid w:val="00B765F7"/>
    <w:rsid w:val="00BA0CA9"/>
    <w:rsid w:val="00C02897"/>
    <w:rsid w:val="00D3439C"/>
    <w:rsid w:val="00D72BC2"/>
    <w:rsid w:val="00D832F7"/>
    <w:rsid w:val="00DB1831"/>
    <w:rsid w:val="00DD3BFD"/>
    <w:rsid w:val="00DF6678"/>
    <w:rsid w:val="00EA428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8C2E6D-882C-4CC8-920C-1C556CD0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ST/SG/AC.10/C.3/2018/51</vt:lpstr>
      <vt:lpstr>ST/SG/AC.10/C.3/2018/51</vt:lpstr>
    </vt:vector>
  </TitlesOfParts>
  <Company>DCM</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ST/SG/AC.10/C.3/2018/51</dc:title>
  <dc:subject/>
  <dc:creator>Marie DESCHAMPS</dc:creator>
  <cp:keywords/>
  <cp:lastModifiedBy>Laurence Berthet</cp:lastModifiedBy>
  <cp:revision>3</cp:revision>
  <cp:lastPrinted>2018-05-09T06:46:00Z</cp:lastPrinted>
  <dcterms:created xsi:type="dcterms:W3CDTF">2018-05-09T06:46:00Z</dcterms:created>
  <dcterms:modified xsi:type="dcterms:W3CDTF">2018-05-09T06:47:00Z</dcterms:modified>
</cp:coreProperties>
</file>