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DC14C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DC14C8" w:rsidP="00DC14C8">
            <w:pPr>
              <w:jc w:val="right"/>
            </w:pPr>
            <w:r w:rsidRPr="00DC14C8">
              <w:rPr>
                <w:sz w:val="40"/>
              </w:rPr>
              <w:t>ST</w:t>
            </w:r>
            <w:r>
              <w:t>/SG/AC.10/C.3/2018/49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DC14C8" w:rsidP="00F01738">
            <w:pPr>
              <w:spacing w:before="240"/>
            </w:pPr>
            <w:r>
              <w:t xml:space="preserve">Distr. </w:t>
            </w:r>
            <w:proofErr w:type="gramStart"/>
            <w:r>
              <w:t>générale</w:t>
            </w:r>
            <w:proofErr w:type="gramEnd"/>
          </w:p>
          <w:p w:rsidR="00DC14C8" w:rsidRDefault="00DC14C8" w:rsidP="00DC14C8">
            <w:pPr>
              <w:spacing w:line="240" w:lineRule="exact"/>
            </w:pPr>
            <w:r>
              <w:t>5 avril 2018</w:t>
            </w:r>
          </w:p>
          <w:p w:rsidR="00DC14C8" w:rsidRDefault="00DC14C8" w:rsidP="00DC14C8">
            <w:pPr>
              <w:spacing w:line="240" w:lineRule="exact"/>
            </w:pPr>
            <w:r>
              <w:t>Français</w:t>
            </w:r>
          </w:p>
          <w:p w:rsidR="00DC14C8" w:rsidRPr="00DB58B5" w:rsidRDefault="00DC14C8" w:rsidP="00DC14C8">
            <w:pPr>
              <w:spacing w:line="240" w:lineRule="exact"/>
            </w:pPr>
            <w:r>
              <w:t>Original : anglais</w:t>
            </w:r>
          </w:p>
        </w:tc>
      </w:tr>
    </w:tbl>
    <w:p w:rsidR="00DC14C8" w:rsidRPr="00CA0680" w:rsidRDefault="00DC14C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DC14C8" w:rsidRPr="00CA0680" w:rsidRDefault="00DC14C8" w:rsidP="000305D3">
      <w:pPr>
        <w:spacing w:before="120"/>
        <w:rPr>
          <w:b/>
        </w:rPr>
      </w:pPr>
      <w:r w:rsidRPr="00CA0680">
        <w:rPr>
          <w:b/>
        </w:rPr>
        <w:t>Sous</w:t>
      </w:r>
      <w:r>
        <w:rPr>
          <w:b/>
        </w:rPr>
        <w:t>-</w:t>
      </w:r>
      <w:r w:rsidRPr="00CA0680">
        <w:rPr>
          <w:b/>
        </w:rPr>
        <w:t>Comité d’experts du transport des marchandises dangereuses</w:t>
      </w:r>
    </w:p>
    <w:p w:rsidR="00DC14C8" w:rsidRDefault="00D47920" w:rsidP="000305D3">
      <w:pPr>
        <w:spacing w:before="120"/>
        <w:rPr>
          <w:b/>
        </w:rPr>
      </w:pPr>
      <w:r w:rsidRPr="00DC14C8">
        <w:rPr>
          <w:b/>
        </w:rPr>
        <w:t>Cinquante-troisième</w:t>
      </w:r>
      <w:r w:rsidR="00DC14C8" w:rsidRPr="00DC14C8">
        <w:rPr>
          <w:b/>
        </w:rPr>
        <w:t xml:space="preserve"> </w:t>
      </w:r>
      <w:r w:rsidR="00DC14C8" w:rsidRPr="00CA0680">
        <w:rPr>
          <w:b/>
        </w:rPr>
        <w:t>session</w:t>
      </w:r>
    </w:p>
    <w:p w:rsidR="00DC14C8" w:rsidRDefault="00DC14C8" w:rsidP="000305D3">
      <w:r>
        <w:t xml:space="preserve">Genève, </w:t>
      </w:r>
      <w:r w:rsidR="00D47920" w:rsidRPr="00DC14C8">
        <w:rPr>
          <w:lang w:val="fr-FR"/>
        </w:rPr>
        <w:t xml:space="preserve">25 juin-4 juillet </w:t>
      </w:r>
      <w:r w:rsidR="00D47920" w:rsidRPr="00DC14C8">
        <w:t>2018</w:t>
      </w:r>
    </w:p>
    <w:p w:rsidR="00DC14C8" w:rsidRDefault="00DC14C8" w:rsidP="000305D3">
      <w:r>
        <w:t>Point 3 de l’ordre du jour provisoire</w:t>
      </w:r>
    </w:p>
    <w:tbl>
      <w:tblPr>
        <w:tblW w:w="9639" w:type="dxa"/>
        <w:tblLayout w:type="fixed"/>
        <w:tblCellMar>
          <w:left w:w="0" w:type="dxa"/>
          <w:right w:w="0" w:type="dxa"/>
        </w:tblCellMar>
        <w:tblLook w:val="01E0" w:firstRow="1" w:lastRow="1" w:firstColumn="1" w:lastColumn="1" w:noHBand="0" w:noVBand="0"/>
      </w:tblPr>
      <w:tblGrid>
        <w:gridCol w:w="9639"/>
      </w:tblGrid>
      <w:tr w:rsidR="00F16772" w:rsidRPr="00DC14C8" w:rsidTr="005B5B7E">
        <w:tc>
          <w:tcPr>
            <w:tcW w:w="9639" w:type="dxa"/>
            <w:shd w:val="clear" w:color="auto" w:fill="auto"/>
          </w:tcPr>
          <w:p w:rsidR="00F16772" w:rsidRPr="00DC14C8" w:rsidRDefault="00D47920" w:rsidP="00C81224">
            <w:pPr>
              <w:rPr>
                <w:b/>
              </w:rPr>
            </w:pPr>
            <w:r w:rsidRPr="00DC14C8">
              <w:rPr>
                <w:b/>
              </w:rPr>
              <w:t>Inscription, classement et emballage</w:t>
            </w:r>
          </w:p>
        </w:tc>
      </w:tr>
    </w:tbl>
    <w:p w:rsidR="00F16772" w:rsidRPr="00DC14C8" w:rsidRDefault="00D47920" w:rsidP="00C81224">
      <w:pPr>
        <w:pStyle w:val="HChG"/>
      </w:pPr>
      <w:r w:rsidRPr="00DC14C8">
        <w:tab/>
      </w:r>
      <w:r w:rsidRPr="00DC14C8">
        <w:tab/>
        <w:t xml:space="preserve">Marquage multiple des emballages (y compris les grands récipients pour vrac et les grands emballages), indiquant </w:t>
      </w:r>
      <w:r w:rsidR="00A1627C">
        <w:br/>
      </w:r>
      <w:proofErr w:type="gramStart"/>
      <w:r w:rsidRPr="00DC14C8">
        <w:t>la</w:t>
      </w:r>
      <w:proofErr w:type="gramEnd"/>
      <w:r w:rsidRPr="00DC14C8">
        <w:t xml:space="preserve"> conformité avec plus d’un modèle type éprouvé </w:t>
      </w:r>
      <w:r w:rsidR="00A1627C">
        <w:br/>
      </w:r>
      <w:r w:rsidRPr="00DC14C8">
        <w:t>avec succès (Partie II)</w:t>
      </w:r>
    </w:p>
    <w:p w:rsidR="00F16772" w:rsidRPr="00DC14C8" w:rsidRDefault="00D47920" w:rsidP="00C81224">
      <w:pPr>
        <w:pStyle w:val="H1G"/>
      </w:pPr>
      <w:r w:rsidRPr="00DC14C8">
        <w:tab/>
      </w:r>
      <w:r w:rsidRPr="00DC14C8">
        <w:tab/>
        <w:t>Communication du Conseil e</w:t>
      </w:r>
      <w:r w:rsidRPr="00DC14C8">
        <w:t>uropéen de l’industrie chimique (CEFIC) et du Conseil consultatif des marchandises dangereuses (DGAC))</w:t>
      </w:r>
      <w:r w:rsidR="00A1627C" w:rsidRPr="00A1627C">
        <w:rPr>
          <w:rStyle w:val="FootnoteReference"/>
          <w:b w:val="0"/>
          <w:sz w:val="20"/>
          <w:vertAlign w:val="baseline"/>
        </w:rPr>
        <w:footnoteReference w:customMarkFollows="1" w:id="2"/>
        <w:t>*</w:t>
      </w:r>
    </w:p>
    <w:p w:rsidR="00F16772" w:rsidRPr="00DC14C8" w:rsidRDefault="00D47920" w:rsidP="00C81224">
      <w:pPr>
        <w:pStyle w:val="HChG"/>
      </w:pPr>
      <w:r w:rsidRPr="00DC14C8">
        <w:tab/>
      </w:r>
      <w:r w:rsidRPr="00DC14C8">
        <w:tab/>
        <w:t>Introduction</w:t>
      </w:r>
    </w:p>
    <w:p w:rsidR="00446FE5" w:rsidRDefault="00C81224" w:rsidP="00DC14C8">
      <w:pPr>
        <w:pStyle w:val="SingleTxtG"/>
      </w:pPr>
      <w:r>
        <w:t>1.</w:t>
      </w:r>
      <w:r>
        <w:tab/>
        <w:t xml:space="preserve">À la cinquante-deuxième session du Sous-Comité, le </w:t>
      </w:r>
      <w:r w:rsidRPr="007E5592">
        <w:t xml:space="preserve">CEFIC </w:t>
      </w:r>
      <w:r>
        <w:t>et le</w:t>
      </w:r>
      <w:r w:rsidRPr="007E5592">
        <w:t xml:space="preserve"> DGAC </w:t>
      </w:r>
      <w:r>
        <w:t>ont soulevé la question des marquages multiples des emballages, y compris des grands récipients pour vrac (GRV) et des grands emballages</w:t>
      </w:r>
      <w:r w:rsidRPr="002C739A">
        <w:t>, indiquant la conformité à plus d</w:t>
      </w:r>
      <w:r>
        <w:t>’</w:t>
      </w:r>
      <w:r w:rsidRPr="002C739A">
        <w:t>un modèle type éprouvé avec succès.</w:t>
      </w:r>
      <w:r w:rsidRPr="007E5592">
        <w:t xml:space="preserve"> </w:t>
      </w:r>
      <w:r>
        <w:t>Le document qu’ils ont soumis sous la cote</w:t>
      </w:r>
      <w:r w:rsidRPr="007E5592">
        <w:t xml:space="preserve"> ST/SG/AC.10/C.3/2017/36</w:t>
      </w:r>
      <w:r>
        <w:t>, en même temps que le document informel</w:t>
      </w:r>
      <w:r w:rsidRPr="007E5592">
        <w:t xml:space="preserve"> INF.23 </w:t>
      </w:r>
      <w:r>
        <w:t>de la</w:t>
      </w:r>
      <w:r w:rsidRPr="007E5592">
        <w:t xml:space="preserve"> International Confederation of Intermediate Bulk Containers Association (ICIBCA) </w:t>
      </w:r>
      <w:r>
        <w:t>et le</w:t>
      </w:r>
      <w:r w:rsidRPr="007E5592">
        <w:t xml:space="preserve"> document </w:t>
      </w:r>
      <w:r>
        <w:t xml:space="preserve">informel </w:t>
      </w:r>
      <w:r w:rsidRPr="007E5592">
        <w:t xml:space="preserve">INF.45 </w:t>
      </w:r>
      <w:r>
        <w:t>de la</w:t>
      </w:r>
      <w:r w:rsidRPr="007E5592">
        <w:t xml:space="preserve"> International Confederation of Container Reconditioners (ICCR) </w:t>
      </w:r>
      <w:r>
        <w:t>ont été examinés en mettant l’accent sur deux aspects</w:t>
      </w:r>
      <w:r w:rsidR="00300A2A">
        <w:t> </w:t>
      </w:r>
      <w:r w:rsidRPr="007E5592">
        <w:t>:</w:t>
      </w:r>
    </w:p>
    <w:p w:rsidR="00C81224" w:rsidRPr="007E5592" w:rsidRDefault="00C81224" w:rsidP="00C81224">
      <w:pPr>
        <w:pStyle w:val="Bullet1G"/>
      </w:pPr>
      <w:r>
        <w:t>La validité générale des marques ONU multiples appliquées sur les emballages sur la base de la conformité à un ou plus d’un modèle type éprouvé avec succès ;</w:t>
      </w:r>
    </w:p>
    <w:p w:rsidR="00C81224" w:rsidRPr="007E5592" w:rsidRDefault="00C81224" w:rsidP="00644DF2">
      <w:pPr>
        <w:pStyle w:val="Bullet1G"/>
      </w:pPr>
      <w:r>
        <w:t>La validité des homologations multiples pour les emballages conformes à plus d’un modèle type de nature ou de catégorie identiques ou différentes</w:t>
      </w:r>
      <w:r w:rsidRPr="007E5592">
        <w:t>.</w:t>
      </w:r>
    </w:p>
    <w:p w:rsidR="00C81224" w:rsidRPr="007E5592" w:rsidRDefault="00644DF2" w:rsidP="00C81224">
      <w:pPr>
        <w:pStyle w:val="SingleTxtG"/>
      </w:pPr>
      <w:r>
        <w:t>2.</w:t>
      </w:r>
      <w:r>
        <w:tab/>
      </w:r>
      <w:r w:rsidR="00C81224">
        <w:t>Dans une première étape un consensus s’est dégagé sur la validité de la pratique actuelle consistant à délivrer des homologations multiples pour des modèles type</w:t>
      </w:r>
      <w:r w:rsidR="000E6368">
        <w:t>s</w:t>
      </w:r>
      <w:r w:rsidR="00C81224">
        <w:t xml:space="preserve"> éprouvés avec succès appartenant à une même catégorie d’emballages</w:t>
      </w:r>
      <w:r w:rsidR="00C81224" w:rsidRPr="007E5592">
        <w:t xml:space="preserve">. </w:t>
      </w:r>
      <w:r w:rsidR="00C81224">
        <w:t xml:space="preserve">Un texte provisoire a été adopté sur la base du document informel </w:t>
      </w:r>
      <w:r w:rsidR="00C81224" w:rsidRPr="007E5592">
        <w:t xml:space="preserve">INF.51 </w:t>
      </w:r>
      <w:r w:rsidR="00C81224">
        <w:t>soumis par le</w:t>
      </w:r>
      <w:r w:rsidR="00C81224" w:rsidRPr="007E5592">
        <w:t xml:space="preserve"> CEFIC </w:t>
      </w:r>
      <w:r w:rsidR="00C81224">
        <w:t>et le</w:t>
      </w:r>
      <w:r w:rsidR="00C81224" w:rsidRPr="007E5592">
        <w:t xml:space="preserve"> DGAC, </w:t>
      </w:r>
      <w:r w:rsidR="00C81224">
        <w:t xml:space="preserve">en vue d’ajouter si nécessaire, </w:t>
      </w:r>
      <w:r w:rsidR="00A1627C">
        <w:t>dans les chapitres </w:t>
      </w:r>
      <w:r w:rsidR="00C81224" w:rsidRPr="007E5592">
        <w:t xml:space="preserve">6.1, 6.5 </w:t>
      </w:r>
      <w:r w:rsidR="00C81224">
        <w:t>et</w:t>
      </w:r>
      <w:r w:rsidR="00C81224" w:rsidRPr="007E5592">
        <w:t xml:space="preserve"> 6.6</w:t>
      </w:r>
      <w:r w:rsidR="00C81224">
        <w:t>,</w:t>
      </w:r>
      <w:r w:rsidR="00C81224" w:rsidRPr="007E5592">
        <w:t xml:space="preserve"> </w:t>
      </w:r>
      <w:r w:rsidR="00C81224">
        <w:t xml:space="preserve">des orientations techniques indiquant </w:t>
      </w:r>
      <w:r w:rsidR="00C81224">
        <w:lastRenderedPageBreak/>
        <w:t>comment apposer en même temps et de façon acceptable les différentes marques ONU de manière à attester leur conformité à</w:t>
      </w:r>
      <w:r w:rsidR="00C81224" w:rsidRPr="00555EF1">
        <w:t xml:space="preserve"> plus d</w:t>
      </w:r>
      <w:r w:rsidR="00C81224">
        <w:t>’</w:t>
      </w:r>
      <w:r w:rsidR="00C81224" w:rsidRPr="00555EF1">
        <w:t>un modèle type éprouvé avec succès</w:t>
      </w:r>
      <w:r w:rsidR="00C81224" w:rsidRPr="007E5592">
        <w:t>.</w:t>
      </w:r>
    </w:p>
    <w:p w:rsidR="00C81224" w:rsidRPr="007E5592" w:rsidRDefault="00C81224" w:rsidP="00644DF2">
      <w:pPr>
        <w:pStyle w:val="HChG"/>
      </w:pPr>
      <w:r w:rsidRPr="007E5592">
        <w:tab/>
      </w:r>
      <w:r w:rsidRPr="007E5592">
        <w:tab/>
        <w:t>Discussion</w:t>
      </w:r>
    </w:p>
    <w:p w:rsidR="00C81224" w:rsidRPr="007E5592" w:rsidRDefault="00644DF2" w:rsidP="00C81224">
      <w:pPr>
        <w:pStyle w:val="SingleTxtG"/>
      </w:pPr>
      <w:r>
        <w:t>3.</w:t>
      </w:r>
      <w:r>
        <w:tab/>
      </w:r>
      <w:r w:rsidR="00C81224">
        <w:t xml:space="preserve">Le présent </w:t>
      </w:r>
      <w:r w:rsidR="00C81224" w:rsidRPr="007E5592">
        <w:t>document</w:t>
      </w:r>
      <w:r w:rsidR="00C81224">
        <w:t>,</w:t>
      </w:r>
      <w:r w:rsidR="00C81224" w:rsidRPr="007E5592">
        <w:t xml:space="preserve"> </w:t>
      </w:r>
      <w:r w:rsidR="00C81224">
        <w:t>soumis par le</w:t>
      </w:r>
      <w:r w:rsidR="00C81224" w:rsidRPr="007E5592">
        <w:t xml:space="preserve"> CEFIC </w:t>
      </w:r>
      <w:r w:rsidR="00C81224">
        <w:t>et le</w:t>
      </w:r>
      <w:r w:rsidR="00C81224" w:rsidRPr="007E5592">
        <w:t xml:space="preserve"> DGAC</w:t>
      </w:r>
      <w:r w:rsidR="00C81224">
        <w:t>,</w:t>
      </w:r>
      <w:r w:rsidR="00C81224" w:rsidRPr="007E5592">
        <w:t xml:space="preserve"> </w:t>
      </w:r>
      <w:r w:rsidR="00C81224">
        <w:t xml:space="preserve">expose la question des emballages à homologations multiples et vise à trouver une solution au problème non résolu des homologations multiples qui se superposent sur des emballages de nature et de catégorie identiques ou différentes. </w:t>
      </w:r>
    </w:p>
    <w:p w:rsidR="00C81224" w:rsidRPr="007E5592" w:rsidRDefault="00644DF2" w:rsidP="00C81224">
      <w:pPr>
        <w:pStyle w:val="SingleTxtG"/>
      </w:pPr>
      <w:r>
        <w:t>4.</w:t>
      </w:r>
      <w:r>
        <w:tab/>
      </w:r>
      <w:r w:rsidR="00C81224">
        <w:t>Lorsque l’on applique le concept d’homologation de type en se fondant sur les critères de conception et les prescriptions relatives aux épreuves fonctionnelles, il est évident que certaines conceptions et constructions, comme les boîtes et les GRV, peuvent être conformes à plusieurs modèles type</w:t>
      </w:r>
      <w:r w:rsidR="00EF1641">
        <w:t>s</w:t>
      </w:r>
      <w:r w:rsidR="00C81224">
        <w:t xml:space="preserve"> d’emballages de nature et de catégorie différentes, y compris les GRV et les grands emballages.</w:t>
      </w:r>
      <w:r w:rsidR="00C81224" w:rsidRPr="007E5592">
        <w:t xml:space="preserve"> </w:t>
      </w:r>
      <w:r w:rsidR="00C81224">
        <w:t>Dans l’intérêt de la sécurité juridique et en vue de favoriser la souplesse dans l’utilisation</w:t>
      </w:r>
      <w:r w:rsidR="00C81224" w:rsidRPr="007E5592">
        <w:t xml:space="preserve">, </w:t>
      </w:r>
      <w:r w:rsidR="00C81224">
        <w:t xml:space="preserve">il devrait être possible d’accorder des homologations </w:t>
      </w:r>
      <w:r w:rsidR="00C81224" w:rsidRPr="007E5592">
        <w:t>multiple</w:t>
      </w:r>
      <w:r w:rsidR="00C81224">
        <w:t>s aux emballages, y compris les GRV et les grands emballages, afin de certifier leur conformité à tout modèle type éprouvé avec succès d’une nature et d’une catégorie identiques ou différentes</w:t>
      </w:r>
      <w:r w:rsidR="00C81224" w:rsidRPr="007E5592">
        <w:t>.</w:t>
      </w:r>
    </w:p>
    <w:p w:rsidR="00C81224" w:rsidRPr="007E5592" w:rsidRDefault="00644DF2" w:rsidP="00C81224">
      <w:pPr>
        <w:pStyle w:val="SingleTxtG"/>
      </w:pPr>
      <w:r>
        <w:t>5.</w:t>
      </w:r>
      <w:r>
        <w:tab/>
      </w:r>
      <w:r w:rsidR="00C81224">
        <w:t>Les règlements devraient autoriser explicitement l’apposition de marques spécifiques sur les emballages, y compris les GRV et les grands emballages, individuellement ou combinées, à proximité les unes des autres et dans leur intégralité, afin d’indiquer la conformité de l’emballage à chacun des modèles type</w:t>
      </w:r>
      <w:r w:rsidR="00EF1641">
        <w:t>s</w:t>
      </w:r>
      <w:r w:rsidR="00C81224">
        <w:t xml:space="preserve"> correspondants. L’utilisateur doit être averti de l’affichage simultané d’homologations multiples sur le même emballage pour qu’il puisse tirer parti de l’ensemble des informations sur tous les paramètres relatifs à la sécurité, </w:t>
      </w:r>
      <w:r w:rsidR="00C81224" w:rsidRPr="00740F10">
        <w:t>ce qui est d</w:t>
      </w:r>
      <w:r w:rsidR="00C81224">
        <w:t>’</w:t>
      </w:r>
      <w:r w:rsidR="00C81224" w:rsidRPr="00740F10">
        <w:t>une importance décisive pour garantir la sécurité et la conformité dans le cadre du processus d</w:t>
      </w:r>
      <w:r w:rsidR="00C81224">
        <w:t>’</w:t>
      </w:r>
      <w:r w:rsidR="00C81224" w:rsidRPr="00740F10">
        <w:t>emballage.</w:t>
      </w:r>
    </w:p>
    <w:p w:rsidR="00C81224" w:rsidRPr="007E5592" w:rsidRDefault="00644DF2" w:rsidP="00C81224">
      <w:pPr>
        <w:pStyle w:val="SingleTxtG"/>
      </w:pPr>
      <w:r>
        <w:t>6.</w:t>
      </w:r>
      <w:r>
        <w:tab/>
      </w:r>
      <w:r w:rsidR="00C81224" w:rsidRPr="00740F10">
        <w:t>L</w:t>
      </w:r>
      <w:r w:rsidR="00C81224">
        <w:t>’</w:t>
      </w:r>
      <w:r w:rsidR="00C81224" w:rsidRPr="00740F10">
        <w:t>utilisation d</w:t>
      </w:r>
      <w:r w:rsidR="00C81224">
        <w:t>’</w:t>
      </w:r>
      <w:r w:rsidR="00C81224" w:rsidRPr="00740F10">
        <w:t>emballages possédant des homologations multiples</w:t>
      </w:r>
      <w:r w:rsidR="00C81224">
        <w:t>,</w:t>
      </w:r>
      <w:r w:rsidR="00C81224" w:rsidRPr="00740F10">
        <w:t xml:space="preserve"> </w:t>
      </w:r>
      <w:r w:rsidR="00C81224" w:rsidRPr="00E9772D">
        <w:t>y compris les GRV et les grands emballages,</w:t>
      </w:r>
      <w:r w:rsidR="00C81224">
        <w:t xml:space="preserve"> n’a pas d’incidence sur la</w:t>
      </w:r>
      <w:r w:rsidR="00C81224" w:rsidRPr="00740F10">
        <w:t xml:space="preserve"> sécurité</w:t>
      </w:r>
      <w:r w:rsidR="00C81224" w:rsidRPr="007E5592">
        <w:t xml:space="preserve"> </w:t>
      </w:r>
      <w:r w:rsidR="00C81224">
        <w:t xml:space="preserve">et est pleinement conforme </w:t>
      </w:r>
      <w:r w:rsidR="00C81224" w:rsidRPr="002C739A">
        <w:t xml:space="preserve">aux dispositions du </w:t>
      </w:r>
      <w:r w:rsidR="00C81224">
        <w:t>c</w:t>
      </w:r>
      <w:r w:rsidR="00C81224" w:rsidRPr="002C739A">
        <w:t xml:space="preserve">hapitre </w:t>
      </w:r>
      <w:r w:rsidR="00C81224" w:rsidRPr="007E5592">
        <w:t xml:space="preserve">4 </w:t>
      </w:r>
      <w:r w:rsidR="00C81224">
        <w:t>pour chacun des modèles type</w:t>
      </w:r>
      <w:r w:rsidR="00EF1641">
        <w:t>s</w:t>
      </w:r>
      <w:r w:rsidR="00C81224">
        <w:t xml:space="preserve"> correspondants ainsi qu’aux</w:t>
      </w:r>
      <w:r w:rsidR="00C81224" w:rsidRPr="00740F10">
        <w:t xml:space="preserve"> conditions de transport </w:t>
      </w:r>
      <w:r w:rsidR="00C81224">
        <w:t xml:space="preserve">particulières </w:t>
      </w:r>
      <w:r w:rsidR="00C81224" w:rsidRPr="00740F10">
        <w:t>qu</w:t>
      </w:r>
      <w:r w:rsidR="00C81224">
        <w:t>’</w:t>
      </w:r>
      <w:r w:rsidR="00C81224" w:rsidRPr="00740F10">
        <w:t xml:space="preserve">exigent les substances </w:t>
      </w:r>
      <w:r w:rsidR="00C81224">
        <w:t>qu’ils contiennent</w:t>
      </w:r>
      <w:r w:rsidR="00C81224" w:rsidRPr="007E5592">
        <w:t xml:space="preserve">. </w:t>
      </w:r>
      <w:r w:rsidR="00C81224">
        <w:t>Les documents de transport requis en application du</w:t>
      </w:r>
      <w:r w:rsidR="00C81224" w:rsidRPr="007E5592">
        <w:t xml:space="preserve"> 5.4.1.5</w:t>
      </w:r>
      <w:r w:rsidR="00C81224">
        <w:t xml:space="preserve"> permettent de s’assurer que le modèle type sélectionné est conforme aux instructions d’emballage pertinentes</w:t>
      </w:r>
      <w:r w:rsidR="00C81224" w:rsidRPr="007E5592">
        <w:t>.</w:t>
      </w:r>
    </w:p>
    <w:p w:rsidR="00C81224" w:rsidRPr="007E5592" w:rsidRDefault="00644DF2" w:rsidP="00C81224">
      <w:pPr>
        <w:pStyle w:val="SingleTxtG"/>
      </w:pPr>
      <w:r>
        <w:t>7.</w:t>
      </w:r>
      <w:r>
        <w:tab/>
      </w:r>
      <w:r w:rsidR="00C81224">
        <w:t xml:space="preserve">À la dernière session du Sous-Comité, certaines délégations craignaient que la définition des GRV figurant dans le </w:t>
      </w:r>
      <w:r w:rsidR="00C81224" w:rsidRPr="007E5592">
        <w:t xml:space="preserve">1.2.1, </w:t>
      </w:r>
      <w:r w:rsidR="00C81224">
        <w:t>à savoir «</w:t>
      </w:r>
      <w:r w:rsidR="00F04447">
        <w:t> </w:t>
      </w:r>
      <w:r w:rsidR="00C81224">
        <w:t>Grand récipient pour vrac (GRV), un emballage mobile rigide ou souple, autre que l’un des emballages définis au chapitre 6.1</w:t>
      </w:r>
      <w:r w:rsidR="00F04447">
        <w:t> </w:t>
      </w:r>
      <w:r w:rsidR="00C81224">
        <w:t>»</w:t>
      </w:r>
      <w:r w:rsidR="00C81224" w:rsidRPr="002C739A">
        <w:t>,</w:t>
      </w:r>
      <w:r w:rsidR="00C81224" w:rsidRPr="007E5592">
        <w:t xml:space="preserve"> </w:t>
      </w:r>
      <w:r w:rsidR="00C81224">
        <w:t>empêche d’accorder des homologations multiples à un emballage conforme à la fois à un modèle type de GRV et à un modèle type d’emballage</w:t>
      </w:r>
      <w:r w:rsidR="00C81224" w:rsidRPr="007E5592">
        <w:t>.</w:t>
      </w:r>
    </w:p>
    <w:p w:rsidR="00C81224" w:rsidRPr="007E5592" w:rsidRDefault="00644DF2" w:rsidP="00C81224">
      <w:pPr>
        <w:pStyle w:val="SingleTxtG"/>
      </w:pPr>
      <w:r>
        <w:t>8.</w:t>
      </w:r>
      <w:r>
        <w:tab/>
      </w:r>
      <w:r w:rsidR="00C81224">
        <w:t>Le membre de phrase</w:t>
      </w:r>
      <w:r w:rsidR="00C81224" w:rsidRPr="007E5592">
        <w:t xml:space="preserve"> </w:t>
      </w:r>
      <w:r w:rsidR="00C81224">
        <w:t>«</w:t>
      </w:r>
      <w:r w:rsidR="00F04447">
        <w:t> </w:t>
      </w:r>
      <w:r w:rsidR="00C81224" w:rsidRPr="002C739A">
        <w:t>autre que l</w:t>
      </w:r>
      <w:r w:rsidR="00C81224">
        <w:t>’</w:t>
      </w:r>
      <w:r w:rsidR="00C81224" w:rsidRPr="002C739A">
        <w:t>un des emballages définis au chapitre 6.1</w:t>
      </w:r>
      <w:r w:rsidR="00F04447">
        <w:t> </w:t>
      </w:r>
      <w:r w:rsidR="00C81224" w:rsidRPr="002C739A">
        <w:t xml:space="preserve">» </w:t>
      </w:r>
      <w:r w:rsidR="00C81224">
        <w:t>précise simplement que</w:t>
      </w:r>
      <w:r w:rsidR="00C81224" w:rsidRPr="002C739A">
        <w:t xml:space="preserve"> les modèles type</w:t>
      </w:r>
      <w:r w:rsidR="007C6108">
        <w:t>s</w:t>
      </w:r>
      <w:r w:rsidR="00C81224" w:rsidRPr="002C739A">
        <w:t xml:space="preserve"> de GRV ne font pas partie des modèles type</w:t>
      </w:r>
      <w:r w:rsidR="007C6108">
        <w:t>s</w:t>
      </w:r>
      <w:r w:rsidR="00C81224" w:rsidRPr="002C739A">
        <w:t xml:space="preserve"> </w:t>
      </w:r>
      <w:r w:rsidR="00C81224" w:rsidRPr="00642DB1">
        <w:t>d’emballages</w:t>
      </w:r>
      <w:r w:rsidR="00C81224" w:rsidRPr="002C739A">
        <w:t xml:space="preserve"> visés par le </w:t>
      </w:r>
      <w:r w:rsidR="00C81224">
        <w:t>c</w:t>
      </w:r>
      <w:r w:rsidR="00C81224" w:rsidRPr="002C739A">
        <w:t>hapitre 6.1. Cependant, la possibilité qu</w:t>
      </w:r>
      <w:r w:rsidR="00C81224">
        <w:t>’</w:t>
      </w:r>
      <w:r w:rsidR="00C81224" w:rsidRPr="002C739A">
        <w:t>un modèle type de GRV puisse être conforme aux critères de conception communs des modèles type</w:t>
      </w:r>
      <w:r w:rsidR="007C6108">
        <w:t>s</w:t>
      </w:r>
      <w:r w:rsidR="00C81224" w:rsidRPr="002C739A">
        <w:t xml:space="preserve"> d</w:t>
      </w:r>
      <w:r w:rsidR="00C81224">
        <w:t>’</w:t>
      </w:r>
      <w:r w:rsidR="00C81224" w:rsidRPr="002C739A">
        <w:t xml:space="preserve">emballage visés au </w:t>
      </w:r>
      <w:r w:rsidR="00C81224">
        <w:t>c</w:t>
      </w:r>
      <w:r w:rsidR="00C81224" w:rsidRPr="002C739A">
        <w:t>hapitre 6.1 ne doit pas être exclu</w:t>
      </w:r>
      <w:r w:rsidR="00C81224">
        <w:t>e</w:t>
      </w:r>
      <w:r w:rsidR="00C81224" w:rsidRPr="002C739A">
        <w:t xml:space="preserve">, par exemple dans le cas des GRV et des boîtes. </w:t>
      </w:r>
    </w:p>
    <w:p w:rsidR="00C81224" w:rsidRPr="007E5592" w:rsidRDefault="00644DF2" w:rsidP="00C81224">
      <w:pPr>
        <w:pStyle w:val="SingleTxtG"/>
      </w:pPr>
      <w:r>
        <w:t>9.</w:t>
      </w:r>
      <w:r>
        <w:tab/>
      </w:r>
      <w:r w:rsidR="00C81224">
        <w:t xml:space="preserve">Les différentes natures et catégories de GRV sont clairement définies par les critères de modèle type correspondants énoncés dans le chapitre </w:t>
      </w:r>
      <w:r w:rsidR="00C81224" w:rsidRPr="007E5592">
        <w:t xml:space="preserve">6.5. </w:t>
      </w:r>
      <w:r w:rsidR="00C81224">
        <w:t>Les GRV se distinguent des emballages par leur limite de capacité supérieure, l’intégration d’une interface avec l’équipement de manutention et leur capacité à résister aux sollicitations produites par la manutention mécanique, comme il ressort des épreuves spécif</w:t>
      </w:r>
      <w:r w:rsidR="00CC5D7B">
        <w:t>iques définies dans le chapitre </w:t>
      </w:r>
      <w:r w:rsidR="00C81224" w:rsidRPr="007E5592">
        <w:t xml:space="preserve">6.5. </w:t>
      </w:r>
      <w:r w:rsidR="00C81224">
        <w:t>Bien que les caractéristiques techniques des GRV ne soient pas prises en compte dans le cas des emballages, elles ne sont pas contraires aux critères de conception non plus qu’aux critères relatifs aux épreuves fonctionnelles des emballages</w:t>
      </w:r>
      <w:r w:rsidR="00C81224" w:rsidRPr="007E5592">
        <w:t>.</w:t>
      </w:r>
    </w:p>
    <w:p w:rsidR="00C81224" w:rsidRPr="007E5592" w:rsidRDefault="00644DF2" w:rsidP="00C81224">
      <w:pPr>
        <w:pStyle w:val="SingleTxtG"/>
      </w:pPr>
      <w:r>
        <w:t>10.</w:t>
      </w:r>
      <w:r>
        <w:tab/>
      </w:r>
      <w:r w:rsidR="00C81224">
        <w:t>Le fait que la définition donnée des GRV dans le</w:t>
      </w:r>
      <w:r w:rsidR="00C81224" w:rsidRPr="007E5592">
        <w:t xml:space="preserve"> 1.2.1</w:t>
      </w:r>
      <w:r w:rsidR="00C81224">
        <w:t xml:space="preserve"> exclue explicitement les emballages définis au c</w:t>
      </w:r>
      <w:r w:rsidR="00CC5D7B">
        <w:t>hapitre </w:t>
      </w:r>
      <w:r w:rsidR="00C81224" w:rsidRPr="007E5592">
        <w:t xml:space="preserve">6.1 </w:t>
      </w:r>
      <w:r w:rsidR="00C81224">
        <w:t xml:space="preserve">ne fournit aucune orientation ou prescription supplémentaire pour la conception des GRV. Au contraire, il n’existe aucune justification technique ni avantage en termes de sécurité à interdire les homologations multiples fondées </w:t>
      </w:r>
      <w:r w:rsidR="00C81224">
        <w:lastRenderedPageBreak/>
        <w:t>sur des modèles type</w:t>
      </w:r>
      <w:r w:rsidR="00CC5D7B">
        <w:t>s</w:t>
      </w:r>
      <w:r w:rsidR="00C81224">
        <w:t xml:space="preserve"> de GRV et d’emballages pour des raisons formelles basées sur des définitions restrictives</w:t>
      </w:r>
      <w:r w:rsidR="00C81224" w:rsidRPr="007E5592">
        <w:t>.</w:t>
      </w:r>
    </w:p>
    <w:p w:rsidR="00C81224" w:rsidRPr="007E5592" w:rsidRDefault="00C81224" w:rsidP="00644DF2">
      <w:pPr>
        <w:pStyle w:val="HChG"/>
      </w:pPr>
      <w:r w:rsidRPr="007E5592">
        <w:tab/>
      </w:r>
      <w:r w:rsidRPr="007E5592">
        <w:tab/>
        <w:t>Propos</w:t>
      </w:r>
      <w:r>
        <w:t>itions</w:t>
      </w:r>
    </w:p>
    <w:p w:rsidR="00C81224" w:rsidRPr="007E5592" w:rsidRDefault="00644DF2" w:rsidP="00C81224">
      <w:pPr>
        <w:pStyle w:val="SingleTxtG"/>
      </w:pPr>
      <w:r>
        <w:t>11.</w:t>
      </w:r>
      <w:r>
        <w:tab/>
      </w:r>
      <w:r w:rsidR="00C81224">
        <w:t>Afin d’éviter de créer des obstacles réglementaires qui iraient à l’encontre du concept d’homologation de modèles type</w:t>
      </w:r>
      <w:r w:rsidR="00CC5D7B">
        <w:t>s</w:t>
      </w:r>
      <w:r w:rsidR="00C81224">
        <w:t xml:space="preserve"> sur la base de critères de conception et de prescriptions relatives aux épreuves fonctionnelles, modifier comme suit la définition des GRV figurant dans le </w:t>
      </w:r>
      <w:r w:rsidR="00C81224" w:rsidRPr="007E5592">
        <w:t>1.2.1</w:t>
      </w:r>
      <w:r w:rsidR="00300A2A">
        <w:t> </w:t>
      </w:r>
      <w:r w:rsidR="00C81224" w:rsidRPr="007E5592">
        <w:t>:</w:t>
      </w:r>
    </w:p>
    <w:p w:rsidR="00C81224" w:rsidRPr="002C739A" w:rsidRDefault="00C81224" w:rsidP="00644DF2">
      <w:pPr>
        <w:pStyle w:val="SingleTxtG"/>
        <w:ind w:left="2268" w:hanging="567"/>
        <w:rPr>
          <w:i/>
        </w:rPr>
      </w:pPr>
      <w:r w:rsidRPr="002C739A">
        <w:t>«</w:t>
      </w:r>
      <w:r w:rsidR="00A1627C">
        <w:t> </w:t>
      </w:r>
      <w:r w:rsidRPr="002C739A">
        <w:rPr>
          <w:i/>
        </w:rPr>
        <w:t xml:space="preserve">Grand récipient pour vrac (GRV) </w:t>
      </w:r>
    </w:p>
    <w:p w:rsidR="00C81224" w:rsidRPr="002C739A" w:rsidRDefault="00C81224" w:rsidP="00A1627C">
      <w:pPr>
        <w:pStyle w:val="SingleTxtG"/>
        <w:ind w:left="1701"/>
      </w:pPr>
      <w:r w:rsidRPr="002C739A">
        <w:t xml:space="preserve">Un emballage mobile rigide ou souple, </w:t>
      </w:r>
      <w:r w:rsidRPr="002C739A">
        <w:rPr>
          <w:strike/>
        </w:rPr>
        <w:t>autre que l</w:t>
      </w:r>
      <w:r>
        <w:rPr>
          <w:strike/>
        </w:rPr>
        <w:t>’</w:t>
      </w:r>
      <w:r w:rsidRPr="002C739A">
        <w:rPr>
          <w:strike/>
        </w:rPr>
        <w:t>un des emballages définis au chapitre 6.1</w:t>
      </w:r>
      <w:r w:rsidR="00A1627C">
        <w:rPr>
          <w:strike/>
        </w:rPr>
        <w:t> </w:t>
      </w:r>
      <w:r w:rsidRPr="002C739A">
        <w:t xml:space="preserve">: </w:t>
      </w:r>
    </w:p>
    <w:p w:rsidR="00C81224" w:rsidRPr="00F16772" w:rsidRDefault="00A1627C" w:rsidP="00644DF2">
      <w:pPr>
        <w:pStyle w:val="SingleTxtG"/>
        <w:ind w:left="2268" w:hanging="567"/>
      </w:pPr>
      <w:r>
        <w:t>a</w:t>
      </w:r>
      <w:r w:rsidR="00644DF2">
        <w:t>)</w:t>
      </w:r>
      <w:r w:rsidR="00644DF2">
        <w:tab/>
      </w:r>
      <w:r w:rsidR="00C81224" w:rsidRPr="00F16772">
        <w:t>ayant une contenance</w:t>
      </w:r>
      <w:r>
        <w:t> </w:t>
      </w:r>
      <w:r w:rsidR="00C81224" w:rsidRPr="00F16772">
        <w:t>: …</w:t>
      </w:r>
    </w:p>
    <w:p w:rsidR="00C81224" w:rsidRPr="002C739A" w:rsidRDefault="00A1627C" w:rsidP="00644DF2">
      <w:pPr>
        <w:pStyle w:val="SingleTxtG"/>
        <w:ind w:left="2268" w:hanging="567"/>
      </w:pPr>
      <w:r>
        <w:t>b</w:t>
      </w:r>
      <w:r w:rsidR="00644DF2">
        <w:t>)</w:t>
      </w:r>
      <w:r w:rsidR="00644DF2">
        <w:tab/>
      </w:r>
      <w:r w:rsidR="00C81224">
        <w:t>conçu pour une manutention mécanique</w:t>
      </w:r>
      <w:r>
        <w:t> </w:t>
      </w:r>
      <w:r w:rsidR="00C81224" w:rsidRPr="007E5592">
        <w:t>;</w:t>
      </w:r>
    </w:p>
    <w:p w:rsidR="00C81224" w:rsidRPr="002C739A" w:rsidRDefault="00A1627C" w:rsidP="00644DF2">
      <w:pPr>
        <w:pStyle w:val="SingleTxtG"/>
        <w:ind w:left="2268" w:hanging="567"/>
      </w:pPr>
      <w:r>
        <w:t>c)</w:t>
      </w:r>
      <w:r>
        <w:tab/>
      </w:r>
      <w:r w:rsidR="00C81224" w:rsidRPr="002C739A">
        <w:t>pouvant résister aux sollicitations produites lors de la manutention et du transport, ce qui doit être confirmé par des épreuves.</w:t>
      </w:r>
      <w:r>
        <w:t> </w:t>
      </w:r>
      <w:r w:rsidR="00C81224" w:rsidRPr="002C739A">
        <w:t>»</w:t>
      </w:r>
      <w:r>
        <w:t>.</w:t>
      </w:r>
    </w:p>
    <w:p w:rsidR="00C81224" w:rsidRPr="007E5592" w:rsidRDefault="00CC5D7B" w:rsidP="00C81224">
      <w:pPr>
        <w:pStyle w:val="SingleTxtG"/>
      </w:pPr>
      <w:r>
        <w:t>12.</w:t>
      </w:r>
      <w:r>
        <w:tab/>
      </w:r>
      <w:r w:rsidR="00C81224">
        <w:t xml:space="preserve">Afin d’informer les utilisateurs de la validité des homologations </w:t>
      </w:r>
      <w:r w:rsidR="00C81224" w:rsidRPr="00B215FC">
        <w:t xml:space="preserve">multiples </w:t>
      </w:r>
      <w:r w:rsidR="00C81224">
        <w:t>des modèles type</w:t>
      </w:r>
      <w:r>
        <w:t>s</w:t>
      </w:r>
      <w:r w:rsidR="00C81224">
        <w:t xml:space="preserve">, ajouter au </w:t>
      </w:r>
      <w:r w:rsidR="00C81224" w:rsidRPr="007E5592">
        <w:t xml:space="preserve">4.1.1 </w:t>
      </w:r>
      <w:r w:rsidR="00C81224">
        <w:t xml:space="preserve">un nouvel alinéa au </w:t>
      </w:r>
      <w:r w:rsidR="00C81224" w:rsidRPr="007E5592">
        <w:t xml:space="preserve">4.1.1.3 </w:t>
      </w:r>
      <w:r w:rsidR="00C81224">
        <w:t>formulé comme suit</w:t>
      </w:r>
      <w:r w:rsidR="00300A2A">
        <w:t> </w:t>
      </w:r>
      <w:r w:rsidR="00C81224" w:rsidRPr="007E5592">
        <w:t>:</w:t>
      </w:r>
    </w:p>
    <w:p w:rsidR="00C81224" w:rsidRPr="002C739A" w:rsidRDefault="00C81224" w:rsidP="00644DF2">
      <w:pPr>
        <w:pStyle w:val="SingleTxtG"/>
        <w:ind w:left="1701"/>
      </w:pPr>
      <w:r w:rsidRPr="002C739A">
        <w:t>«</w:t>
      </w:r>
      <w:r w:rsidR="00A1627C">
        <w:t> </w:t>
      </w:r>
      <w:r w:rsidRPr="002C739A">
        <w:rPr>
          <w:u w:val="single"/>
        </w:rPr>
        <w:t>4.1.1.3.1</w:t>
      </w:r>
      <w:r w:rsidRPr="002C739A">
        <w:rPr>
          <w:u w:val="single"/>
        </w:rPr>
        <w:tab/>
        <w:t>Les emballages, y compris les GRV et les grands emballages, peuvent être conformes à un ou plusieurs modèles type</w:t>
      </w:r>
      <w:r w:rsidR="00CC5D7B">
        <w:rPr>
          <w:u w:val="single"/>
        </w:rPr>
        <w:t>s</w:t>
      </w:r>
      <w:r w:rsidRPr="002C739A">
        <w:rPr>
          <w:u w:val="single"/>
        </w:rPr>
        <w:t xml:space="preserve"> éprouvés avec succès de nature ou de catégorie identiques ou différentes et peuvent porter plus d</w:t>
      </w:r>
      <w:r>
        <w:rPr>
          <w:u w:val="single"/>
        </w:rPr>
        <w:t>’</w:t>
      </w:r>
      <w:r w:rsidRPr="002C739A">
        <w:rPr>
          <w:u w:val="single"/>
        </w:rPr>
        <w:t>une marque affichant des paramètres fonctionnels pertinents, conformément aux prescriptions des 6.1.3.13, 6.5.2.1.3 ou 6.6.3.4, selon qu</w:t>
      </w:r>
      <w:r>
        <w:rPr>
          <w:u w:val="single"/>
        </w:rPr>
        <w:t>’</w:t>
      </w:r>
      <w:r w:rsidRPr="002C739A">
        <w:rPr>
          <w:u w:val="single"/>
        </w:rPr>
        <w:t>il convient.</w:t>
      </w:r>
      <w:r w:rsidR="00A1627C">
        <w:rPr>
          <w:u w:val="single"/>
        </w:rPr>
        <w:t> </w:t>
      </w:r>
      <w:r w:rsidRPr="002C739A">
        <w:t>»</w:t>
      </w:r>
      <w:r w:rsidR="00300A2A">
        <w:t>.</w:t>
      </w:r>
    </w:p>
    <w:p w:rsidR="00C81224" w:rsidRPr="007E5592" w:rsidRDefault="008C11EC" w:rsidP="00C81224">
      <w:pPr>
        <w:pStyle w:val="SingleTxtG"/>
      </w:pPr>
      <w:r>
        <w:t>13.</w:t>
      </w:r>
      <w:r>
        <w:tab/>
      </w:r>
      <w:r w:rsidR="00C81224">
        <w:t>Afin d’appliquer pleinement le concept d’homologation de modèles type</w:t>
      </w:r>
      <w:r>
        <w:t>s</w:t>
      </w:r>
      <w:r w:rsidR="00C81224">
        <w:t xml:space="preserve"> sur la base des critères de conception et des prescriptions relatives aux épreuves fonctionnelles, retirer les crochets du texte provisoire adopté lors de la dernière session du Sous-Comité pour les </w:t>
      </w:r>
      <w:r w:rsidR="00C81224" w:rsidRPr="002C739A">
        <w:t>6.1.3.13, 6.5.2.1.3 et 6.6.3</w:t>
      </w:r>
      <w:r w:rsidR="00C81224" w:rsidRPr="007E5592">
        <w:t xml:space="preserve"> (</w:t>
      </w:r>
      <w:r w:rsidR="00C81224">
        <w:t>voir</w:t>
      </w:r>
      <w:r w:rsidR="00C81224" w:rsidRPr="007E5592">
        <w:t xml:space="preserve"> ST/SG/AC.10/C.3/104/Add.1, annex</w:t>
      </w:r>
      <w:r w:rsidR="00C81224">
        <w:t>e</w:t>
      </w:r>
      <w:r w:rsidR="00C81224" w:rsidRPr="007E5592">
        <w:t xml:space="preserve"> II) </w:t>
      </w:r>
      <w:r w:rsidR="00C81224">
        <w:t>et le modifier comme suit</w:t>
      </w:r>
      <w:r w:rsidR="00300A2A">
        <w:t> </w:t>
      </w:r>
      <w:r w:rsidR="00C81224" w:rsidRPr="007E5592">
        <w:t>:</w:t>
      </w:r>
    </w:p>
    <w:p w:rsidR="00C81224" w:rsidRPr="002C739A" w:rsidRDefault="00C81224" w:rsidP="00644DF2">
      <w:pPr>
        <w:pStyle w:val="SingleTxtG"/>
        <w:ind w:left="1701"/>
      </w:pPr>
      <w:bookmarkStart w:id="1" w:name="_Hlk508984261"/>
      <w:r w:rsidRPr="002C739A">
        <w:t>«</w:t>
      </w:r>
      <w:r w:rsidR="00300A2A">
        <w:t> </w:t>
      </w:r>
      <w:r w:rsidRPr="002C739A">
        <w:t>6.1.3.13</w:t>
      </w:r>
      <w:bookmarkEnd w:id="1"/>
      <w:r w:rsidRPr="002C739A">
        <w:tab/>
        <w:t>Lorsqu</w:t>
      </w:r>
      <w:r>
        <w:t>’</w:t>
      </w:r>
      <w:r w:rsidRPr="002C739A">
        <w:t xml:space="preserve">un </w:t>
      </w:r>
      <w:r>
        <w:t>emballage</w:t>
      </w:r>
      <w:r w:rsidRPr="002C739A">
        <w:rPr>
          <w:u w:val="single"/>
        </w:rPr>
        <w:t xml:space="preserve">, y compris les </w:t>
      </w:r>
      <w:r>
        <w:rPr>
          <w:u w:val="single"/>
        </w:rPr>
        <w:t xml:space="preserve">GRV </w:t>
      </w:r>
      <w:r w:rsidRPr="002C739A">
        <w:rPr>
          <w:u w:val="single"/>
        </w:rPr>
        <w:t>et les grands emballages,</w:t>
      </w:r>
      <w:r w:rsidRPr="008C11EC">
        <w:t xml:space="preserve"> </w:t>
      </w:r>
      <w:r w:rsidRPr="002C739A">
        <w:t xml:space="preserve">est conforme à </w:t>
      </w:r>
      <w:r w:rsidRPr="002C739A">
        <w:rPr>
          <w:u w:val="single"/>
        </w:rPr>
        <w:t>un ou</w:t>
      </w:r>
      <w:r w:rsidRPr="008C11EC">
        <w:rPr>
          <w:u w:val="single"/>
        </w:rPr>
        <w:t xml:space="preserve"> </w:t>
      </w:r>
      <w:r w:rsidRPr="002C739A">
        <w:t>plus d</w:t>
      </w:r>
      <w:r>
        <w:t>’</w:t>
      </w:r>
      <w:r w:rsidRPr="002C739A">
        <w:t xml:space="preserve">un modèle type </w:t>
      </w:r>
      <w:r w:rsidRPr="002C739A">
        <w:rPr>
          <w:strike/>
        </w:rPr>
        <w:t>d</w:t>
      </w:r>
      <w:r>
        <w:rPr>
          <w:strike/>
        </w:rPr>
        <w:t>’</w:t>
      </w:r>
      <w:r w:rsidRPr="002C739A">
        <w:rPr>
          <w:strike/>
        </w:rPr>
        <w:t>emballage</w:t>
      </w:r>
      <w:r w:rsidRPr="008C11EC">
        <w:rPr>
          <w:strike/>
        </w:rPr>
        <w:t xml:space="preserve"> </w:t>
      </w:r>
      <w:r w:rsidRPr="008C68EC">
        <w:t>éprouvé</w:t>
      </w:r>
      <w:r w:rsidRPr="002C739A">
        <w:t>, l</w:t>
      </w:r>
      <w:r>
        <w:t>’</w:t>
      </w:r>
      <w:r w:rsidRPr="002C739A">
        <w:t>emballage</w:t>
      </w:r>
      <w:r w:rsidRPr="002C739A">
        <w:rPr>
          <w:u w:val="single"/>
        </w:rPr>
        <w:t xml:space="preserve">, </w:t>
      </w:r>
      <w:r w:rsidR="0058097E">
        <w:rPr>
          <w:u w:val="single"/>
        </w:rPr>
        <w:t>y </w:t>
      </w:r>
      <w:r w:rsidRPr="002C739A">
        <w:rPr>
          <w:u w:val="single"/>
        </w:rPr>
        <w:t>compris les GRV et les grands emballages,</w:t>
      </w:r>
      <w:r w:rsidRPr="002C739A">
        <w:t xml:space="preserve"> peut porter plus d</w:t>
      </w:r>
      <w:r>
        <w:t>’</w:t>
      </w:r>
      <w:r w:rsidRPr="002C739A">
        <w:t xml:space="preserve">une marque </w:t>
      </w:r>
      <w:r w:rsidRPr="002C739A">
        <w:rPr>
          <w:u w:val="single"/>
        </w:rPr>
        <w:t>indiquant à quelles prescriptions relatives aux épreuves fonctionnelles il satisfait</w:t>
      </w:r>
      <w:r w:rsidRPr="002C739A">
        <w:t>. Lorsque plus d</w:t>
      </w:r>
      <w:r>
        <w:t>’</w:t>
      </w:r>
      <w:r w:rsidRPr="002C739A">
        <w:t>une marque apparaît sur un emballage,</w:t>
      </w:r>
      <w:r w:rsidRPr="002C739A">
        <w:rPr>
          <w:u w:val="single"/>
        </w:rPr>
        <w:t xml:space="preserve"> y compris les GRV et les grands emballages</w:t>
      </w:r>
      <w:r w:rsidRPr="002C739A">
        <w:t>, les marques doivent apparaître à proximité les unes des autres et chaque marque doit apparaître dans son intégralité.</w:t>
      </w:r>
      <w:r w:rsidR="00300A2A">
        <w:t> </w:t>
      </w:r>
      <w:r w:rsidRPr="002C739A">
        <w:t>»</w:t>
      </w:r>
      <w:r w:rsidR="00300A2A">
        <w:t>.</w:t>
      </w:r>
    </w:p>
    <w:p w:rsidR="00C81224" w:rsidRPr="002C739A" w:rsidRDefault="00C81224" w:rsidP="00644DF2">
      <w:pPr>
        <w:pStyle w:val="SingleTxtG"/>
        <w:ind w:left="1701"/>
      </w:pPr>
      <w:bookmarkStart w:id="2" w:name="_Hlk508984296"/>
      <w:r w:rsidRPr="002C739A">
        <w:t>«</w:t>
      </w:r>
      <w:r w:rsidR="00300A2A">
        <w:t> </w:t>
      </w:r>
      <w:r w:rsidRPr="002C739A">
        <w:t>6.5.2.1.3</w:t>
      </w:r>
      <w:bookmarkEnd w:id="2"/>
      <w:r w:rsidRPr="002C739A">
        <w:tab/>
        <w:t>Lorsqu</w:t>
      </w:r>
      <w:r>
        <w:t>’</w:t>
      </w:r>
      <w:r w:rsidRPr="002C739A">
        <w:t xml:space="preserve">un </w:t>
      </w:r>
      <w:r>
        <w:t>GRV</w:t>
      </w:r>
      <w:r w:rsidRPr="002C739A">
        <w:rPr>
          <w:u w:val="single"/>
        </w:rPr>
        <w:t xml:space="preserve">, y compris les </w:t>
      </w:r>
      <w:r>
        <w:rPr>
          <w:u w:val="single"/>
        </w:rPr>
        <w:t>emballages</w:t>
      </w:r>
      <w:r w:rsidRPr="002C739A">
        <w:rPr>
          <w:u w:val="single"/>
        </w:rPr>
        <w:t xml:space="preserve"> et les grands emballages,</w:t>
      </w:r>
      <w:r w:rsidRPr="002C739A">
        <w:t xml:space="preserve"> est conforme à </w:t>
      </w:r>
      <w:r w:rsidRPr="002C739A">
        <w:rPr>
          <w:u w:val="single"/>
        </w:rPr>
        <w:t>un ou</w:t>
      </w:r>
      <w:r w:rsidRPr="0058097E">
        <w:rPr>
          <w:u w:val="single"/>
        </w:rPr>
        <w:t xml:space="preserve"> </w:t>
      </w:r>
      <w:r w:rsidRPr="002C739A">
        <w:t>plus d</w:t>
      </w:r>
      <w:r>
        <w:t>’</w:t>
      </w:r>
      <w:r w:rsidRPr="002C739A">
        <w:t xml:space="preserve">un modèle type </w:t>
      </w:r>
      <w:r w:rsidRPr="002C739A">
        <w:rPr>
          <w:strike/>
        </w:rPr>
        <w:t>de GRV</w:t>
      </w:r>
      <w:r w:rsidRPr="00300A2A">
        <w:rPr>
          <w:strike/>
        </w:rPr>
        <w:t xml:space="preserve"> </w:t>
      </w:r>
      <w:r w:rsidRPr="002C739A">
        <w:t>éprouvé, le GRV</w:t>
      </w:r>
      <w:r w:rsidRPr="002C739A">
        <w:rPr>
          <w:u w:val="single"/>
        </w:rPr>
        <w:t>, y compris les emballages et les grands emballages,</w:t>
      </w:r>
      <w:r w:rsidRPr="002C739A">
        <w:t xml:space="preserve"> peut porter plus d</w:t>
      </w:r>
      <w:r>
        <w:t>’</w:t>
      </w:r>
      <w:r w:rsidRPr="002C739A">
        <w:t xml:space="preserve">une marque </w:t>
      </w:r>
      <w:r w:rsidRPr="002C739A">
        <w:rPr>
          <w:u w:val="single"/>
        </w:rPr>
        <w:t>indiquant à quelles prescriptions relatives aux épreuves fonctionnelles il satisfait</w:t>
      </w:r>
      <w:r w:rsidRPr="002C739A">
        <w:t>. Lorsque plus d</w:t>
      </w:r>
      <w:r>
        <w:t>’</w:t>
      </w:r>
      <w:r w:rsidRPr="002C739A">
        <w:t>une marque apparaît sur un GRV</w:t>
      </w:r>
      <w:r w:rsidRPr="002C739A">
        <w:rPr>
          <w:u w:val="single"/>
        </w:rPr>
        <w:t>, y compris les emballages et les grands emballages</w:t>
      </w:r>
      <w:r w:rsidRPr="002C739A">
        <w:t>, les marques doivent apparaître à proximité les unes des autres et chaque marque doit apparaître dans son intégralité.</w:t>
      </w:r>
      <w:r w:rsidR="00300A2A">
        <w:t> </w:t>
      </w:r>
      <w:r w:rsidRPr="002C739A">
        <w:t>»</w:t>
      </w:r>
      <w:r w:rsidR="00300A2A">
        <w:t>.</w:t>
      </w:r>
    </w:p>
    <w:p w:rsidR="00C81224" w:rsidRDefault="00C81224" w:rsidP="00644DF2">
      <w:pPr>
        <w:pStyle w:val="SingleTxtG"/>
        <w:ind w:left="1701"/>
      </w:pPr>
      <w:r w:rsidRPr="002C739A">
        <w:t>«</w:t>
      </w:r>
      <w:r w:rsidR="00300A2A">
        <w:t> </w:t>
      </w:r>
      <w:r w:rsidRPr="002C739A">
        <w:t>6.6.3.4</w:t>
      </w:r>
      <w:r w:rsidRPr="002C739A">
        <w:tab/>
        <w:t>Lorsqu</w:t>
      </w:r>
      <w:r>
        <w:t>’</w:t>
      </w:r>
      <w:r w:rsidRPr="002C739A">
        <w:t>un grand emballage</w:t>
      </w:r>
      <w:r w:rsidRPr="002C739A">
        <w:rPr>
          <w:u w:val="single"/>
        </w:rPr>
        <w:t>, y compris les emballages et les GRV,</w:t>
      </w:r>
      <w:r w:rsidRPr="002C739A">
        <w:t xml:space="preserve"> est conforme à </w:t>
      </w:r>
      <w:r w:rsidRPr="002C739A">
        <w:rPr>
          <w:u w:val="single"/>
        </w:rPr>
        <w:t>un ou</w:t>
      </w:r>
      <w:r w:rsidRPr="0058097E">
        <w:rPr>
          <w:u w:val="single"/>
        </w:rPr>
        <w:t xml:space="preserve"> </w:t>
      </w:r>
      <w:r w:rsidRPr="002C739A">
        <w:t>plus d</w:t>
      </w:r>
      <w:r>
        <w:t>’</w:t>
      </w:r>
      <w:r w:rsidRPr="002C739A">
        <w:t xml:space="preserve">un modèle type </w:t>
      </w:r>
      <w:r w:rsidRPr="002C739A">
        <w:rPr>
          <w:strike/>
        </w:rPr>
        <w:t>de grand emballage</w:t>
      </w:r>
      <w:r w:rsidRPr="00300A2A">
        <w:rPr>
          <w:strike/>
        </w:rPr>
        <w:t xml:space="preserve"> </w:t>
      </w:r>
      <w:r w:rsidRPr="002C739A">
        <w:t>éprouvé, le grand emballage</w:t>
      </w:r>
      <w:r w:rsidRPr="002C739A">
        <w:rPr>
          <w:u w:val="single"/>
        </w:rPr>
        <w:t>, y compris les emballages et les GRV,</w:t>
      </w:r>
      <w:r w:rsidRPr="002C739A">
        <w:t xml:space="preserve"> peut porter plus d</w:t>
      </w:r>
      <w:r>
        <w:t>’</w:t>
      </w:r>
      <w:r w:rsidRPr="002C739A">
        <w:t xml:space="preserve">une marque </w:t>
      </w:r>
      <w:r w:rsidRPr="002C739A">
        <w:rPr>
          <w:u w:val="single"/>
        </w:rPr>
        <w:t>indiquant à quelles prescriptions relatives aux épreuves fonctionnelles il satisfait</w:t>
      </w:r>
      <w:r w:rsidRPr="002C739A">
        <w:t>. Lorsque plus d</w:t>
      </w:r>
      <w:r>
        <w:t>’</w:t>
      </w:r>
      <w:r w:rsidRPr="002C739A">
        <w:t>une marque apparaît sur un grand emballage,</w:t>
      </w:r>
      <w:r w:rsidRPr="002C739A">
        <w:rPr>
          <w:u w:val="single"/>
        </w:rPr>
        <w:t xml:space="preserve"> y compris les emballages et les GRV,</w:t>
      </w:r>
      <w:r w:rsidRPr="002C739A">
        <w:t xml:space="preserve"> les marques doivent apparaître à proximité les unes des autres et chaque marque doit apparaître dans son intégralité.</w:t>
      </w:r>
      <w:r w:rsidR="00300A2A">
        <w:t> </w:t>
      </w:r>
      <w:r w:rsidRPr="002C739A">
        <w:t>»</w:t>
      </w:r>
      <w:r w:rsidR="00300A2A">
        <w:t>.</w:t>
      </w:r>
    </w:p>
    <w:p w:rsidR="00C81224" w:rsidRPr="00C81224" w:rsidRDefault="00C81224" w:rsidP="00C81224">
      <w:pPr>
        <w:pStyle w:val="SingleTxtG"/>
        <w:spacing w:before="240" w:after="0"/>
        <w:jc w:val="center"/>
        <w:rPr>
          <w:u w:val="single"/>
        </w:rPr>
      </w:pPr>
      <w:r>
        <w:rPr>
          <w:u w:val="single"/>
        </w:rPr>
        <w:tab/>
      </w:r>
      <w:r>
        <w:rPr>
          <w:u w:val="single"/>
        </w:rPr>
        <w:tab/>
      </w:r>
      <w:r>
        <w:rPr>
          <w:u w:val="single"/>
        </w:rPr>
        <w:tab/>
      </w:r>
    </w:p>
    <w:sectPr w:rsidR="00C81224" w:rsidRPr="00C81224" w:rsidSect="00DC14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E25" w:rsidRDefault="000F5E25" w:rsidP="00F95C08">
      <w:pPr>
        <w:spacing w:line="240" w:lineRule="auto"/>
      </w:pPr>
    </w:p>
  </w:endnote>
  <w:endnote w:type="continuationSeparator" w:id="0">
    <w:p w:rsidR="000F5E25" w:rsidRPr="00AC3823" w:rsidRDefault="000F5E25" w:rsidP="00AC3823">
      <w:pPr>
        <w:pStyle w:val="Footer"/>
      </w:pPr>
    </w:p>
  </w:endnote>
  <w:endnote w:type="continuationNotice" w:id="1">
    <w:p w:rsidR="000F5E25" w:rsidRDefault="000F5E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C8" w:rsidRPr="00DC14C8" w:rsidRDefault="00DC14C8" w:rsidP="00DC14C8">
    <w:pPr>
      <w:pStyle w:val="Footer"/>
      <w:tabs>
        <w:tab w:val="right" w:pos="9638"/>
      </w:tabs>
    </w:pPr>
    <w:r w:rsidRPr="00DC14C8">
      <w:rPr>
        <w:b/>
        <w:sz w:val="18"/>
      </w:rPr>
      <w:fldChar w:fldCharType="begin"/>
    </w:r>
    <w:r w:rsidRPr="00DC14C8">
      <w:rPr>
        <w:b/>
        <w:sz w:val="18"/>
      </w:rPr>
      <w:instrText xml:space="preserve"> PAGE  \* MERGEFORMAT </w:instrText>
    </w:r>
    <w:r w:rsidRPr="00DC14C8">
      <w:rPr>
        <w:b/>
        <w:sz w:val="18"/>
      </w:rPr>
      <w:fldChar w:fldCharType="separate"/>
    </w:r>
    <w:r w:rsidR="00D47920">
      <w:rPr>
        <w:b/>
        <w:noProof/>
        <w:sz w:val="18"/>
      </w:rPr>
      <w:t>2</w:t>
    </w:r>
    <w:r w:rsidRPr="00DC14C8">
      <w:rPr>
        <w:b/>
        <w:sz w:val="18"/>
      </w:rPr>
      <w:fldChar w:fldCharType="end"/>
    </w:r>
    <w:r>
      <w:rPr>
        <w:b/>
        <w:sz w:val="18"/>
      </w:rPr>
      <w:tab/>
    </w:r>
    <w:r>
      <w:t>GE.18-05337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C8" w:rsidRPr="00DC14C8" w:rsidRDefault="00DC14C8" w:rsidP="00DC14C8">
    <w:pPr>
      <w:pStyle w:val="Footer"/>
      <w:tabs>
        <w:tab w:val="right" w:pos="9638"/>
      </w:tabs>
      <w:rPr>
        <w:b/>
        <w:sz w:val="18"/>
      </w:rPr>
    </w:pPr>
    <w:r>
      <w:t>GE.18-05337</w:t>
    </w:r>
    <w:r>
      <w:tab/>
    </w:r>
    <w:r w:rsidRPr="00DC14C8">
      <w:rPr>
        <w:b/>
        <w:sz w:val="18"/>
      </w:rPr>
      <w:fldChar w:fldCharType="begin"/>
    </w:r>
    <w:r w:rsidRPr="00DC14C8">
      <w:rPr>
        <w:b/>
        <w:sz w:val="18"/>
      </w:rPr>
      <w:instrText xml:space="preserve"> PAGE  \* MERGEFORMAT </w:instrText>
    </w:r>
    <w:r w:rsidRPr="00DC14C8">
      <w:rPr>
        <w:b/>
        <w:sz w:val="18"/>
      </w:rPr>
      <w:fldChar w:fldCharType="separate"/>
    </w:r>
    <w:r w:rsidR="00D47920">
      <w:rPr>
        <w:b/>
        <w:noProof/>
        <w:sz w:val="18"/>
      </w:rPr>
      <w:t>3</w:t>
    </w:r>
    <w:r w:rsidRPr="00DC14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DC14C8" w:rsidRDefault="00DC14C8" w:rsidP="00DC14C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05337  (</w:t>
    </w:r>
    <w:proofErr w:type="gramEnd"/>
    <w:r>
      <w:rPr>
        <w:sz w:val="20"/>
      </w:rPr>
      <w:t>F)    010518    080518</w:t>
    </w:r>
    <w:r>
      <w:rPr>
        <w:sz w:val="20"/>
      </w:rPr>
      <w:br/>
    </w:r>
    <w:r w:rsidRPr="00DC14C8">
      <w:rPr>
        <w:rFonts w:ascii="C39T30Lfz" w:hAnsi="C39T30Lfz"/>
        <w:sz w:val="56"/>
      </w:rPr>
      <w:t></w:t>
    </w:r>
    <w:r w:rsidRPr="00DC14C8">
      <w:rPr>
        <w:rFonts w:ascii="C39T30Lfz" w:hAnsi="C39T30Lfz"/>
        <w:sz w:val="56"/>
      </w:rPr>
      <w:t></w:t>
    </w:r>
    <w:r w:rsidRPr="00DC14C8">
      <w:rPr>
        <w:rFonts w:ascii="C39T30Lfz" w:hAnsi="C39T30Lfz"/>
        <w:sz w:val="56"/>
      </w:rPr>
      <w:t></w:t>
    </w:r>
    <w:r w:rsidRPr="00DC14C8">
      <w:rPr>
        <w:rFonts w:ascii="C39T30Lfz" w:hAnsi="C39T30Lfz"/>
        <w:sz w:val="56"/>
      </w:rPr>
      <w:t></w:t>
    </w:r>
    <w:r w:rsidRPr="00DC14C8">
      <w:rPr>
        <w:rFonts w:ascii="C39T30Lfz" w:hAnsi="C39T30Lfz"/>
        <w:sz w:val="56"/>
      </w:rPr>
      <w:t></w:t>
    </w:r>
    <w:r w:rsidRPr="00DC14C8">
      <w:rPr>
        <w:rFonts w:ascii="C39T30Lfz" w:hAnsi="C39T30Lfz"/>
        <w:sz w:val="56"/>
      </w:rPr>
      <w:t></w:t>
    </w:r>
    <w:r w:rsidRPr="00DC14C8">
      <w:rPr>
        <w:rFonts w:ascii="C39T30Lfz" w:hAnsi="C39T30Lfz"/>
        <w:sz w:val="56"/>
      </w:rPr>
      <w:t></w:t>
    </w:r>
    <w:r w:rsidRPr="00DC14C8">
      <w:rPr>
        <w:rFonts w:ascii="C39T30Lfz" w:hAnsi="C39T30Lfz"/>
        <w:sz w:val="56"/>
      </w:rPr>
      <w:t></w:t>
    </w:r>
    <w:r w:rsidRPr="00DC14C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ST/SG/AC.10/C.3/20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ST/SG/AC.10/C.3/2018/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E25" w:rsidRPr="00AC3823" w:rsidRDefault="000F5E25" w:rsidP="00AC3823">
      <w:pPr>
        <w:pStyle w:val="Footer"/>
        <w:tabs>
          <w:tab w:val="right" w:pos="2155"/>
        </w:tabs>
        <w:spacing w:after="80" w:line="240" w:lineRule="atLeast"/>
        <w:ind w:left="680"/>
        <w:rPr>
          <w:u w:val="single"/>
        </w:rPr>
      </w:pPr>
      <w:r>
        <w:rPr>
          <w:u w:val="single"/>
        </w:rPr>
        <w:tab/>
      </w:r>
    </w:p>
  </w:footnote>
  <w:footnote w:type="continuationSeparator" w:id="0">
    <w:p w:rsidR="000F5E25" w:rsidRPr="00AC3823" w:rsidRDefault="000F5E25" w:rsidP="00AC3823">
      <w:pPr>
        <w:pStyle w:val="Footer"/>
        <w:tabs>
          <w:tab w:val="right" w:pos="2155"/>
        </w:tabs>
        <w:spacing w:after="80" w:line="240" w:lineRule="atLeast"/>
        <w:ind w:left="680"/>
        <w:rPr>
          <w:u w:val="single"/>
        </w:rPr>
      </w:pPr>
      <w:r>
        <w:rPr>
          <w:u w:val="single"/>
        </w:rPr>
        <w:tab/>
      </w:r>
    </w:p>
  </w:footnote>
  <w:footnote w:type="continuationNotice" w:id="1">
    <w:p w:rsidR="000F5E25" w:rsidRPr="00AC3823" w:rsidRDefault="000F5E25">
      <w:pPr>
        <w:spacing w:line="240" w:lineRule="auto"/>
        <w:rPr>
          <w:sz w:val="2"/>
          <w:szCs w:val="2"/>
        </w:rPr>
      </w:pPr>
    </w:p>
  </w:footnote>
  <w:footnote w:id="2">
    <w:p w:rsidR="00A1627C" w:rsidRPr="00A1627C" w:rsidRDefault="00A1627C">
      <w:pPr>
        <w:pStyle w:val="FootnoteText"/>
      </w:pPr>
      <w:r>
        <w:rPr>
          <w:rStyle w:val="FootnoteReference"/>
        </w:rPr>
        <w:tab/>
      </w:r>
      <w:r w:rsidRPr="00A1627C">
        <w:rPr>
          <w:rStyle w:val="FootnoteReference"/>
          <w:sz w:val="20"/>
          <w:vertAlign w:val="baseline"/>
        </w:rPr>
        <w:t>*</w:t>
      </w:r>
      <w:r>
        <w:rPr>
          <w:rStyle w:val="FootnoteReference"/>
          <w:sz w:val="20"/>
          <w:vertAlign w:val="baseline"/>
        </w:rPr>
        <w:tab/>
      </w:r>
      <w:r w:rsidRPr="002C739A">
        <w:t xml:space="preserve">Conformément au programme de travail du Sous-Comité pour la période 2017-2018 tel qu’approuvé par le Comité à sa huitième session </w:t>
      </w:r>
      <w:r>
        <w:t>(voir ST/SG/AC.10/C.3/100, par. </w:t>
      </w:r>
      <w:r w:rsidRPr="002C739A">
        <w:t>98</w:t>
      </w:r>
      <w:r>
        <w:t>, et ST/SG/AC.10/44, par. </w:t>
      </w:r>
      <w:r w:rsidRPr="002C739A">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C8" w:rsidRPr="00DC14C8" w:rsidRDefault="00D47920">
    <w:pPr>
      <w:pStyle w:val="Header"/>
    </w:pPr>
    <w:r>
      <w:fldChar w:fldCharType="begin"/>
    </w:r>
    <w:r>
      <w:instrText xml:space="preserve"> TITLE  \* MERGEFORMAT </w:instrText>
    </w:r>
    <w:r>
      <w:fldChar w:fldCharType="separate"/>
    </w:r>
    <w:r>
      <w:t>ST/SG/AC.10/C.3/2018/49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C8" w:rsidRPr="00DC14C8" w:rsidRDefault="00D47920" w:rsidP="00DC14C8">
    <w:pPr>
      <w:pStyle w:val="Header"/>
      <w:jc w:val="right"/>
    </w:pPr>
    <w:r>
      <w:fldChar w:fldCharType="begin"/>
    </w:r>
    <w:r>
      <w:instrText xml:space="preserve"> TITLE  \* MERGEFORMAT </w:instrText>
    </w:r>
    <w:r>
      <w:fldChar w:fldCharType="separate"/>
    </w:r>
    <w:r>
      <w:t>ST/SG/AC.10/C.3/2018/49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5"/>
    <w:rsid w:val="00017F94"/>
    <w:rsid w:val="00023842"/>
    <w:rsid w:val="000305D3"/>
    <w:rsid w:val="000334F9"/>
    <w:rsid w:val="0007796D"/>
    <w:rsid w:val="000B7790"/>
    <w:rsid w:val="000E6368"/>
    <w:rsid w:val="000F5E25"/>
    <w:rsid w:val="00111F2F"/>
    <w:rsid w:val="00132EA9"/>
    <w:rsid w:val="0014365E"/>
    <w:rsid w:val="00176178"/>
    <w:rsid w:val="001F525A"/>
    <w:rsid w:val="00223272"/>
    <w:rsid w:val="0024779E"/>
    <w:rsid w:val="00283190"/>
    <w:rsid w:val="002832AC"/>
    <w:rsid w:val="002D7C93"/>
    <w:rsid w:val="00300A2A"/>
    <w:rsid w:val="00441C3B"/>
    <w:rsid w:val="00446FE5"/>
    <w:rsid w:val="00452396"/>
    <w:rsid w:val="004E468C"/>
    <w:rsid w:val="0051730D"/>
    <w:rsid w:val="005505B7"/>
    <w:rsid w:val="00573BE5"/>
    <w:rsid w:val="0058097E"/>
    <w:rsid w:val="00584DC4"/>
    <w:rsid w:val="00586ED3"/>
    <w:rsid w:val="00596AA9"/>
    <w:rsid w:val="00642DB1"/>
    <w:rsid w:val="00644DF2"/>
    <w:rsid w:val="0068456F"/>
    <w:rsid w:val="0071601D"/>
    <w:rsid w:val="007A62E6"/>
    <w:rsid w:val="007C6108"/>
    <w:rsid w:val="0080684C"/>
    <w:rsid w:val="00871C75"/>
    <w:rsid w:val="008776DC"/>
    <w:rsid w:val="008B40CD"/>
    <w:rsid w:val="008C11EC"/>
    <w:rsid w:val="009705C8"/>
    <w:rsid w:val="009C1C46"/>
    <w:rsid w:val="009C1CF4"/>
    <w:rsid w:val="00A1627C"/>
    <w:rsid w:val="00A30353"/>
    <w:rsid w:val="00AC3823"/>
    <w:rsid w:val="00AE323C"/>
    <w:rsid w:val="00B00181"/>
    <w:rsid w:val="00B00B0D"/>
    <w:rsid w:val="00B765F7"/>
    <w:rsid w:val="00BA0CA9"/>
    <w:rsid w:val="00C02897"/>
    <w:rsid w:val="00C81224"/>
    <w:rsid w:val="00CC5D7B"/>
    <w:rsid w:val="00D3439C"/>
    <w:rsid w:val="00D47920"/>
    <w:rsid w:val="00DB1831"/>
    <w:rsid w:val="00DC14C8"/>
    <w:rsid w:val="00DD3BFD"/>
    <w:rsid w:val="00DF6678"/>
    <w:rsid w:val="00E11D90"/>
    <w:rsid w:val="00EF1641"/>
    <w:rsid w:val="00EF2E22"/>
    <w:rsid w:val="00F01738"/>
    <w:rsid w:val="00F04447"/>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AE8400-EE86-4602-8552-3270BC1B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C8122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8277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ST/SG/AC.10/C.3/2018/49</vt:lpstr>
      <vt:lpstr>ST/SG/AC.10/C.3/2018/49</vt:lpstr>
    </vt:vector>
  </TitlesOfParts>
  <Company>DCM</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ST/SG/AC.10/C.3/2018/49</dc:title>
  <dc:subject/>
  <dc:creator>Sandrine CLERE</dc:creator>
  <cp:keywords/>
  <cp:lastModifiedBy>Laurence Berthet</cp:lastModifiedBy>
  <cp:revision>3</cp:revision>
  <cp:lastPrinted>2018-05-08T19:05:00Z</cp:lastPrinted>
  <dcterms:created xsi:type="dcterms:W3CDTF">2018-05-08T19:05:00Z</dcterms:created>
  <dcterms:modified xsi:type="dcterms:W3CDTF">2018-05-08T19:05:00Z</dcterms:modified>
</cp:coreProperties>
</file>