
<file path=[Content_Types].xml><?xml version="1.0" encoding="utf-8"?>
<Types xmlns="http://schemas.openxmlformats.org/package/2006/content-types">
  <Default Extension="tmp" ContentType="image/png"/>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BF594D" w:rsidRPr="006500BA" w14:paraId="1F24173C" w14:textId="77777777" w:rsidTr="00C4622B">
        <w:trPr>
          <w:trHeight w:val="851"/>
        </w:trPr>
        <w:tc>
          <w:tcPr>
            <w:tcW w:w="1259" w:type="dxa"/>
            <w:tcBorders>
              <w:top w:val="nil"/>
              <w:left w:val="nil"/>
              <w:bottom w:val="single" w:sz="4" w:space="0" w:color="auto"/>
              <w:right w:val="nil"/>
            </w:tcBorders>
          </w:tcPr>
          <w:p w14:paraId="724B2540" w14:textId="77777777" w:rsidR="00BF594D" w:rsidRPr="006500BA" w:rsidRDefault="00BF594D" w:rsidP="00C4622B">
            <w:pPr>
              <w:spacing w:after="80" w:line="340" w:lineRule="exact"/>
            </w:pPr>
          </w:p>
        </w:tc>
        <w:tc>
          <w:tcPr>
            <w:tcW w:w="2236" w:type="dxa"/>
            <w:tcBorders>
              <w:top w:val="nil"/>
              <w:left w:val="nil"/>
              <w:bottom w:val="single" w:sz="4" w:space="0" w:color="auto"/>
              <w:right w:val="nil"/>
            </w:tcBorders>
            <w:vAlign w:val="bottom"/>
          </w:tcPr>
          <w:p w14:paraId="47E0F9B1" w14:textId="77777777" w:rsidR="00BF594D" w:rsidRPr="00FE646C" w:rsidRDefault="00BF594D" w:rsidP="00C4622B">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CD7D571" w14:textId="105E9680" w:rsidR="00BF594D" w:rsidRPr="006500BA" w:rsidRDefault="00BF594D" w:rsidP="00C4622B">
            <w:pPr>
              <w:jc w:val="right"/>
            </w:pPr>
            <w:r w:rsidRPr="00FE646C">
              <w:rPr>
                <w:sz w:val="40"/>
              </w:rPr>
              <w:t>ST</w:t>
            </w:r>
            <w:r>
              <w:t>/SG/AC.10/C.3/2018/</w:t>
            </w:r>
            <w:r w:rsidR="00A42053">
              <w:t>46</w:t>
            </w:r>
          </w:p>
        </w:tc>
      </w:tr>
      <w:tr w:rsidR="00BF594D" w:rsidRPr="006500BA" w14:paraId="42EFE2F1" w14:textId="77777777" w:rsidTr="00C4622B">
        <w:trPr>
          <w:trHeight w:val="1835"/>
        </w:trPr>
        <w:tc>
          <w:tcPr>
            <w:tcW w:w="1259" w:type="dxa"/>
            <w:tcBorders>
              <w:top w:val="single" w:sz="4" w:space="0" w:color="auto"/>
              <w:left w:val="nil"/>
              <w:bottom w:val="single" w:sz="12" w:space="0" w:color="auto"/>
              <w:right w:val="nil"/>
            </w:tcBorders>
          </w:tcPr>
          <w:p w14:paraId="469C21B4" w14:textId="77777777" w:rsidR="00BF594D" w:rsidRPr="006500BA" w:rsidRDefault="00BF594D" w:rsidP="00C4622B">
            <w:pPr>
              <w:spacing w:before="120"/>
              <w:jc w:val="center"/>
            </w:pPr>
            <w:r>
              <w:rPr>
                <w:noProof/>
                <w:lang w:val="en-US"/>
              </w:rPr>
              <w:drawing>
                <wp:inline distT="0" distB="0" distL="0" distR="0" wp14:anchorId="032B232D" wp14:editId="28F114AB">
                  <wp:extent cx="715010" cy="591820"/>
                  <wp:effectExtent l="0" t="0" r="8890"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EC5C61D" w14:textId="77777777" w:rsidR="00BF594D" w:rsidRPr="00FE646C" w:rsidRDefault="00BF594D" w:rsidP="00C4622B">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344E2A91" w14:textId="2E506A3A" w:rsidR="00BF594D" w:rsidRDefault="00BF594D" w:rsidP="00C4622B">
            <w:pPr>
              <w:spacing w:before="240" w:line="240" w:lineRule="exact"/>
            </w:pPr>
            <w:r>
              <w:t>Distr.: General</w:t>
            </w:r>
            <w:r>
              <w:br/>
            </w:r>
            <w:r w:rsidR="00795A63">
              <w:t>6</w:t>
            </w:r>
            <w:r w:rsidR="00A42053">
              <w:t xml:space="preserve"> April</w:t>
            </w:r>
            <w:r>
              <w:t xml:space="preserve"> 2018</w:t>
            </w:r>
          </w:p>
          <w:p w14:paraId="35C3C309" w14:textId="77777777" w:rsidR="00BF594D" w:rsidRDefault="00BF594D" w:rsidP="00C4622B">
            <w:pPr>
              <w:spacing w:line="240" w:lineRule="exact"/>
            </w:pPr>
          </w:p>
          <w:p w14:paraId="321DF940" w14:textId="77777777" w:rsidR="00BF594D" w:rsidRPr="006500BA" w:rsidRDefault="00BF594D" w:rsidP="00C4622B">
            <w:pPr>
              <w:spacing w:line="240" w:lineRule="exact"/>
            </w:pPr>
            <w:r>
              <w:t>Original: English</w:t>
            </w:r>
          </w:p>
        </w:tc>
      </w:tr>
    </w:tbl>
    <w:p w14:paraId="07E21776" w14:textId="77777777" w:rsidR="00BF594D" w:rsidRPr="006500BA" w:rsidRDefault="00BF594D" w:rsidP="00BF594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7AAD087" w14:textId="77777777" w:rsidR="00BF594D" w:rsidRPr="006500BA" w:rsidRDefault="00BF594D" w:rsidP="00BF594D">
      <w:pPr>
        <w:spacing w:before="100"/>
        <w:rPr>
          <w:rFonts w:ascii="Helv" w:hAnsi="Helv" w:cs="Helv"/>
          <w:b/>
          <w:color w:val="000000"/>
        </w:rPr>
      </w:pPr>
      <w:r w:rsidRPr="006500BA">
        <w:rPr>
          <w:b/>
        </w:rPr>
        <w:t xml:space="preserve">Sub-Committee of Experts on the </w:t>
      </w:r>
      <w:r>
        <w:rPr>
          <w:b/>
        </w:rPr>
        <w:t>Transport of Dangerous Goods</w:t>
      </w:r>
    </w:p>
    <w:p w14:paraId="3F0E8989" w14:textId="77777777" w:rsidR="00BF594D" w:rsidRPr="006500BA" w:rsidRDefault="00BF594D" w:rsidP="00BF594D">
      <w:pPr>
        <w:spacing w:before="100"/>
        <w:rPr>
          <w:b/>
        </w:rPr>
      </w:pPr>
      <w:r>
        <w:rPr>
          <w:b/>
        </w:rPr>
        <w:t>Fifty-third session</w:t>
      </w:r>
    </w:p>
    <w:p w14:paraId="2BBF12FB" w14:textId="7502A72A" w:rsidR="00BF594D" w:rsidRPr="009D3AC0" w:rsidRDefault="00BF594D" w:rsidP="00BF594D">
      <w:pPr>
        <w:rPr>
          <w:b/>
        </w:rPr>
      </w:pPr>
      <w:r w:rsidRPr="006500BA">
        <w:t xml:space="preserve">Geneva, </w:t>
      </w:r>
      <w:r>
        <w:t>25 June-4 July 2018</w:t>
      </w:r>
      <w:r>
        <w:br/>
      </w:r>
      <w:r w:rsidRPr="009D3AC0">
        <w:t xml:space="preserve">Item </w:t>
      </w:r>
      <w:r>
        <w:t>6</w:t>
      </w:r>
      <w:r w:rsidR="00A42053">
        <w:t xml:space="preserve"> </w:t>
      </w:r>
      <w:r>
        <w:t>(b)</w:t>
      </w:r>
      <w:r w:rsidRPr="009D3AC0">
        <w:t xml:space="preserve"> of the provisional agenda</w:t>
      </w:r>
    </w:p>
    <w:p w14:paraId="5C47E23A" w14:textId="77777777" w:rsidR="00BF594D" w:rsidRDefault="00BF594D" w:rsidP="00BF594D">
      <w:pPr>
        <w:rPr>
          <w:b/>
        </w:rPr>
      </w:pPr>
      <w:r>
        <w:rPr>
          <w:b/>
        </w:rPr>
        <w:t xml:space="preserve">Miscellaneous proposals for amendments to the </w:t>
      </w:r>
    </w:p>
    <w:p w14:paraId="4CBEAA01" w14:textId="28C01845" w:rsidR="00BF594D" w:rsidRPr="00A42053" w:rsidRDefault="00BF594D" w:rsidP="00BF594D">
      <w:pPr>
        <w:pStyle w:val="HChG"/>
        <w:spacing w:before="0" w:line="240" w:lineRule="auto"/>
        <w:ind w:left="0" w:firstLine="0"/>
        <w:rPr>
          <w:sz w:val="20"/>
        </w:rPr>
      </w:pPr>
      <w:r w:rsidRPr="0060217B">
        <w:rPr>
          <w:sz w:val="20"/>
        </w:rPr>
        <w:t>Model Regulations on the Transport of Dangerous Goods:</w:t>
      </w:r>
      <w:r w:rsidRPr="0060217B">
        <w:rPr>
          <w:sz w:val="20"/>
        </w:rPr>
        <w:br/>
      </w:r>
      <w:proofErr w:type="spellStart"/>
      <w:r w:rsidR="00A42053" w:rsidRPr="00A42053">
        <w:rPr>
          <w:sz w:val="20"/>
        </w:rPr>
        <w:t>packagings</w:t>
      </w:r>
      <w:proofErr w:type="spellEnd"/>
    </w:p>
    <w:p w14:paraId="498CC786" w14:textId="3F6CE3A4" w:rsidR="001F2D80" w:rsidRDefault="001F2D80" w:rsidP="001F2D80">
      <w:pPr>
        <w:pStyle w:val="HChG"/>
        <w:rPr>
          <w:sz w:val="24"/>
        </w:rPr>
      </w:pPr>
      <w:r>
        <w:rPr>
          <w:lang w:val="en-US"/>
        </w:rPr>
        <w:tab/>
      </w:r>
      <w:r w:rsidR="00BF594D">
        <w:rPr>
          <w:lang w:val="en-US"/>
        </w:rPr>
        <w:tab/>
      </w:r>
      <w:r w:rsidR="006D641E" w:rsidRPr="006D641E">
        <w:t xml:space="preserve">Marking of the date of manufacture </w:t>
      </w:r>
      <w:r w:rsidR="006F1D2A">
        <w:t>on</w:t>
      </w:r>
      <w:r w:rsidR="006D641E" w:rsidRPr="006D641E">
        <w:t xml:space="preserve"> packagings of types 1H and 3H</w:t>
      </w:r>
      <w:r w:rsidR="00F912BD">
        <w:t xml:space="preserve"> and inner receptacles of composite </w:t>
      </w:r>
      <w:r w:rsidR="002F1643">
        <w:t>intermediate bulk containers (</w:t>
      </w:r>
      <w:r w:rsidR="00F912BD">
        <w:t>IBC’s</w:t>
      </w:r>
      <w:r w:rsidR="002F1643">
        <w:t>)</w:t>
      </w:r>
    </w:p>
    <w:p w14:paraId="38CF2D62" w14:textId="0B944971" w:rsidR="001F2D80" w:rsidRPr="006B4408" w:rsidRDefault="00A42053" w:rsidP="00A42053">
      <w:pPr>
        <w:pStyle w:val="H1G"/>
      </w:pPr>
      <w:r>
        <w:tab/>
      </w:r>
      <w:r>
        <w:tab/>
      </w:r>
      <w:r w:rsidR="00530504">
        <w:t>Transmitted</w:t>
      </w:r>
      <w:r w:rsidR="001F2D80" w:rsidRPr="006B4408">
        <w:t xml:space="preserve"> by the expert </w:t>
      </w:r>
      <w:r w:rsidR="00530504">
        <w:t>from</w:t>
      </w:r>
      <w:r w:rsidR="001F2D80" w:rsidRPr="006B4408">
        <w:t xml:space="preserve"> </w:t>
      </w:r>
      <w:r w:rsidR="005C1A67">
        <w:t>Belgium</w:t>
      </w:r>
      <w:r>
        <w:rPr>
          <w:rStyle w:val="FootnoteReference"/>
        </w:rPr>
        <w:footnoteReference w:id="2"/>
      </w:r>
    </w:p>
    <w:p w14:paraId="7F0CC9EF" w14:textId="77777777" w:rsidR="007B14D9" w:rsidRPr="00F82A63" w:rsidRDefault="001F2D80" w:rsidP="00370E20">
      <w:pPr>
        <w:pStyle w:val="HChG"/>
        <w:jc w:val="both"/>
      </w:pPr>
      <w:r w:rsidRPr="006B4408">
        <w:tab/>
      </w:r>
      <w:r w:rsidRPr="006B4408">
        <w:tab/>
      </w:r>
      <w:r w:rsidR="007B14D9">
        <w:t>Introduction</w:t>
      </w:r>
    </w:p>
    <w:p w14:paraId="28ABE504" w14:textId="420B504D" w:rsidR="002A66A1" w:rsidRPr="002A66A1" w:rsidRDefault="002A66A1" w:rsidP="00A42053">
      <w:pPr>
        <w:pStyle w:val="SingleTxtG"/>
        <w:numPr>
          <w:ilvl w:val="0"/>
          <w:numId w:val="25"/>
        </w:numPr>
        <w:ind w:left="1134" w:right="992" w:firstLine="1"/>
        <w:rPr>
          <w:i/>
        </w:rPr>
      </w:pPr>
      <w:r>
        <w:t xml:space="preserve">In 2011, </w:t>
      </w:r>
      <w:r w:rsidR="002F1643">
        <w:t xml:space="preserve">the International Confederation of Plastics </w:t>
      </w:r>
      <w:proofErr w:type="spellStart"/>
      <w:r w:rsidR="002F1643">
        <w:t>Packagings</w:t>
      </w:r>
      <w:proofErr w:type="spellEnd"/>
      <w:r w:rsidR="002F1643">
        <w:t xml:space="preserve"> manufacturers (</w:t>
      </w:r>
      <w:r>
        <w:t>ICCP</w:t>
      </w:r>
      <w:r w:rsidR="002F1643">
        <w:t>)</w:t>
      </w:r>
      <w:r>
        <w:t xml:space="preserve"> </w:t>
      </w:r>
      <w:r w:rsidR="002F1643">
        <w:t>in documents</w:t>
      </w:r>
      <w:r w:rsidR="00A52F0B">
        <w:t xml:space="preserve"> </w:t>
      </w:r>
      <w:r w:rsidRPr="002A66A1">
        <w:t>ST/SG/AC.10/C.3/2011/17</w:t>
      </w:r>
      <w:r>
        <w:t xml:space="preserve"> and </w:t>
      </w:r>
      <w:r w:rsidRPr="002A66A1">
        <w:t>ST/SG/AC.10/C.3/2011/36</w:t>
      </w:r>
      <w:r>
        <w:t xml:space="preserve"> to adapt </w:t>
      </w:r>
      <w:r w:rsidR="00A52F0B">
        <w:t xml:space="preserve">for plastic packaging </w:t>
      </w:r>
      <w:r>
        <w:t>the mark of the clock indication as follows</w:t>
      </w:r>
      <w:r w:rsidR="006F1D2A">
        <w:t>:</w:t>
      </w:r>
      <w:r>
        <w:t xml:space="preserve"> </w:t>
      </w:r>
      <w:r w:rsidRPr="002A66A1">
        <w:rPr>
          <w:i/>
        </w:rPr>
        <w:t xml:space="preserve">“The marking of the month of manufacture of packaging types 1H and 3H according to 6.1.3.1 (e) has proved itself in practice. During the last years many manufacturers added to this clock the year of manufacture. The use of a clock showing the month </w:t>
      </w:r>
      <w:r w:rsidRPr="002A66A1">
        <w:rPr>
          <w:i/>
          <w:u w:val="single"/>
        </w:rPr>
        <w:t>and</w:t>
      </w:r>
      <w:r w:rsidRPr="002A66A1">
        <w:rPr>
          <w:i/>
        </w:rPr>
        <w:t xml:space="preserve"> the year of manufacture for packaging types 1 H and 3 H has become more and more established and was practised with and without the admission of national competent authorities”.</w:t>
      </w:r>
    </w:p>
    <w:p w14:paraId="657D826C" w14:textId="5AF25330" w:rsidR="002A66A1" w:rsidRDefault="002A66A1" w:rsidP="00A42053">
      <w:pPr>
        <w:pStyle w:val="SingleTxtG"/>
        <w:numPr>
          <w:ilvl w:val="0"/>
          <w:numId w:val="25"/>
        </w:numPr>
        <w:ind w:left="1134" w:right="992" w:firstLine="1"/>
      </w:pPr>
      <w:r>
        <w:t xml:space="preserve">Based on their </w:t>
      </w:r>
      <w:r w:rsidR="006F1D2A">
        <w:t xml:space="preserve">proposal </w:t>
      </w:r>
      <w:r>
        <w:t xml:space="preserve">the </w:t>
      </w:r>
      <w:r w:rsidR="00A52F0B">
        <w:t>decision</w:t>
      </w:r>
      <w:r>
        <w:t xml:space="preserve"> was taken in 2012 </w:t>
      </w:r>
      <w:r w:rsidR="006F1D2A">
        <w:t>to modify par</w:t>
      </w:r>
      <w:r w:rsidR="002F1643">
        <w:t>agraph</w:t>
      </w:r>
      <w:r w:rsidR="006F1D2A">
        <w:t xml:space="preserve"> </w:t>
      </w:r>
      <w:r w:rsidR="006F1D2A" w:rsidRPr="006F1D2A">
        <w:t>6.1.3.1 (e)</w:t>
      </w:r>
      <w:r w:rsidR="00A52F0B">
        <w:t xml:space="preserve"> as follows:</w:t>
      </w:r>
    </w:p>
    <w:p w14:paraId="1E67F42F" w14:textId="466689BC" w:rsidR="00B86984" w:rsidRDefault="002F1643" w:rsidP="00A42053">
      <w:pPr>
        <w:pStyle w:val="SingleTxtG"/>
        <w:ind w:left="2268" w:hanging="567"/>
      </w:pPr>
      <w:r>
        <w:t>“</w:t>
      </w:r>
      <w:r w:rsidR="00A42053">
        <w:t>(e)</w:t>
      </w:r>
      <w:r w:rsidR="00A42053">
        <w:tab/>
      </w:r>
      <w:r w:rsidR="002A66A1">
        <w:t xml:space="preserve">The last </w:t>
      </w:r>
      <w:r w:rsidR="002A66A1" w:rsidRPr="00A42053">
        <w:t>two</w:t>
      </w:r>
      <w:r w:rsidR="002A66A1">
        <w:t xml:space="preserve"> digits of the year during which the packaging was manufactured.</w:t>
      </w:r>
      <w:r w:rsidR="00A42053">
        <w:t xml:space="preserve"> </w:t>
      </w:r>
      <w:proofErr w:type="spellStart"/>
      <w:r w:rsidR="002A66A1">
        <w:t>Packagings</w:t>
      </w:r>
      <w:proofErr w:type="spellEnd"/>
      <w:r w:rsidR="002A66A1">
        <w:t xml:space="preserve"> of </w:t>
      </w:r>
      <w:r w:rsidR="002A66A1" w:rsidRPr="00A42053">
        <w:t>types</w:t>
      </w:r>
      <w:r w:rsidR="002A66A1">
        <w:t xml:space="preserve"> </w:t>
      </w:r>
      <w:proofErr w:type="spellStart"/>
      <w:r w:rsidR="002A66A1">
        <w:t>lH</w:t>
      </w:r>
      <w:proofErr w:type="spellEnd"/>
      <w:r w:rsidR="002A66A1">
        <w:t xml:space="preserve"> and 3H shall also be appropriately marked with the month of</w:t>
      </w:r>
      <w:r w:rsidR="00B86984">
        <w:t xml:space="preserve"> </w:t>
      </w:r>
      <w:r w:rsidR="002A66A1">
        <w:t>manufacture; this may be marked on the packaging in a different place from the</w:t>
      </w:r>
      <w:r w:rsidR="00B86984">
        <w:t xml:space="preserve"> </w:t>
      </w:r>
      <w:r w:rsidR="002A66A1">
        <w:t>remainder of the marks. An appropriate method is:</w:t>
      </w:r>
    </w:p>
    <w:p w14:paraId="150F6D6B" w14:textId="2ADB39E8" w:rsidR="002A66A1" w:rsidRDefault="002A66A1" w:rsidP="005742FE">
      <w:pPr>
        <w:pStyle w:val="SingleTxtG"/>
        <w:ind w:left="1704" w:right="142"/>
        <w:jc w:val="center"/>
      </w:pPr>
      <w:r>
        <w:rPr>
          <w:noProof/>
          <w:lang w:val="en-US"/>
        </w:rPr>
        <w:drawing>
          <wp:inline distT="0" distB="0" distL="0" distR="0" wp14:anchorId="43B2BB1E" wp14:editId="1980C6D4">
            <wp:extent cx="1104900" cy="923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2821F9.tmp"/>
                    <pic:cNvPicPr/>
                  </pic:nvPicPr>
                  <pic:blipFill>
                    <a:blip r:embed="rId10">
                      <a:extLst>
                        <a:ext uri="{28A0092B-C50C-407E-A947-70E740481C1C}">
                          <a14:useLocalDpi xmlns:a14="http://schemas.microsoft.com/office/drawing/2010/main" val="0"/>
                        </a:ext>
                      </a:extLst>
                    </a:blip>
                    <a:stretch>
                      <a:fillRect/>
                    </a:stretch>
                  </pic:blipFill>
                  <pic:spPr>
                    <a:xfrm>
                      <a:off x="0" y="0"/>
                      <a:ext cx="1174287" cy="981947"/>
                    </a:xfrm>
                    <a:prstGeom prst="rect">
                      <a:avLst/>
                    </a:prstGeom>
                  </pic:spPr>
                </pic:pic>
              </a:graphicData>
            </a:graphic>
          </wp:inline>
        </w:drawing>
      </w:r>
    </w:p>
    <w:p w14:paraId="0BE55A25" w14:textId="3BCC5950" w:rsidR="00256E7D" w:rsidRDefault="00A42053" w:rsidP="00A42053">
      <w:pPr>
        <w:pStyle w:val="SingleTxtG"/>
        <w:ind w:left="2268" w:hanging="564"/>
      </w:pPr>
      <w:r>
        <w:lastRenderedPageBreak/>
        <w:t>*</w:t>
      </w:r>
      <w:r>
        <w:tab/>
      </w:r>
      <w:r w:rsidR="002A66A1">
        <w:t>The last two digits of the year of manufacture may be displayed at that place. In such a case, the two digits of the year in the type approval mark and in the inner circle of the clock</w:t>
      </w:r>
      <w:r w:rsidR="00370E20">
        <w:t xml:space="preserve"> </w:t>
      </w:r>
      <w:r w:rsidR="002F1643">
        <w:t>shall be identical.”.</w:t>
      </w:r>
    </w:p>
    <w:p w14:paraId="41929377" w14:textId="77777777" w:rsidR="002F1643" w:rsidRDefault="00A42053" w:rsidP="00A42053">
      <w:pPr>
        <w:pStyle w:val="SingleTxtG"/>
      </w:pPr>
      <w:r>
        <w:t>3.</w:t>
      </w:r>
      <w:r>
        <w:tab/>
      </w:r>
      <w:r w:rsidR="0057396E">
        <w:t xml:space="preserve">In addition, in paragraph 6.5.2.2.4 is mentioned </w:t>
      </w:r>
      <w:r w:rsidR="0057396E" w:rsidRPr="00AC2922">
        <w:t>that</w:t>
      </w:r>
      <w:r w:rsidR="002F1643">
        <w:t>:</w:t>
      </w:r>
    </w:p>
    <w:p w14:paraId="78E8BDC1" w14:textId="2FCE02EF" w:rsidR="0057396E" w:rsidRPr="002F1643" w:rsidRDefault="0057396E" w:rsidP="002F1643">
      <w:pPr>
        <w:pStyle w:val="SingleTxtG"/>
        <w:ind w:left="1701"/>
        <w:rPr>
          <w:i/>
        </w:rPr>
      </w:pPr>
      <w:r>
        <w:t>“</w:t>
      </w:r>
      <w:r w:rsidR="002F1643" w:rsidRPr="002F1643">
        <w:rPr>
          <w:i/>
        </w:rPr>
        <w:t>I</w:t>
      </w:r>
      <w:r w:rsidRPr="002F1643">
        <w:rPr>
          <w:i/>
        </w:rPr>
        <w:t>nner receptacles that are of composite IBC design type shall be identified by the application of the marks indicated in 6.5.2.1.1 (b), (c), (d) where this date is that of the manufacture of the plastics inner receptacle, (e) and (f). The UN packaging symbol shall not be applied. The marks shall be applied in the sequence shown in 6.5.2.1.1. It shall be durable, legible and placed in a location so as to be readily visible when the inner receptacle is placed in the outer casing.</w:t>
      </w:r>
    </w:p>
    <w:p w14:paraId="13C47B65" w14:textId="77777777" w:rsidR="0057396E" w:rsidRDefault="0057396E" w:rsidP="00370E20">
      <w:pPr>
        <w:pStyle w:val="SingleTxtG"/>
        <w:ind w:left="1704"/>
        <w:rPr>
          <w:i/>
        </w:rPr>
      </w:pPr>
      <w:r w:rsidRPr="00AC2922">
        <w:rPr>
          <w:i/>
        </w:rPr>
        <w:t xml:space="preserve">The date of the manufacture of the plastics inner receptacle may alternatively be marked on the inner receptacle </w:t>
      </w:r>
      <w:r w:rsidRPr="00AC2922">
        <w:rPr>
          <w:b/>
          <w:i/>
        </w:rPr>
        <w:t>adjacent to the remainder of the marks</w:t>
      </w:r>
      <w:r w:rsidRPr="00AC2922">
        <w:rPr>
          <w:i/>
        </w:rPr>
        <w:t>. In such a case, the two digits of the year in the mark and in the inner circle of the clock shall be identical. An example of an appropriate marking method is:</w:t>
      </w:r>
      <w:r>
        <w:rPr>
          <w:i/>
        </w:rPr>
        <w:t>”</w:t>
      </w:r>
    </w:p>
    <w:p w14:paraId="249071EB" w14:textId="4BD97BBF" w:rsidR="0057396E" w:rsidRDefault="0057396E" w:rsidP="00D22E0D">
      <w:pPr>
        <w:pStyle w:val="SingleTxtG"/>
        <w:ind w:left="1704"/>
        <w:jc w:val="center"/>
      </w:pPr>
      <w:r w:rsidRPr="00267F99">
        <w:rPr>
          <w:noProof/>
          <w:lang w:val="en-US"/>
        </w:rPr>
        <w:drawing>
          <wp:inline distT="0" distB="0" distL="0" distR="0" wp14:anchorId="20F3117A" wp14:editId="298E1C1E">
            <wp:extent cx="1047750" cy="986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782" cy="1008482"/>
                    </a:xfrm>
                    <a:prstGeom prst="rect">
                      <a:avLst/>
                    </a:prstGeom>
                    <a:noFill/>
                    <a:ln>
                      <a:noFill/>
                    </a:ln>
                  </pic:spPr>
                </pic:pic>
              </a:graphicData>
            </a:graphic>
          </wp:inline>
        </w:drawing>
      </w:r>
    </w:p>
    <w:p w14:paraId="546F076E" w14:textId="20430CE1" w:rsidR="0057396E" w:rsidRPr="00A42053" w:rsidRDefault="0057396E" w:rsidP="00A42053">
      <w:pPr>
        <w:pStyle w:val="SingleTxtG"/>
        <w:numPr>
          <w:ilvl w:val="0"/>
          <w:numId w:val="35"/>
        </w:numPr>
        <w:ind w:left="1134" w:firstLine="1"/>
      </w:pPr>
      <w:r w:rsidRPr="00A42053">
        <w:t>The question has been raised by the industry why the date of the manufacture in the UN-mark of IBC’s is still required when the date of manufacture is alternatively allowed adjacent to the remainder of marks and appears beside the UN-mark. It seems a repetition of information.</w:t>
      </w:r>
    </w:p>
    <w:p w14:paraId="4F0D6483" w14:textId="09D56667" w:rsidR="00256E7D" w:rsidRPr="00A42053" w:rsidRDefault="0057396E" w:rsidP="00A42053">
      <w:pPr>
        <w:pStyle w:val="SingleTxtG"/>
        <w:numPr>
          <w:ilvl w:val="0"/>
          <w:numId w:val="35"/>
        </w:numPr>
        <w:ind w:left="1134" w:firstLine="1"/>
      </w:pPr>
      <w:r w:rsidRPr="00A42053">
        <w:t>Although the modification of 2012</w:t>
      </w:r>
      <w:r w:rsidR="00BE2AAD" w:rsidRPr="00A42053">
        <w:t xml:space="preserve"> was a first step in the good direction,</w:t>
      </w:r>
      <w:r w:rsidRPr="00A42053">
        <w:t xml:space="preserve"> it seems </w:t>
      </w:r>
      <w:r w:rsidR="00EA09FF" w:rsidRPr="00A42053">
        <w:t xml:space="preserve">that within </w:t>
      </w:r>
      <w:r w:rsidR="00BE2AAD" w:rsidRPr="00A42053">
        <w:t>the plastic industry</w:t>
      </w:r>
      <w:r w:rsidR="00EA09FF" w:rsidRPr="00A42053">
        <w:t xml:space="preserve"> </w:t>
      </w:r>
      <w:r w:rsidR="00BF594D" w:rsidRPr="00A42053">
        <w:t>a lot of confusion exists about the correct application of the date of manufacture.</w:t>
      </w:r>
      <w:r w:rsidR="00EA09FF" w:rsidRPr="00A42053">
        <w:t xml:space="preserve"> During road inspections or verifications in the harbours, the inspection services encounter a lot of different way</w:t>
      </w:r>
      <w:r w:rsidR="00BF594D" w:rsidRPr="00A42053">
        <w:t>s</w:t>
      </w:r>
      <w:r w:rsidR="00EA09FF" w:rsidRPr="00A42053">
        <w:t xml:space="preserve"> </w:t>
      </w:r>
      <w:r w:rsidR="00BF594D" w:rsidRPr="00A42053">
        <w:t xml:space="preserve">how the </w:t>
      </w:r>
      <w:r w:rsidR="00EA09FF" w:rsidRPr="00A42053">
        <w:t>mark</w:t>
      </w:r>
      <w:r w:rsidR="00BF594D" w:rsidRPr="00A42053">
        <w:t>s</w:t>
      </w:r>
      <w:r w:rsidR="00EA09FF" w:rsidRPr="00A42053">
        <w:t xml:space="preserve"> on plastic </w:t>
      </w:r>
      <w:proofErr w:type="spellStart"/>
      <w:r w:rsidR="00EA09FF" w:rsidRPr="00A42053">
        <w:t>packagings</w:t>
      </w:r>
      <w:proofErr w:type="spellEnd"/>
      <w:r w:rsidR="00290D0C" w:rsidRPr="00A42053">
        <w:t xml:space="preserve"> </w:t>
      </w:r>
      <w:r w:rsidR="00BF594D" w:rsidRPr="00A42053">
        <w:t xml:space="preserve">are applied. Although </w:t>
      </w:r>
      <w:r w:rsidR="00290D0C" w:rsidRPr="00A42053">
        <w:t xml:space="preserve">not always in </w:t>
      </w:r>
      <w:r w:rsidR="00BF594D" w:rsidRPr="00A42053">
        <w:t xml:space="preserve">compliance </w:t>
      </w:r>
      <w:r w:rsidR="00290D0C" w:rsidRPr="00A42053">
        <w:t xml:space="preserve">with the regulations </w:t>
      </w:r>
      <w:r w:rsidR="00BF594D" w:rsidRPr="00A42053">
        <w:t xml:space="preserve">it </w:t>
      </w:r>
      <w:r w:rsidR="00290D0C" w:rsidRPr="00A42053">
        <w:t xml:space="preserve">starts to become common practice. (See pictures in annex). But as it is not officially authorized this practice leads to shipments </w:t>
      </w:r>
      <w:r w:rsidR="001714AF" w:rsidRPr="00A42053">
        <w:t>being</w:t>
      </w:r>
      <w:r w:rsidR="00290D0C" w:rsidRPr="00A42053">
        <w:t xml:space="preserve"> stopped by inspectors</w:t>
      </w:r>
      <w:r w:rsidR="00BF594D" w:rsidRPr="00A42053">
        <w:t xml:space="preserve"> because of different</w:t>
      </w:r>
      <w:r w:rsidR="005742FE" w:rsidRPr="00A42053">
        <w:t xml:space="preserve"> </w:t>
      </w:r>
      <w:r w:rsidR="00BF594D" w:rsidRPr="00A42053">
        <w:t>interpretations.</w:t>
      </w:r>
    </w:p>
    <w:p w14:paraId="56F3F29C" w14:textId="59BE720B" w:rsidR="00E10678" w:rsidRDefault="00BF594D" w:rsidP="00A42053">
      <w:pPr>
        <w:pStyle w:val="SingleTxtG"/>
        <w:numPr>
          <w:ilvl w:val="0"/>
          <w:numId w:val="35"/>
        </w:numPr>
        <w:ind w:left="1134" w:firstLine="1"/>
      </w:pPr>
      <w:r>
        <w:t xml:space="preserve">An </w:t>
      </w:r>
      <w:r w:rsidR="00290D0C" w:rsidRPr="00A42053">
        <w:t>additional</w:t>
      </w:r>
      <w:r w:rsidR="00290D0C">
        <w:t xml:space="preserve"> modification for all plastic packagings which would allow the use of the clock included in or adjacent to the UN-mark</w:t>
      </w:r>
      <w:r w:rsidR="00E10678">
        <w:t>, would be welcomed.</w:t>
      </w:r>
      <w:r w:rsidR="00290D0C">
        <w:t xml:space="preserve"> </w:t>
      </w:r>
      <w:r w:rsidR="00290D0C">
        <w:br/>
        <w:t>Some countries allow already</w:t>
      </w:r>
      <w:r w:rsidR="00E10678">
        <w:t xml:space="preserve"> for </w:t>
      </w:r>
      <w:r w:rsidR="00290D0C">
        <w:t>more than 10 years the use of only the c</w:t>
      </w:r>
      <w:r w:rsidR="00E10678">
        <w:t>l</w:t>
      </w:r>
      <w:r w:rsidR="00290D0C">
        <w:t xml:space="preserve">ock identification as month/year reference in the UN-mark and this seems for </w:t>
      </w:r>
      <w:r w:rsidR="00E10678">
        <w:t xml:space="preserve">many </w:t>
      </w:r>
      <w:r w:rsidR="00290D0C">
        <w:t>manufacture</w:t>
      </w:r>
      <w:r w:rsidR="00AC7443">
        <w:t>r</w:t>
      </w:r>
      <w:r w:rsidR="00290D0C">
        <w:t>s the common so-called authorised practice. More</w:t>
      </w:r>
      <w:r w:rsidR="00AC7443">
        <w:t xml:space="preserve"> and more</w:t>
      </w:r>
      <w:r w:rsidR="00290D0C">
        <w:t xml:space="preserve"> companies, merged within bigger groups, </w:t>
      </w:r>
      <w:r w:rsidR="00AC7443">
        <w:t>adopt</w:t>
      </w:r>
      <w:r w:rsidR="00290D0C">
        <w:t xml:space="preserve"> </w:t>
      </w:r>
      <w:r w:rsidR="00E10678">
        <w:t xml:space="preserve">this </w:t>
      </w:r>
      <w:r w:rsidR="00370E20">
        <w:t xml:space="preserve">system </w:t>
      </w:r>
      <w:r w:rsidR="00290D0C">
        <w:t xml:space="preserve">and </w:t>
      </w:r>
      <w:r w:rsidR="00370E20">
        <w:t>are using</w:t>
      </w:r>
      <w:r w:rsidR="00290D0C">
        <w:t xml:space="preserve"> it as a harmonised system in a lot of different countries. </w:t>
      </w:r>
    </w:p>
    <w:p w14:paraId="63B3AACE" w14:textId="77777777" w:rsidR="00160AE3" w:rsidRDefault="00160AE3">
      <w:pPr>
        <w:suppressAutoHyphens w:val="0"/>
        <w:spacing w:line="240" w:lineRule="auto"/>
      </w:pPr>
      <w:r>
        <w:br w:type="page"/>
      </w:r>
    </w:p>
    <w:p w14:paraId="2FC2F937" w14:textId="2DE8DF36" w:rsidR="00B86984" w:rsidRPr="00152C9E" w:rsidRDefault="002F1643" w:rsidP="002F1643">
      <w:pPr>
        <w:pStyle w:val="SingleTxtG"/>
        <w:numPr>
          <w:ilvl w:val="0"/>
          <w:numId w:val="35"/>
        </w:numPr>
        <w:ind w:left="2268" w:hanging="1133"/>
      </w:pPr>
      <w:r>
        <w:lastRenderedPageBreak/>
        <w:t>The f</w:t>
      </w:r>
      <w:r w:rsidR="00AC2922" w:rsidRPr="00152C9E">
        <w:t>ollowing options would be welcomed:</w:t>
      </w:r>
    </w:p>
    <w:tbl>
      <w:tblPr>
        <w:tblStyle w:val="TableGrid"/>
        <w:tblW w:w="0" w:type="auto"/>
        <w:tblInd w:w="1134" w:type="dxa"/>
        <w:tblLayout w:type="fixed"/>
        <w:tblLook w:val="04A0" w:firstRow="1" w:lastRow="0" w:firstColumn="1" w:lastColumn="0" w:noHBand="0" w:noVBand="1"/>
      </w:tblPr>
      <w:tblGrid>
        <w:gridCol w:w="3539"/>
        <w:gridCol w:w="1418"/>
        <w:gridCol w:w="2551"/>
      </w:tblGrid>
      <w:tr w:rsidR="00B86984" w14:paraId="11A9751A" w14:textId="77777777" w:rsidTr="00B86984">
        <w:tc>
          <w:tcPr>
            <w:tcW w:w="3539" w:type="dxa"/>
          </w:tcPr>
          <w:p w14:paraId="481F5485" w14:textId="77777777" w:rsidR="00B86984" w:rsidRDefault="00B86984" w:rsidP="00A52F0B">
            <w:pPr>
              <w:pStyle w:val="SingleTxtG"/>
              <w:ind w:left="0"/>
            </w:pPr>
            <w:r>
              <w:rPr>
                <w:noProof/>
                <w:lang w:val="en-US"/>
              </w:rPr>
              <w:drawing>
                <wp:inline distT="0" distB="0" distL="0" distR="0" wp14:anchorId="121394C4" wp14:editId="143ED196">
                  <wp:extent cx="1727284" cy="7270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BAFB.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9960" cy="740829"/>
                          </a:xfrm>
                          <a:prstGeom prst="rect">
                            <a:avLst/>
                          </a:prstGeom>
                        </pic:spPr>
                      </pic:pic>
                    </a:graphicData>
                  </a:graphic>
                </wp:inline>
              </w:drawing>
            </w:r>
          </w:p>
        </w:tc>
        <w:tc>
          <w:tcPr>
            <w:tcW w:w="1418" w:type="dxa"/>
          </w:tcPr>
          <w:p w14:paraId="74FA3F1D" w14:textId="77777777" w:rsidR="00B86984" w:rsidRDefault="00B86984" w:rsidP="00A52F0B">
            <w:pPr>
              <w:pStyle w:val="SingleTxtG"/>
              <w:ind w:left="0"/>
            </w:pPr>
            <w:r>
              <w:rPr>
                <w:noProof/>
                <w:lang w:val="en-US"/>
              </w:rPr>
              <w:drawing>
                <wp:inline distT="0" distB="0" distL="0" distR="0" wp14:anchorId="48FB2BAD" wp14:editId="66C770ED">
                  <wp:extent cx="768350" cy="71921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25FE.tmp"/>
                          <pic:cNvPicPr/>
                        </pic:nvPicPr>
                        <pic:blipFill>
                          <a:blip r:embed="rId13">
                            <a:extLst>
                              <a:ext uri="{28A0092B-C50C-407E-A947-70E740481C1C}">
                                <a14:useLocalDpi xmlns:a14="http://schemas.microsoft.com/office/drawing/2010/main" val="0"/>
                              </a:ext>
                            </a:extLst>
                          </a:blip>
                          <a:stretch>
                            <a:fillRect/>
                          </a:stretch>
                        </pic:blipFill>
                        <pic:spPr>
                          <a:xfrm>
                            <a:off x="0" y="0"/>
                            <a:ext cx="783229" cy="733139"/>
                          </a:xfrm>
                          <a:prstGeom prst="rect">
                            <a:avLst/>
                          </a:prstGeom>
                        </pic:spPr>
                      </pic:pic>
                    </a:graphicData>
                  </a:graphic>
                </wp:inline>
              </w:drawing>
            </w:r>
          </w:p>
        </w:tc>
        <w:tc>
          <w:tcPr>
            <w:tcW w:w="2551" w:type="dxa"/>
          </w:tcPr>
          <w:p w14:paraId="3F5442B5" w14:textId="77777777" w:rsidR="00B86984" w:rsidRDefault="00B86984" w:rsidP="00B86984">
            <w:pPr>
              <w:pStyle w:val="SingleTxtG"/>
              <w:ind w:left="0" w:right="0"/>
            </w:pPr>
          </w:p>
          <w:p w14:paraId="1E8FE74F" w14:textId="77777777" w:rsidR="00B86984" w:rsidRDefault="00B86984" w:rsidP="00B86984">
            <w:pPr>
              <w:pStyle w:val="SingleTxtG"/>
              <w:ind w:left="0" w:right="0"/>
            </w:pPr>
            <w:r>
              <w:t>Clock may be on another place on the packaging (ex. Bottom)</w:t>
            </w:r>
          </w:p>
        </w:tc>
      </w:tr>
      <w:tr w:rsidR="00B86984" w14:paraId="727A38C1" w14:textId="77777777" w:rsidTr="00B86984">
        <w:tc>
          <w:tcPr>
            <w:tcW w:w="3539" w:type="dxa"/>
          </w:tcPr>
          <w:p w14:paraId="2CFE3126" w14:textId="77777777" w:rsidR="00B86984" w:rsidRDefault="00B86984" w:rsidP="00A52F0B">
            <w:pPr>
              <w:pStyle w:val="SingleTxtG"/>
              <w:ind w:left="0"/>
            </w:pPr>
            <w:r>
              <w:rPr>
                <w:noProof/>
                <w:lang w:val="en-US"/>
              </w:rPr>
              <w:drawing>
                <wp:inline distT="0" distB="0" distL="0" distR="0" wp14:anchorId="0C440F37" wp14:editId="2A085FAA">
                  <wp:extent cx="2035175" cy="772504"/>
                  <wp:effectExtent l="0" t="0" r="317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1B03.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4137" cy="810068"/>
                          </a:xfrm>
                          <a:prstGeom prst="rect">
                            <a:avLst/>
                          </a:prstGeom>
                        </pic:spPr>
                      </pic:pic>
                    </a:graphicData>
                  </a:graphic>
                </wp:inline>
              </w:drawing>
            </w:r>
          </w:p>
        </w:tc>
        <w:tc>
          <w:tcPr>
            <w:tcW w:w="1418" w:type="dxa"/>
          </w:tcPr>
          <w:p w14:paraId="2EB05C51" w14:textId="77777777" w:rsidR="00B86984" w:rsidRDefault="00B86984" w:rsidP="00A52F0B">
            <w:pPr>
              <w:pStyle w:val="SingleTxtG"/>
              <w:ind w:left="0"/>
            </w:pPr>
          </w:p>
        </w:tc>
        <w:tc>
          <w:tcPr>
            <w:tcW w:w="2551" w:type="dxa"/>
          </w:tcPr>
          <w:p w14:paraId="3ED25D47" w14:textId="77777777" w:rsidR="00B86984" w:rsidRDefault="00B86984" w:rsidP="00A52F0B">
            <w:pPr>
              <w:pStyle w:val="SingleTxtG"/>
              <w:ind w:left="0"/>
            </w:pPr>
          </w:p>
          <w:p w14:paraId="27513C12" w14:textId="77777777" w:rsidR="00B86984" w:rsidRDefault="00B86984" w:rsidP="00B86984">
            <w:pPr>
              <w:pStyle w:val="SingleTxtG"/>
              <w:ind w:left="0" w:right="142"/>
            </w:pPr>
            <w:r>
              <w:t>Clock within the UN</w:t>
            </w:r>
            <w:r w:rsidR="00B93AB4">
              <w:t xml:space="preserve">-mark </w:t>
            </w:r>
          </w:p>
        </w:tc>
      </w:tr>
      <w:tr w:rsidR="00B86984" w14:paraId="0BE2B84A" w14:textId="77777777" w:rsidTr="00B86984">
        <w:tc>
          <w:tcPr>
            <w:tcW w:w="3539" w:type="dxa"/>
          </w:tcPr>
          <w:p w14:paraId="55E0497C" w14:textId="77777777" w:rsidR="00B86984" w:rsidRDefault="00B86984" w:rsidP="00A52F0B">
            <w:pPr>
              <w:pStyle w:val="SingleTxtG"/>
              <w:ind w:left="0"/>
            </w:pPr>
            <w:r>
              <w:rPr>
                <w:noProof/>
                <w:lang w:val="en-US"/>
              </w:rPr>
              <w:drawing>
                <wp:inline distT="0" distB="0" distL="0" distR="0" wp14:anchorId="1E4AB674" wp14:editId="334654BC">
                  <wp:extent cx="2133600" cy="7814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2932" cy="825107"/>
                          </a:xfrm>
                          <a:prstGeom prst="rect">
                            <a:avLst/>
                          </a:prstGeom>
                          <a:noFill/>
                        </pic:spPr>
                      </pic:pic>
                    </a:graphicData>
                  </a:graphic>
                </wp:inline>
              </w:drawing>
            </w:r>
          </w:p>
        </w:tc>
        <w:tc>
          <w:tcPr>
            <w:tcW w:w="1418" w:type="dxa"/>
          </w:tcPr>
          <w:p w14:paraId="1870002D" w14:textId="77777777" w:rsidR="00B86984" w:rsidRDefault="00B86984" w:rsidP="00A52F0B">
            <w:pPr>
              <w:pStyle w:val="SingleTxtG"/>
              <w:ind w:left="0"/>
            </w:pPr>
          </w:p>
        </w:tc>
        <w:tc>
          <w:tcPr>
            <w:tcW w:w="2551" w:type="dxa"/>
          </w:tcPr>
          <w:p w14:paraId="1BC387EE" w14:textId="77777777" w:rsidR="00B86984" w:rsidRDefault="00B86984" w:rsidP="00A52F0B">
            <w:pPr>
              <w:pStyle w:val="SingleTxtG"/>
              <w:ind w:left="0"/>
            </w:pPr>
          </w:p>
          <w:p w14:paraId="3742772D" w14:textId="77777777" w:rsidR="00B86984" w:rsidRDefault="00B86984" w:rsidP="00B86984">
            <w:pPr>
              <w:pStyle w:val="SingleTxtG"/>
              <w:ind w:left="0" w:right="0"/>
            </w:pPr>
            <w:r>
              <w:t>Clock adjacent or close to the UN</w:t>
            </w:r>
            <w:r w:rsidR="00B93AB4">
              <w:t xml:space="preserve">- mark </w:t>
            </w:r>
          </w:p>
        </w:tc>
      </w:tr>
    </w:tbl>
    <w:p w14:paraId="13C4B88A" w14:textId="4A3B9A6D" w:rsidR="007B14D9" w:rsidRDefault="00160AE3" w:rsidP="00160AE3">
      <w:pPr>
        <w:pStyle w:val="HChG"/>
      </w:pPr>
      <w:r>
        <w:tab/>
      </w:r>
      <w:r>
        <w:tab/>
      </w:r>
      <w:r w:rsidR="00E97FC3" w:rsidRPr="00160AE3">
        <w:t>P</w:t>
      </w:r>
      <w:r w:rsidR="007B14D9" w:rsidRPr="00160AE3">
        <w:t>roposal</w:t>
      </w:r>
    </w:p>
    <w:p w14:paraId="772462BE" w14:textId="2D64FE5C" w:rsidR="00267F99" w:rsidRPr="00267F99" w:rsidRDefault="007B14D9" w:rsidP="00160AE3">
      <w:pPr>
        <w:pStyle w:val="SingleTxtG"/>
        <w:numPr>
          <w:ilvl w:val="0"/>
          <w:numId w:val="35"/>
        </w:numPr>
        <w:ind w:left="1701" w:hanging="566"/>
        <w:rPr>
          <w:rFonts w:eastAsia="SimSun"/>
          <w:bCs/>
        </w:rPr>
      </w:pPr>
      <w:r w:rsidRPr="007B14D9">
        <w:t xml:space="preserve">Amend </w:t>
      </w:r>
      <w:r w:rsidR="002F1643">
        <w:rPr>
          <w:rFonts w:eastAsia="Calibri"/>
          <w:color w:val="000000"/>
        </w:rPr>
        <w:t>6.1.3.1 (e)</w:t>
      </w:r>
      <w:r w:rsidR="002F1643">
        <w:t xml:space="preserve"> as follows (</w:t>
      </w:r>
      <w:r w:rsidR="002F1643" w:rsidRPr="00152C9E">
        <w:rPr>
          <w:u w:val="single"/>
        </w:rPr>
        <w:t>new text underlined</w:t>
      </w:r>
      <w:r w:rsidR="002F1643">
        <w:t xml:space="preserve">, </w:t>
      </w:r>
      <w:r w:rsidR="002F1643" w:rsidRPr="00152C9E">
        <w:rPr>
          <w:strike/>
        </w:rPr>
        <w:t>deleted text stricken trough</w:t>
      </w:r>
      <w:r w:rsidR="002F1643">
        <w:t>):</w:t>
      </w:r>
    </w:p>
    <w:p w14:paraId="24ABC4FA" w14:textId="128BDC4B" w:rsidR="006D641E" w:rsidRDefault="002F1643" w:rsidP="002F1643">
      <w:pPr>
        <w:pStyle w:val="SingleTxtG"/>
        <w:ind w:left="1701"/>
      </w:pPr>
      <w:r>
        <w:t>“</w:t>
      </w:r>
      <w:r w:rsidR="00B86984" w:rsidRPr="00B86984">
        <w:t xml:space="preserve">The last two digits of the year during which the packaging was manufactured. </w:t>
      </w:r>
      <w:proofErr w:type="spellStart"/>
      <w:r w:rsidR="00B86984" w:rsidRPr="00B86984">
        <w:t>Packagings</w:t>
      </w:r>
      <w:proofErr w:type="spellEnd"/>
      <w:r w:rsidR="00B86984" w:rsidRPr="00B86984">
        <w:t xml:space="preserve"> of types </w:t>
      </w:r>
      <w:proofErr w:type="spellStart"/>
      <w:r w:rsidR="00B86984" w:rsidRPr="00B86984">
        <w:t>lH</w:t>
      </w:r>
      <w:proofErr w:type="spellEnd"/>
      <w:r w:rsidR="00B86984" w:rsidRPr="00B86984">
        <w:t xml:space="preserve"> and 3H shall also be appropriately marked with the month of manufacture; this may be marked on the packaging in a different place from the remainder of the marks. An appropriate method is:</w:t>
      </w:r>
    </w:p>
    <w:p w14:paraId="6CB07A3E" w14:textId="77777777" w:rsidR="00B86984" w:rsidRDefault="00B86984" w:rsidP="00B86984">
      <w:pPr>
        <w:pStyle w:val="singletxtg0"/>
        <w:jc w:val="center"/>
        <w:rPr>
          <w:color w:val="000000"/>
        </w:rPr>
      </w:pPr>
      <w:r>
        <w:rPr>
          <w:noProof/>
          <w:color w:val="000000"/>
        </w:rPr>
        <w:drawing>
          <wp:inline distT="0" distB="0" distL="0" distR="0" wp14:anchorId="2C2D8CE9" wp14:editId="2D8544B5">
            <wp:extent cx="914400" cy="802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802640"/>
                    </a:xfrm>
                    <a:prstGeom prst="rect">
                      <a:avLst/>
                    </a:prstGeom>
                    <a:noFill/>
                  </pic:spPr>
                </pic:pic>
              </a:graphicData>
            </a:graphic>
          </wp:inline>
        </w:drawing>
      </w:r>
    </w:p>
    <w:p w14:paraId="494E8B0B" w14:textId="65D7883B" w:rsidR="00B86984" w:rsidRPr="006D641E" w:rsidRDefault="00B86984" w:rsidP="002F1643">
      <w:pPr>
        <w:suppressAutoHyphens w:val="0"/>
        <w:spacing w:before="120" w:after="120" w:line="240" w:lineRule="auto"/>
        <w:ind w:left="1701" w:right="1134"/>
        <w:jc w:val="both"/>
        <w:rPr>
          <w:color w:val="000000"/>
        </w:rPr>
      </w:pPr>
      <w:r w:rsidRPr="00F912BD">
        <w:rPr>
          <w:color w:val="000000"/>
        </w:rPr>
        <w:t>*</w:t>
      </w:r>
      <w:r w:rsidR="00160AE3">
        <w:rPr>
          <w:color w:val="000000"/>
        </w:rPr>
        <w:tab/>
      </w:r>
      <w:r w:rsidRPr="00F912BD">
        <w:rPr>
          <w:color w:val="000000"/>
        </w:rPr>
        <w:t>The last two digits of the year of manufacture may be displayed</w:t>
      </w:r>
      <w:r w:rsidR="00F912BD" w:rsidRPr="00F912BD">
        <w:rPr>
          <w:color w:val="000000"/>
        </w:rPr>
        <w:t xml:space="preserve"> at that place.</w:t>
      </w:r>
      <w:r w:rsidR="002F1643">
        <w:rPr>
          <w:color w:val="000000"/>
        </w:rPr>
        <w:t xml:space="preserve"> </w:t>
      </w:r>
      <w:r w:rsidR="002F1643" w:rsidRPr="00D22E0D">
        <w:rPr>
          <w:u w:val="single"/>
        </w:rPr>
        <w:t xml:space="preserve">In this case and under condition the clock is placed adjacent to UN design type mark, </w:t>
      </w:r>
      <w:r w:rsidR="002F1643" w:rsidRPr="00D22E0D">
        <w:rPr>
          <w:rFonts w:eastAsia="Calibri"/>
          <w:u w:val="single"/>
        </w:rPr>
        <w:t>the indication of the year in the type approval mark may be waived. However, in case the clock is not placed</w:t>
      </w:r>
      <w:r w:rsidR="002F1643" w:rsidRPr="00D22E0D">
        <w:rPr>
          <w:rFonts w:eastAsia="Calibri"/>
          <w:bCs/>
          <w:u w:val="single"/>
        </w:rPr>
        <w:t xml:space="preserve"> adjacent</w:t>
      </w:r>
      <w:r w:rsidR="002F1643" w:rsidRPr="00D22E0D">
        <w:rPr>
          <w:rFonts w:eastAsia="Calibri"/>
          <w:u w:val="single"/>
        </w:rPr>
        <w:t xml:space="preserve"> to the UN design type mark, </w:t>
      </w:r>
      <w:proofErr w:type="gramStart"/>
      <w:r w:rsidR="002F1643" w:rsidRPr="002F1643">
        <w:rPr>
          <w:strike/>
          <w:color w:val="000000"/>
        </w:rPr>
        <w:t>In</w:t>
      </w:r>
      <w:proofErr w:type="gramEnd"/>
      <w:r w:rsidR="002F1643" w:rsidRPr="002F1643">
        <w:rPr>
          <w:strike/>
          <w:color w:val="000000"/>
        </w:rPr>
        <w:t xml:space="preserve"> such a case,</w:t>
      </w:r>
      <w:r w:rsidR="002F1643">
        <w:rPr>
          <w:color w:val="000000"/>
        </w:rPr>
        <w:t xml:space="preserve"> the two digits of the year in the </w:t>
      </w:r>
      <w:r w:rsidR="002F1643" w:rsidRPr="002F1643">
        <w:rPr>
          <w:strike/>
          <w:color w:val="000000"/>
        </w:rPr>
        <w:t>type approval</w:t>
      </w:r>
      <w:r w:rsidR="002F1643">
        <w:rPr>
          <w:color w:val="000000"/>
        </w:rPr>
        <w:t xml:space="preserve"> mark and in </w:t>
      </w:r>
      <w:r w:rsidR="002F1643" w:rsidRPr="002F1643">
        <w:rPr>
          <w:strike/>
          <w:color w:val="000000"/>
        </w:rPr>
        <w:t>the inner circle of</w:t>
      </w:r>
      <w:r w:rsidR="002F1643">
        <w:rPr>
          <w:color w:val="000000"/>
        </w:rPr>
        <w:t xml:space="preserve"> the clock </w:t>
      </w:r>
      <w:r w:rsidR="002F1643" w:rsidRPr="002F1643">
        <w:rPr>
          <w:strike/>
          <w:color w:val="000000"/>
        </w:rPr>
        <w:t>should</w:t>
      </w:r>
      <w:r w:rsidR="002F1643">
        <w:rPr>
          <w:color w:val="000000"/>
        </w:rPr>
        <w:t xml:space="preserve"> </w:t>
      </w:r>
      <w:r w:rsidR="002F1643" w:rsidRPr="002F1643">
        <w:rPr>
          <w:color w:val="000000"/>
          <w:u w:val="single"/>
        </w:rPr>
        <w:t>shall</w:t>
      </w:r>
      <w:r w:rsidR="002F1643">
        <w:rPr>
          <w:color w:val="000000"/>
        </w:rPr>
        <w:t xml:space="preserve"> be identical.</w:t>
      </w:r>
      <w:r w:rsidR="00F912BD" w:rsidRPr="00F912BD">
        <w:rPr>
          <w:color w:val="000000"/>
        </w:rPr>
        <w:t xml:space="preserve"> </w:t>
      </w:r>
    </w:p>
    <w:p w14:paraId="6538FBD6" w14:textId="77777777" w:rsidR="006D641E" w:rsidRPr="00160AE3" w:rsidRDefault="008D3DB6" w:rsidP="002F1643">
      <w:pPr>
        <w:pStyle w:val="SingleTxtG"/>
        <w:ind w:left="1701"/>
        <w:rPr>
          <w:rFonts w:eastAsia="Calibri"/>
          <w:i/>
          <w:iCs/>
        </w:rPr>
      </w:pPr>
      <w:r w:rsidRPr="00160AE3">
        <w:rPr>
          <w:rFonts w:eastAsia="Calibri"/>
          <w:b/>
          <w:bCs/>
          <w:i/>
          <w:iCs/>
        </w:rPr>
        <w:t>NOTE</w:t>
      </w:r>
      <w:r w:rsidRPr="00160AE3">
        <w:rPr>
          <w:rFonts w:eastAsia="Calibri"/>
          <w:i/>
          <w:iCs/>
        </w:rPr>
        <w:t xml:space="preserve">: </w:t>
      </w:r>
      <w:r w:rsidR="006D641E" w:rsidRPr="00160AE3">
        <w:rPr>
          <w:rFonts w:eastAsia="Calibri"/>
          <w:i/>
          <w:iCs/>
        </w:rPr>
        <w:t>Other methods that provide the minimum required information in a durable, legible and visible form are also acceptable.”</w:t>
      </w:r>
    </w:p>
    <w:p w14:paraId="3D533D53" w14:textId="77777777" w:rsidR="00C2074A" w:rsidRPr="00267F99" w:rsidRDefault="00C2074A" w:rsidP="00C2074A">
      <w:pPr>
        <w:pStyle w:val="SingleTxtG"/>
        <w:rPr>
          <w:rFonts w:eastAsia="SimSun"/>
          <w:bCs/>
        </w:rPr>
      </w:pPr>
      <w:r>
        <w:t>9.</w:t>
      </w:r>
      <w:r>
        <w:tab/>
      </w:r>
      <w:r w:rsidR="008D3DB6" w:rsidRPr="00160AE3">
        <w:t>A</w:t>
      </w:r>
      <w:r w:rsidR="00267F99" w:rsidRPr="00160AE3">
        <w:t>mend</w:t>
      </w:r>
      <w:r w:rsidR="00267F99">
        <w:t xml:space="preserve"> </w:t>
      </w:r>
      <w:r>
        <w:t xml:space="preserve">the second paragraph of </w:t>
      </w:r>
      <w:r w:rsidR="00267F99" w:rsidRPr="00267F99">
        <w:t>6.</w:t>
      </w:r>
      <w:r w:rsidR="00267F99">
        <w:t xml:space="preserve">5.2.2.4 </w:t>
      </w:r>
      <w:r w:rsidR="00267F99" w:rsidRPr="00267F99">
        <w:t>as follows</w:t>
      </w:r>
      <w:r>
        <w:t xml:space="preserve"> (</w:t>
      </w:r>
      <w:r w:rsidRPr="00152C9E">
        <w:rPr>
          <w:u w:val="single"/>
        </w:rPr>
        <w:t>new text underlined</w:t>
      </w:r>
      <w:r>
        <w:t xml:space="preserve">, </w:t>
      </w:r>
      <w:r w:rsidRPr="00152C9E">
        <w:rPr>
          <w:strike/>
        </w:rPr>
        <w:t>deleted text stricken trough</w:t>
      </w:r>
      <w:r>
        <w:t>):</w:t>
      </w:r>
    </w:p>
    <w:p w14:paraId="78621545" w14:textId="253C7528" w:rsidR="00267F99" w:rsidRPr="00152C9E" w:rsidRDefault="00C2074A" w:rsidP="00C2074A">
      <w:pPr>
        <w:pStyle w:val="SingleTxtG"/>
        <w:ind w:left="1701"/>
      </w:pPr>
      <w:r>
        <w:t>“</w:t>
      </w:r>
      <w:r w:rsidR="00267F99">
        <w:t xml:space="preserve">The date of the manufacture of the plastics inner receptacle may alternatively be </w:t>
      </w:r>
      <w:r w:rsidR="00267F99" w:rsidRPr="00F37D94">
        <w:t xml:space="preserve">marked on the inner receptacle adjacent to the remainder of the marks. </w:t>
      </w:r>
      <w:r w:rsidR="0086039C" w:rsidRPr="00F37D94">
        <w:t>In such a case</w:t>
      </w:r>
      <w:r w:rsidR="00152C9E">
        <w:t>,</w:t>
      </w:r>
      <w:r w:rsidR="0086039C" w:rsidRPr="00F37D94">
        <w:t xml:space="preserve"> </w:t>
      </w:r>
      <w:r w:rsidR="00B02481" w:rsidRPr="00D22E0D">
        <w:rPr>
          <w:u w:val="single"/>
        </w:rPr>
        <w:t xml:space="preserve">the </w:t>
      </w:r>
      <w:r w:rsidR="00F37D94" w:rsidRPr="00D22E0D">
        <w:rPr>
          <w:u w:val="single"/>
        </w:rPr>
        <w:t>date</w:t>
      </w:r>
      <w:r w:rsidR="00B02481" w:rsidRPr="00D22E0D">
        <w:rPr>
          <w:u w:val="single"/>
        </w:rPr>
        <w:t xml:space="preserve"> may be waived from the remainder of the </w:t>
      </w:r>
      <w:r w:rsidR="00B02481" w:rsidRPr="00152C9E">
        <w:rPr>
          <w:u w:val="single"/>
        </w:rPr>
        <w:t>marks</w:t>
      </w:r>
      <w:r w:rsidR="00152C9E" w:rsidRPr="00152C9E">
        <w:rPr>
          <w:i/>
        </w:rPr>
        <w:t xml:space="preserve"> </w:t>
      </w:r>
      <w:r w:rsidR="00152C9E" w:rsidRPr="00152C9E">
        <w:rPr>
          <w:strike/>
        </w:rPr>
        <w:t>the two digits of the year in the mark and in the inner circle of the clock shall be identical</w:t>
      </w:r>
      <w:r w:rsidR="00152C9E" w:rsidRPr="00152C9E">
        <w:t>.</w:t>
      </w:r>
      <w:r w:rsidR="00B51272">
        <w:t xml:space="preserve"> An example of an appropriate method is: ...”. [</w:t>
      </w:r>
      <w:r w:rsidR="00B51272" w:rsidRPr="00B51272">
        <w:rPr>
          <w:i/>
        </w:rPr>
        <w:t>the</w:t>
      </w:r>
      <w:r w:rsidR="00B51272">
        <w:t xml:space="preserve"> </w:t>
      </w:r>
      <w:r w:rsidR="00B51272" w:rsidRPr="00B51272">
        <w:rPr>
          <w:i/>
        </w:rPr>
        <w:t>mark</w:t>
      </w:r>
      <w:r w:rsidR="00B51272">
        <w:rPr>
          <w:i/>
        </w:rPr>
        <w:t>ing</w:t>
      </w:r>
      <w:r w:rsidR="00B51272" w:rsidRPr="00B51272">
        <w:rPr>
          <w:i/>
        </w:rPr>
        <w:t xml:space="preserve"> and related notes 1 and 2 remain unchanged</w:t>
      </w:r>
      <w:r w:rsidR="00B51272">
        <w:t>]</w:t>
      </w:r>
      <w:r>
        <w:t>.</w:t>
      </w:r>
    </w:p>
    <w:p w14:paraId="3D78622E" w14:textId="77777777" w:rsidR="00160AE3" w:rsidRDefault="00160AE3">
      <w:pPr>
        <w:suppressAutoHyphens w:val="0"/>
        <w:spacing w:line="240" w:lineRule="auto"/>
        <w:rPr>
          <w:b/>
          <w:u w:val="single"/>
        </w:rPr>
      </w:pPr>
      <w:r>
        <w:rPr>
          <w:b/>
          <w:u w:val="single"/>
        </w:rPr>
        <w:br w:type="page"/>
      </w:r>
    </w:p>
    <w:p w14:paraId="43C16524" w14:textId="77777777" w:rsidR="00160AE3" w:rsidRDefault="00160AE3" w:rsidP="00160AE3">
      <w:pPr>
        <w:pStyle w:val="HChG"/>
      </w:pPr>
      <w:r>
        <w:lastRenderedPageBreak/>
        <w:t>Annex</w:t>
      </w:r>
    </w:p>
    <w:p w14:paraId="65D6DDAB" w14:textId="5DC73297" w:rsidR="00370E20" w:rsidRPr="007F06E4" w:rsidRDefault="00160AE3" w:rsidP="00160AE3">
      <w:pPr>
        <w:pStyle w:val="HChG"/>
      </w:pPr>
      <w:r>
        <w:tab/>
      </w:r>
      <w:r>
        <w:tab/>
        <w:t>P</w:t>
      </w:r>
      <w:r w:rsidR="00290D0C" w:rsidRPr="007F06E4">
        <w:t>ictures taken at inspection locations and production verifications</w:t>
      </w:r>
    </w:p>
    <w:p w14:paraId="29BE94DE" w14:textId="6AABE6A2" w:rsidR="00290D0C" w:rsidRDefault="00290D0C" w:rsidP="00A52F0B">
      <w:pPr>
        <w:pStyle w:val="SingleTxtG"/>
      </w:pPr>
      <w:r w:rsidRPr="00A52F0B">
        <w:rPr>
          <w:noProof/>
          <w:lang w:val="en-US"/>
        </w:rPr>
        <w:drawing>
          <wp:inline distT="0" distB="0" distL="0" distR="0" wp14:anchorId="53DC274F" wp14:editId="4DF27ECA">
            <wp:extent cx="3409315" cy="2508250"/>
            <wp:effectExtent l="0" t="0" r="635" b="6350"/>
            <wp:docPr id="1" name="Picture 1" descr="C:\Users\Maxence.Wittebolle\AppData\Local\Microsoft\Windows\Temporary Internet Files\Content.Outlook\RBVUIZHW\IMG_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ence.Wittebolle\AppData\Local\Microsoft\Windows\Temporary Internet Files\Content.Outlook\RBVUIZHW\IMG_28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0045" cy="2619143"/>
                    </a:xfrm>
                    <a:prstGeom prst="rect">
                      <a:avLst/>
                    </a:prstGeom>
                    <a:noFill/>
                    <a:ln>
                      <a:noFill/>
                    </a:ln>
                  </pic:spPr>
                </pic:pic>
              </a:graphicData>
            </a:graphic>
          </wp:inline>
        </w:drawing>
      </w:r>
    </w:p>
    <w:p w14:paraId="3E5684E1" w14:textId="0986B0A1" w:rsidR="00290D0C" w:rsidRDefault="00E10678" w:rsidP="00A52F0B">
      <w:pPr>
        <w:pStyle w:val="SingleTxtG"/>
      </w:pPr>
      <w:r>
        <w:rPr>
          <w:noProof/>
          <w:lang w:val="en-US"/>
        </w:rPr>
        <w:drawing>
          <wp:inline distT="0" distB="0" distL="0" distR="0" wp14:anchorId="17354AED" wp14:editId="3A97502D">
            <wp:extent cx="3790950" cy="1962150"/>
            <wp:effectExtent l="0" t="0" r="0" b="0"/>
            <wp:docPr id="10" name="Picture 10" descr="cid:_1_11F0AEB811F0AAE00027FD80C1257F1C"/>
            <wp:cNvGraphicFramePr/>
            <a:graphic xmlns:a="http://schemas.openxmlformats.org/drawingml/2006/main">
              <a:graphicData uri="http://schemas.openxmlformats.org/drawingml/2006/picture">
                <pic:pic xmlns:pic="http://schemas.openxmlformats.org/drawingml/2006/picture">
                  <pic:nvPicPr>
                    <pic:cNvPr id="2" name="Picture 2" descr="cid:_1_11F0AEB811F0AAE00027FD80C1257F1C"/>
                    <pic:cNvPicPr/>
                  </pic:nvPicPr>
                  <pic:blipFill rotWithShape="1">
                    <a:blip r:embed="rId18" r:link="rId19">
                      <a:extLst>
                        <a:ext uri="{28A0092B-C50C-407E-A947-70E740481C1C}">
                          <a14:useLocalDpi xmlns:a14="http://schemas.microsoft.com/office/drawing/2010/main" val="0"/>
                        </a:ext>
                      </a:extLst>
                    </a:blip>
                    <a:srcRect t="8707" b="16895"/>
                    <a:stretch/>
                  </pic:blipFill>
                  <pic:spPr bwMode="auto">
                    <a:xfrm>
                      <a:off x="0" y="0"/>
                      <a:ext cx="3790950"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4EADFB67" w14:textId="6D86C99C" w:rsidR="003E60CC" w:rsidRDefault="005B1070" w:rsidP="00A52F0B">
      <w:pPr>
        <w:pStyle w:val="SingleTxtG"/>
      </w:pPr>
      <w:r>
        <w:rPr>
          <w:noProof/>
          <w:lang w:val="en-US"/>
        </w:rPr>
        <w:drawing>
          <wp:inline distT="0" distB="0" distL="0" distR="0" wp14:anchorId="1F4985C5" wp14:editId="54A4C24B">
            <wp:extent cx="4248150" cy="93035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1378" cy="931057"/>
                    </a:xfrm>
                    <a:prstGeom prst="rect">
                      <a:avLst/>
                    </a:prstGeom>
                    <a:noFill/>
                  </pic:spPr>
                </pic:pic>
              </a:graphicData>
            </a:graphic>
          </wp:inline>
        </w:drawing>
      </w:r>
    </w:p>
    <w:p w14:paraId="255B8ACE" w14:textId="1FF06D4E" w:rsidR="003E60CC" w:rsidRPr="00370E20" w:rsidRDefault="00370E20" w:rsidP="00A52F0B">
      <w:pPr>
        <w:pStyle w:val="SingleTxtG"/>
        <w:rPr>
          <w:b/>
        </w:rPr>
      </w:pPr>
      <w:r>
        <w:rPr>
          <w:b/>
        </w:rPr>
        <w:t xml:space="preserve">Actual described application of a </w:t>
      </w:r>
      <w:r w:rsidR="003E60CC" w:rsidRPr="00370E20">
        <w:rPr>
          <w:b/>
        </w:rPr>
        <w:t>mark</w:t>
      </w:r>
    </w:p>
    <w:tbl>
      <w:tblPr>
        <w:tblStyle w:val="TableGrid"/>
        <w:tblpPr w:leftFromText="180" w:rightFromText="180" w:vertAnchor="text" w:tblpXSpec="center" w:tblpY="1"/>
        <w:tblOverlap w:val="never"/>
        <w:tblW w:w="7649" w:type="dxa"/>
        <w:tblLayout w:type="fixed"/>
        <w:tblLook w:val="04A0" w:firstRow="1" w:lastRow="0" w:firstColumn="1" w:lastColumn="0" w:noHBand="0" w:noVBand="1"/>
      </w:tblPr>
      <w:tblGrid>
        <w:gridCol w:w="5098"/>
        <w:gridCol w:w="2551"/>
      </w:tblGrid>
      <w:tr w:rsidR="003E60CC" w14:paraId="645D8CB2" w14:textId="77777777" w:rsidTr="00160AE3">
        <w:tc>
          <w:tcPr>
            <w:tcW w:w="5098" w:type="dxa"/>
          </w:tcPr>
          <w:p w14:paraId="43E8CC4A" w14:textId="5B9BE972" w:rsidR="003E60CC" w:rsidRDefault="003E60CC" w:rsidP="00160AE3">
            <w:pPr>
              <w:pStyle w:val="SingleTxtG"/>
              <w:ind w:left="0"/>
            </w:pPr>
            <w:r>
              <w:t>On the side</w:t>
            </w:r>
            <w:r w:rsidR="00370E20">
              <w:t xml:space="preserve"> of the packagin</w:t>
            </w:r>
            <w:bookmarkStart w:id="0" w:name="_GoBack"/>
            <w:bookmarkEnd w:id="0"/>
            <w:r w:rsidR="00370E20">
              <w:t>g</w:t>
            </w:r>
          </w:p>
        </w:tc>
        <w:tc>
          <w:tcPr>
            <w:tcW w:w="2551" w:type="dxa"/>
          </w:tcPr>
          <w:p w14:paraId="54F20959" w14:textId="77777777" w:rsidR="003E60CC" w:rsidRDefault="003E60CC" w:rsidP="00160AE3">
            <w:pPr>
              <w:pStyle w:val="SingleTxtG"/>
              <w:ind w:left="0"/>
              <w:jc w:val="center"/>
            </w:pPr>
            <w:r>
              <w:t xml:space="preserve">On </w:t>
            </w:r>
            <w:r w:rsidR="00370E20">
              <w:t>a d</w:t>
            </w:r>
            <w:r>
              <w:t>ifferent location</w:t>
            </w:r>
            <w:r w:rsidR="00370E20">
              <w:t xml:space="preserve"> on the packaging</w:t>
            </w:r>
          </w:p>
        </w:tc>
      </w:tr>
      <w:tr w:rsidR="003E60CC" w14:paraId="758A3966" w14:textId="77777777" w:rsidTr="00160AE3">
        <w:tc>
          <w:tcPr>
            <w:tcW w:w="5098" w:type="dxa"/>
          </w:tcPr>
          <w:p w14:paraId="2CE8EA17" w14:textId="6BAB5C00" w:rsidR="003E60CC" w:rsidRDefault="003E60CC" w:rsidP="00160AE3">
            <w:pPr>
              <w:pStyle w:val="SingleTxtG"/>
              <w:ind w:left="0"/>
              <w:jc w:val="center"/>
            </w:pPr>
            <w:r>
              <w:rPr>
                <w:noProof/>
                <w:lang w:val="en-US"/>
              </w:rPr>
              <w:drawing>
                <wp:inline distT="0" distB="0" distL="0" distR="0" wp14:anchorId="5E8313DD" wp14:editId="0C7BA1B2">
                  <wp:extent cx="3035300" cy="794317"/>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14851" cy="815135"/>
                          </a:xfrm>
                          <a:prstGeom prst="rect">
                            <a:avLst/>
                          </a:prstGeom>
                        </pic:spPr>
                      </pic:pic>
                    </a:graphicData>
                  </a:graphic>
                </wp:inline>
              </w:drawing>
            </w:r>
          </w:p>
        </w:tc>
        <w:tc>
          <w:tcPr>
            <w:tcW w:w="2551" w:type="dxa"/>
          </w:tcPr>
          <w:p w14:paraId="2790B55B" w14:textId="3B48BD88" w:rsidR="003E60CC" w:rsidRDefault="003C3500" w:rsidP="00160AE3">
            <w:pPr>
              <w:pStyle w:val="SingleTxtG"/>
              <w:tabs>
                <w:tab w:val="center" w:pos="562"/>
                <w:tab w:val="left" w:pos="1935"/>
              </w:tabs>
              <w:ind w:left="0"/>
              <w:jc w:val="left"/>
            </w:pPr>
            <w:r>
              <w:tab/>
            </w:r>
            <w:r w:rsidR="003E60CC">
              <w:rPr>
                <w:noProof/>
                <w:lang w:val="en-US"/>
              </w:rPr>
              <w:drawing>
                <wp:inline distT="0" distB="0" distL="0" distR="0" wp14:anchorId="77799E48" wp14:editId="0FBA263F">
                  <wp:extent cx="871172" cy="759049"/>
                  <wp:effectExtent l="0" t="0" r="571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726" cy="775215"/>
                          </a:xfrm>
                          <a:prstGeom prst="rect">
                            <a:avLst/>
                          </a:prstGeom>
                          <a:noFill/>
                        </pic:spPr>
                      </pic:pic>
                    </a:graphicData>
                  </a:graphic>
                </wp:inline>
              </w:drawing>
            </w:r>
          </w:p>
        </w:tc>
      </w:tr>
    </w:tbl>
    <w:p w14:paraId="11C1B864" w14:textId="659E1756" w:rsidR="00D05E82" w:rsidRPr="00160AE3" w:rsidRDefault="00160AE3" w:rsidP="00160AE3">
      <w:pPr>
        <w:pStyle w:val="SingleTxtG"/>
        <w:spacing w:before="240" w:after="0"/>
        <w:ind w:left="0"/>
        <w:rPr>
          <w:u w:val="single"/>
        </w:rPr>
      </w:pPr>
      <w:r w:rsidRPr="00160AE3">
        <w:rPr>
          <w:noProof/>
          <w:u w:val="single"/>
          <w:lang w:val="en-US"/>
        </w:rPr>
        <mc:AlternateContent>
          <mc:Choice Requires="wps">
            <w:drawing>
              <wp:anchor distT="0" distB="0" distL="114300" distR="114300" simplePos="0" relativeHeight="251658240" behindDoc="0" locked="0" layoutInCell="1" allowOverlap="1" wp14:anchorId="6C49DE80" wp14:editId="1F6650B3">
                <wp:simplePos x="0" y="0"/>
                <wp:positionH relativeFrom="column">
                  <wp:posOffset>2493010</wp:posOffset>
                </wp:positionH>
                <wp:positionV relativeFrom="paragraph">
                  <wp:posOffset>1599565</wp:posOffset>
                </wp:positionV>
                <wp:extent cx="1569600" cy="252000"/>
                <wp:effectExtent l="0" t="0" r="1206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600" cy="252000"/>
                        </a:xfrm>
                        <a:prstGeom prst="rect">
                          <a:avLst/>
                        </a:prstGeom>
                        <a:solidFill>
                          <a:srgbClr val="FFFFFF"/>
                        </a:solidFill>
                        <a:ln w="9525">
                          <a:solidFill>
                            <a:schemeClr val="bg1"/>
                          </a:solidFill>
                          <a:miter lim="800000"/>
                          <a:headEnd/>
                          <a:tailEnd/>
                        </a:ln>
                      </wps:spPr>
                      <wps:txbx>
                        <w:txbxContent>
                          <w:p w14:paraId="389E5FFF" w14:textId="25E000DB" w:rsidR="00160AE3" w:rsidRDefault="00160AE3">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49DE80" id="_x0000_t202" coordsize="21600,21600" o:spt="202" path="m,l,21600r21600,l21600,xe">
                <v:stroke joinstyle="miter"/>
                <v:path gradientshapeok="t" o:connecttype="rect"/>
              </v:shapetype>
              <v:shape id="Text Box 2" o:spid="_x0000_s1026" type="#_x0000_t202" style="position:absolute;left:0;text-align:left;margin-left:196.3pt;margin-top:125.95pt;width:123.6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" strokecolor="white [3212]">
                <v:textbox style="mso-fit-shape-to-text:t">
                  <w:txbxContent>
                    <w:p w14:paraId="389E5FFF" w14:textId="25E000DB" w:rsidR="00160AE3" w:rsidRDefault="00160AE3">
                      <w:r>
                        <w:t>_________________</w:t>
                      </w:r>
                    </w:p>
                  </w:txbxContent>
                </v:textbox>
              </v:shape>
            </w:pict>
          </mc:Fallback>
        </mc:AlternateContent>
      </w:r>
      <w:r>
        <w:rPr>
          <w:u w:val="single"/>
        </w:rPr>
        <w:br w:type="textWrapping" w:clear="all"/>
      </w:r>
    </w:p>
    <w:sectPr w:rsidR="00D05E82" w:rsidRPr="00160AE3" w:rsidSect="00B86984">
      <w:headerReference w:type="even" r:id="rId23"/>
      <w:headerReference w:type="default" r:id="rId24"/>
      <w:footerReference w:type="even" r:id="rId25"/>
      <w:footerReference w:type="default" r:id="rId26"/>
      <w:headerReference w:type="first" r:id="rId27"/>
      <w:footnotePr>
        <w:numFmt w:val="chicago"/>
      </w:footnotePr>
      <w:endnotePr>
        <w:numFmt w:val="decimal"/>
      </w:endnotePr>
      <w:pgSz w:w="11907" w:h="16840" w:code="9"/>
      <w:pgMar w:top="1701" w:right="992" w:bottom="1276"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5E5F" w14:textId="77777777" w:rsidR="00BE21EA" w:rsidRDefault="00BE21EA"/>
  </w:endnote>
  <w:endnote w:type="continuationSeparator" w:id="0">
    <w:p w14:paraId="0FD06D4F" w14:textId="77777777" w:rsidR="00BE21EA" w:rsidRDefault="00BE21EA"/>
  </w:endnote>
  <w:endnote w:type="continuationNotice" w:id="1">
    <w:p w14:paraId="36673DB5" w14:textId="77777777" w:rsidR="00BE21EA" w:rsidRDefault="00BE2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9590" w14:textId="47C19DB3"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41591A">
      <w:rPr>
        <w:b/>
        <w:noProof/>
        <w:sz w:val="18"/>
      </w:rPr>
      <w:t>4</w:t>
    </w:r>
    <w:r w:rsidRPr="006D12B1">
      <w:rPr>
        <w:b/>
        <w:sz w:val="18"/>
      </w:rPr>
      <w:fldChar w:fldCharType="end"/>
    </w:r>
    <w:r w:rsidR="006B20F6">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BBE1" w14:textId="3D16D142"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41591A">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CCCA" w14:textId="77777777" w:rsidR="00BE21EA" w:rsidRPr="000B175B" w:rsidRDefault="00BE21EA" w:rsidP="000B175B">
      <w:pPr>
        <w:tabs>
          <w:tab w:val="right" w:pos="2155"/>
        </w:tabs>
        <w:spacing w:after="80"/>
        <w:ind w:left="680"/>
        <w:rPr>
          <w:u w:val="single"/>
        </w:rPr>
      </w:pPr>
      <w:r>
        <w:rPr>
          <w:u w:val="single"/>
        </w:rPr>
        <w:tab/>
      </w:r>
    </w:p>
  </w:footnote>
  <w:footnote w:type="continuationSeparator" w:id="0">
    <w:p w14:paraId="16BC2564" w14:textId="77777777" w:rsidR="00BE21EA" w:rsidRPr="00FC68B7" w:rsidRDefault="00BE21EA" w:rsidP="00FC68B7">
      <w:pPr>
        <w:tabs>
          <w:tab w:val="left" w:pos="2155"/>
        </w:tabs>
        <w:spacing w:after="80"/>
        <w:ind w:left="680"/>
        <w:rPr>
          <w:u w:val="single"/>
        </w:rPr>
      </w:pPr>
      <w:r>
        <w:rPr>
          <w:u w:val="single"/>
        </w:rPr>
        <w:tab/>
      </w:r>
    </w:p>
  </w:footnote>
  <w:footnote w:type="continuationNotice" w:id="1">
    <w:p w14:paraId="70999E54" w14:textId="77777777" w:rsidR="00BE21EA" w:rsidRDefault="00BE21EA"/>
  </w:footnote>
  <w:footnote w:id="2">
    <w:p w14:paraId="52D2359D" w14:textId="1BE5C733" w:rsidR="00A42053" w:rsidRPr="00A42053" w:rsidRDefault="00A42053" w:rsidP="00A42053">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A214" w14:textId="259B3EF3" w:rsidR="006B20F6" w:rsidRPr="006D12B1" w:rsidRDefault="008E071B">
    <w:pPr>
      <w:pStyle w:val="Header"/>
    </w:pPr>
    <w:r>
      <w:t>ST/SG/AC.10/C.3/201</w:t>
    </w:r>
    <w:r w:rsidR="00160AE3">
      <w:t>8</w:t>
    </w:r>
    <w:r>
      <w:t>/</w:t>
    </w:r>
    <w:r w:rsidR="00160AE3">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62EE" w14:textId="2A37DF33" w:rsidR="006B20F6" w:rsidRPr="006D12B1" w:rsidRDefault="001F4C6A" w:rsidP="006D12B1">
    <w:pPr>
      <w:pStyle w:val="Header"/>
      <w:jc w:val="right"/>
    </w:pPr>
    <w:r>
      <w:t>ST/SG/AC.10/C.3/201</w:t>
    </w:r>
    <w:r w:rsidR="00160AE3">
      <w:t>8</w:t>
    </w:r>
    <w:r>
      <w:t>/</w:t>
    </w:r>
    <w:r w:rsidR="00160AE3">
      <w:t>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0E71" w14:textId="77777777"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890760"/>
    <w:multiLevelType w:val="hybridMultilevel"/>
    <w:tmpl w:val="65782DD0"/>
    <w:lvl w:ilvl="0" w:tplc="A3F8D2BE">
      <w:start w:val="1"/>
      <w:numFmt w:val="lowerLetter"/>
      <w:lvlText w:val="(%1)"/>
      <w:lvlJc w:val="left"/>
      <w:pPr>
        <w:ind w:left="2061" w:hanging="360"/>
      </w:pPr>
      <w:rPr>
        <w:rFonts w:eastAsia="Calibr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4083943"/>
    <w:multiLevelType w:val="hybridMultilevel"/>
    <w:tmpl w:val="1118446A"/>
    <w:lvl w:ilvl="0" w:tplc="97AC49B8">
      <w:start w:val="1"/>
      <w:numFmt w:val="decimal"/>
      <w:lvlText w:val="%1."/>
      <w:lvlJc w:val="left"/>
      <w:pPr>
        <w:ind w:left="2838" w:hanging="570"/>
      </w:pPr>
      <w:rPr>
        <w:rFonts w:eastAsia="Times New Roman"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9DD3594"/>
    <w:multiLevelType w:val="hybridMultilevel"/>
    <w:tmpl w:val="4E6E5440"/>
    <w:lvl w:ilvl="0" w:tplc="97AC49B8">
      <w:start w:val="1"/>
      <w:numFmt w:val="decimal"/>
      <w:lvlText w:val="%1."/>
      <w:lvlJc w:val="left"/>
      <w:pPr>
        <w:ind w:left="1704" w:hanging="57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F187479"/>
    <w:multiLevelType w:val="hybridMultilevel"/>
    <w:tmpl w:val="9A7298A4"/>
    <w:lvl w:ilvl="0" w:tplc="C7386D54">
      <w:start w:val="5"/>
      <w:numFmt w:val="bullet"/>
      <w:lvlText w:val=""/>
      <w:lvlJc w:val="left"/>
      <w:pPr>
        <w:ind w:left="1544" w:hanging="360"/>
      </w:pPr>
      <w:rPr>
        <w:rFonts w:ascii="Symbol" w:eastAsia="Calibri" w:hAnsi="Symbol" w:cs="Times New Roman"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8"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9"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15:restartNumberingAfterBreak="0">
    <w:nsid w:val="3D506849"/>
    <w:multiLevelType w:val="hybridMultilevel"/>
    <w:tmpl w:val="EE48E7E6"/>
    <w:lvl w:ilvl="0" w:tplc="2C34426C">
      <w:start w:val="4"/>
      <w:numFmt w:val="decimal"/>
      <w:lvlText w:val="%1."/>
      <w:lvlJc w:val="left"/>
      <w:pPr>
        <w:tabs>
          <w:tab w:val="num" w:pos="1494"/>
        </w:tabs>
        <w:ind w:left="1494"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43AC59F4"/>
    <w:multiLevelType w:val="hybridMultilevel"/>
    <w:tmpl w:val="CBEA6640"/>
    <w:lvl w:ilvl="0" w:tplc="EFDA370A">
      <w:start w:val="1"/>
      <w:numFmt w:val="decimal"/>
      <w:lvlText w:val="%1."/>
      <w:lvlJc w:val="left"/>
      <w:pPr>
        <w:ind w:left="1705" w:hanging="570"/>
      </w:pPr>
      <w:rPr>
        <w:rFonts w:eastAsia="Times New Roman" w:hint="default"/>
        <w:b w:val="0"/>
        <w:i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7512790"/>
    <w:multiLevelType w:val="hybridMultilevel"/>
    <w:tmpl w:val="DE700C68"/>
    <w:lvl w:ilvl="0" w:tplc="ED9E824A">
      <w:start w:val="4"/>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5" w15:restartNumberingAfterBreak="0">
    <w:nsid w:val="4FFC34CF"/>
    <w:multiLevelType w:val="hybridMultilevel"/>
    <w:tmpl w:val="813C801E"/>
    <w:lvl w:ilvl="0" w:tplc="97AC49B8">
      <w:start w:val="1"/>
      <w:numFmt w:val="decimal"/>
      <w:lvlText w:val="%1."/>
      <w:lvlJc w:val="left"/>
      <w:pPr>
        <w:ind w:left="1704" w:hanging="57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2C10398"/>
    <w:multiLevelType w:val="hybridMultilevel"/>
    <w:tmpl w:val="A74C836A"/>
    <w:lvl w:ilvl="0" w:tplc="EFDA370A">
      <w:start w:val="1"/>
      <w:numFmt w:val="decimal"/>
      <w:lvlText w:val="%1."/>
      <w:lvlJc w:val="left"/>
      <w:pPr>
        <w:ind w:left="1705" w:hanging="570"/>
      </w:pPr>
      <w:rPr>
        <w:rFonts w:eastAsia="Times New Roman" w:hint="default"/>
        <w:b w:val="0"/>
        <w:i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30D3854"/>
    <w:multiLevelType w:val="hybridMultilevel"/>
    <w:tmpl w:val="43BE47FA"/>
    <w:lvl w:ilvl="0" w:tplc="97AC49B8">
      <w:start w:val="1"/>
      <w:numFmt w:val="decimal"/>
      <w:lvlText w:val="%1."/>
      <w:lvlJc w:val="left"/>
      <w:pPr>
        <w:ind w:left="1704" w:hanging="57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2" w15:restartNumberingAfterBreak="0">
    <w:nsid w:val="6AE825AF"/>
    <w:multiLevelType w:val="hybridMultilevel"/>
    <w:tmpl w:val="951E3BF2"/>
    <w:lvl w:ilvl="0" w:tplc="EFDA370A">
      <w:start w:val="1"/>
      <w:numFmt w:val="decimal"/>
      <w:lvlText w:val="%1."/>
      <w:lvlJc w:val="left"/>
      <w:pPr>
        <w:ind w:left="1705" w:hanging="570"/>
      </w:pPr>
      <w:rPr>
        <w:rFonts w:eastAsia="Times New Roman" w:hint="default"/>
        <w:b w:val="0"/>
        <w:i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15:restartNumberingAfterBreak="0">
    <w:nsid w:val="74774581"/>
    <w:multiLevelType w:val="hybridMultilevel"/>
    <w:tmpl w:val="638A06D0"/>
    <w:lvl w:ilvl="0" w:tplc="97AC49B8">
      <w:start w:val="1"/>
      <w:numFmt w:val="decimal"/>
      <w:lvlText w:val="%1."/>
      <w:lvlJc w:val="left"/>
      <w:pPr>
        <w:ind w:left="1704" w:hanging="57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4"/>
  </w:num>
  <w:num w:numId="13">
    <w:abstractNumId w:val="11"/>
  </w:num>
  <w:num w:numId="14">
    <w:abstractNumId w:val="30"/>
  </w:num>
  <w:num w:numId="15">
    <w:abstractNumId w:val="35"/>
  </w:num>
  <w:num w:numId="16">
    <w:abstractNumId w:val="15"/>
  </w:num>
  <w:num w:numId="17">
    <w:abstractNumId w:val="20"/>
  </w:num>
  <w:num w:numId="18">
    <w:abstractNumId w:val="19"/>
  </w:num>
  <w:num w:numId="19">
    <w:abstractNumId w:val="33"/>
  </w:num>
  <w:num w:numId="20">
    <w:abstractNumId w:val="27"/>
  </w:num>
  <w:num w:numId="21">
    <w:abstractNumId w:val="18"/>
  </w:num>
  <w:num w:numId="22">
    <w:abstractNumId w:val="10"/>
  </w:num>
  <w:num w:numId="23">
    <w:abstractNumId w:val="31"/>
  </w:num>
  <w:num w:numId="24">
    <w:abstractNumId w:val="21"/>
  </w:num>
  <w:num w:numId="25">
    <w:abstractNumId w:val="23"/>
  </w:num>
  <w:num w:numId="26">
    <w:abstractNumId w:val="16"/>
  </w:num>
  <w:num w:numId="27">
    <w:abstractNumId w:val="29"/>
  </w:num>
  <w:num w:numId="28">
    <w:abstractNumId w:val="25"/>
  </w:num>
  <w:num w:numId="29">
    <w:abstractNumId w:val="13"/>
  </w:num>
  <w:num w:numId="30">
    <w:abstractNumId w:val="34"/>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num>
  <w:num w:numId="34">
    <w:abstractNumId w:val="32"/>
  </w:num>
  <w:num w:numId="35">
    <w:abstractNumId w:val="24"/>
  </w:num>
  <w:num w:numId="3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3D68"/>
    <w:rsid w:val="00020F86"/>
    <w:rsid w:val="00023F08"/>
    <w:rsid w:val="0004222B"/>
    <w:rsid w:val="00047D68"/>
    <w:rsid w:val="00047F82"/>
    <w:rsid w:val="000504CE"/>
    <w:rsid w:val="00050F6B"/>
    <w:rsid w:val="00055BA2"/>
    <w:rsid w:val="00072C8C"/>
    <w:rsid w:val="000744FE"/>
    <w:rsid w:val="00083B73"/>
    <w:rsid w:val="00091419"/>
    <w:rsid w:val="0009150D"/>
    <w:rsid w:val="000931C0"/>
    <w:rsid w:val="0009577A"/>
    <w:rsid w:val="000A254F"/>
    <w:rsid w:val="000A5147"/>
    <w:rsid w:val="000B175B"/>
    <w:rsid w:val="000B3A0F"/>
    <w:rsid w:val="000B6007"/>
    <w:rsid w:val="000C2086"/>
    <w:rsid w:val="000D2CBB"/>
    <w:rsid w:val="000D38D6"/>
    <w:rsid w:val="000D58F6"/>
    <w:rsid w:val="000E0415"/>
    <w:rsid w:val="000F7AB3"/>
    <w:rsid w:val="00115C6E"/>
    <w:rsid w:val="00117787"/>
    <w:rsid w:val="001206C9"/>
    <w:rsid w:val="00131D42"/>
    <w:rsid w:val="00152C9E"/>
    <w:rsid w:val="00160AE3"/>
    <w:rsid w:val="001633FB"/>
    <w:rsid w:val="00167786"/>
    <w:rsid w:val="001714AF"/>
    <w:rsid w:val="00172E03"/>
    <w:rsid w:val="001A537C"/>
    <w:rsid w:val="001B42B4"/>
    <w:rsid w:val="001B4B04"/>
    <w:rsid w:val="001C0631"/>
    <w:rsid w:val="001C6663"/>
    <w:rsid w:val="001C7526"/>
    <w:rsid w:val="001C7895"/>
    <w:rsid w:val="001D26DF"/>
    <w:rsid w:val="001D2FDC"/>
    <w:rsid w:val="001D31FD"/>
    <w:rsid w:val="001D79DB"/>
    <w:rsid w:val="001F2D80"/>
    <w:rsid w:val="001F3FA0"/>
    <w:rsid w:val="001F4C6A"/>
    <w:rsid w:val="002016FA"/>
    <w:rsid w:val="00203282"/>
    <w:rsid w:val="00210B9C"/>
    <w:rsid w:val="002114DD"/>
    <w:rsid w:val="00211E0B"/>
    <w:rsid w:val="00212DFA"/>
    <w:rsid w:val="00213AFD"/>
    <w:rsid w:val="00221E51"/>
    <w:rsid w:val="002309A7"/>
    <w:rsid w:val="00237785"/>
    <w:rsid w:val="00241466"/>
    <w:rsid w:val="00241743"/>
    <w:rsid w:val="00256E7D"/>
    <w:rsid w:val="002656C7"/>
    <w:rsid w:val="00266652"/>
    <w:rsid w:val="00267F99"/>
    <w:rsid w:val="002725CA"/>
    <w:rsid w:val="00274950"/>
    <w:rsid w:val="00280EB7"/>
    <w:rsid w:val="00286006"/>
    <w:rsid w:val="00286DC6"/>
    <w:rsid w:val="00290D0C"/>
    <w:rsid w:val="002A66A1"/>
    <w:rsid w:val="002B1CDA"/>
    <w:rsid w:val="002C1AE8"/>
    <w:rsid w:val="002C6264"/>
    <w:rsid w:val="002E3E7B"/>
    <w:rsid w:val="002F1643"/>
    <w:rsid w:val="00301460"/>
    <w:rsid w:val="0030379C"/>
    <w:rsid w:val="00306458"/>
    <w:rsid w:val="003107FA"/>
    <w:rsid w:val="00313466"/>
    <w:rsid w:val="0032058E"/>
    <w:rsid w:val="003229D8"/>
    <w:rsid w:val="00337633"/>
    <w:rsid w:val="00346F3A"/>
    <w:rsid w:val="0034759C"/>
    <w:rsid w:val="0036127B"/>
    <w:rsid w:val="00370E20"/>
    <w:rsid w:val="00373BF8"/>
    <w:rsid w:val="003770E6"/>
    <w:rsid w:val="00382A2C"/>
    <w:rsid w:val="0039277A"/>
    <w:rsid w:val="00397267"/>
    <w:rsid w:val="003972E0"/>
    <w:rsid w:val="003A0C75"/>
    <w:rsid w:val="003A25EB"/>
    <w:rsid w:val="003A58B0"/>
    <w:rsid w:val="003B3726"/>
    <w:rsid w:val="003B6AEC"/>
    <w:rsid w:val="003C24C1"/>
    <w:rsid w:val="003C2CC4"/>
    <w:rsid w:val="003C3500"/>
    <w:rsid w:val="003C7B41"/>
    <w:rsid w:val="003D4B23"/>
    <w:rsid w:val="003E211B"/>
    <w:rsid w:val="003E5B28"/>
    <w:rsid w:val="003E60CC"/>
    <w:rsid w:val="00410FAC"/>
    <w:rsid w:val="0041591A"/>
    <w:rsid w:val="0042233A"/>
    <w:rsid w:val="004325CB"/>
    <w:rsid w:val="00437F3F"/>
    <w:rsid w:val="00442DF8"/>
    <w:rsid w:val="00444D94"/>
    <w:rsid w:val="00446DE4"/>
    <w:rsid w:val="00454036"/>
    <w:rsid w:val="00465AFB"/>
    <w:rsid w:val="00477705"/>
    <w:rsid w:val="00477D30"/>
    <w:rsid w:val="00483009"/>
    <w:rsid w:val="00485492"/>
    <w:rsid w:val="00497282"/>
    <w:rsid w:val="004B2C9D"/>
    <w:rsid w:val="004B7AC8"/>
    <w:rsid w:val="004C1373"/>
    <w:rsid w:val="004C6FBA"/>
    <w:rsid w:val="004D56C3"/>
    <w:rsid w:val="004E05DD"/>
    <w:rsid w:val="004E596F"/>
    <w:rsid w:val="004F0881"/>
    <w:rsid w:val="004F3384"/>
    <w:rsid w:val="004F6E33"/>
    <w:rsid w:val="00527910"/>
    <w:rsid w:val="00530504"/>
    <w:rsid w:val="00531865"/>
    <w:rsid w:val="00534038"/>
    <w:rsid w:val="00536782"/>
    <w:rsid w:val="005420F2"/>
    <w:rsid w:val="005500DD"/>
    <w:rsid w:val="005501BE"/>
    <w:rsid w:val="00563498"/>
    <w:rsid w:val="005649C7"/>
    <w:rsid w:val="00566C4F"/>
    <w:rsid w:val="0057396E"/>
    <w:rsid w:val="005742FE"/>
    <w:rsid w:val="00575122"/>
    <w:rsid w:val="005760AC"/>
    <w:rsid w:val="00590144"/>
    <w:rsid w:val="00590E9D"/>
    <w:rsid w:val="00591271"/>
    <w:rsid w:val="0059588D"/>
    <w:rsid w:val="005A122E"/>
    <w:rsid w:val="005B03C6"/>
    <w:rsid w:val="005B1070"/>
    <w:rsid w:val="005B151F"/>
    <w:rsid w:val="005B3DB3"/>
    <w:rsid w:val="005B77F6"/>
    <w:rsid w:val="005C1A67"/>
    <w:rsid w:val="005C7602"/>
    <w:rsid w:val="005F7326"/>
    <w:rsid w:val="00600B82"/>
    <w:rsid w:val="00611FC4"/>
    <w:rsid w:val="006176FB"/>
    <w:rsid w:val="00625E3D"/>
    <w:rsid w:val="0062767E"/>
    <w:rsid w:val="00630C9C"/>
    <w:rsid w:val="00632868"/>
    <w:rsid w:val="0063419C"/>
    <w:rsid w:val="00640B26"/>
    <w:rsid w:val="00645409"/>
    <w:rsid w:val="0064599F"/>
    <w:rsid w:val="006500BA"/>
    <w:rsid w:val="006547FF"/>
    <w:rsid w:val="00665835"/>
    <w:rsid w:val="006663B4"/>
    <w:rsid w:val="00666A12"/>
    <w:rsid w:val="00666C9B"/>
    <w:rsid w:val="00666E76"/>
    <w:rsid w:val="00674956"/>
    <w:rsid w:val="00692D63"/>
    <w:rsid w:val="006949CA"/>
    <w:rsid w:val="006A7392"/>
    <w:rsid w:val="006B20F6"/>
    <w:rsid w:val="006C0D34"/>
    <w:rsid w:val="006C7833"/>
    <w:rsid w:val="006D12B1"/>
    <w:rsid w:val="006D37B5"/>
    <w:rsid w:val="006D641E"/>
    <w:rsid w:val="006E2B5E"/>
    <w:rsid w:val="006E564B"/>
    <w:rsid w:val="006F1D2A"/>
    <w:rsid w:val="006F2F51"/>
    <w:rsid w:val="00704CDB"/>
    <w:rsid w:val="00711C13"/>
    <w:rsid w:val="007221B3"/>
    <w:rsid w:val="00724B47"/>
    <w:rsid w:val="0072632A"/>
    <w:rsid w:val="00744314"/>
    <w:rsid w:val="0074549D"/>
    <w:rsid w:val="00755330"/>
    <w:rsid w:val="00755888"/>
    <w:rsid w:val="00774DC9"/>
    <w:rsid w:val="00790791"/>
    <w:rsid w:val="0079329B"/>
    <w:rsid w:val="00795A63"/>
    <w:rsid w:val="00796AE1"/>
    <w:rsid w:val="007A022A"/>
    <w:rsid w:val="007B08A0"/>
    <w:rsid w:val="007B14D9"/>
    <w:rsid w:val="007B1A7E"/>
    <w:rsid w:val="007B6BA5"/>
    <w:rsid w:val="007B77FB"/>
    <w:rsid w:val="007C2411"/>
    <w:rsid w:val="007C3390"/>
    <w:rsid w:val="007C4F4B"/>
    <w:rsid w:val="007E79E3"/>
    <w:rsid w:val="007F06E4"/>
    <w:rsid w:val="007F6611"/>
    <w:rsid w:val="00800367"/>
    <w:rsid w:val="00802FA3"/>
    <w:rsid w:val="008175E9"/>
    <w:rsid w:val="00823475"/>
    <w:rsid w:val="00823B1A"/>
    <w:rsid w:val="008242D7"/>
    <w:rsid w:val="00824C37"/>
    <w:rsid w:val="00824F55"/>
    <w:rsid w:val="008539CC"/>
    <w:rsid w:val="0086039C"/>
    <w:rsid w:val="008650F3"/>
    <w:rsid w:val="00871FD5"/>
    <w:rsid w:val="00876878"/>
    <w:rsid w:val="00884FD0"/>
    <w:rsid w:val="008910B9"/>
    <w:rsid w:val="00895E97"/>
    <w:rsid w:val="008979B1"/>
    <w:rsid w:val="008A3016"/>
    <w:rsid w:val="008A3543"/>
    <w:rsid w:val="008A6B25"/>
    <w:rsid w:val="008A6C4F"/>
    <w:rsid w:val="008D3DB6"/>
    <w:rsid w:val="008D53CE"/>
    <w:rsid w:val="008E071B"/>
    <w:rsid w:val="008E0E46"/>
    <w:rsid w:val="008F79EE"/>
    <w:rsid w:val="00904B37"/>
    <w:rsid w:val="00922550"/>
    <w:rsid w:val="009255A2"/>
    <w:rsid w:val="009434B3"/>
    <w:rsid w:val="00945A5D"/>
    <w:rsid w:val="00946A04"/>
    <w:rsid w:val="0095534D"/>
    <w:rsid w:val="0095690E"/>
    <w:rsid w:val="00957117"/>
    <w:rsid w:val="00963CBA"/>
    <w:rsid w:val="00977578"/>
    <w:rsid w:val="009854F2"/>
    <w:rsid w:val="0099124E"/>
    <w:rsid w:val="00991261"/>
    <w:rsid w:val="009A0BEA"/>
    <w:rsid w:val="009A7613"/>
    <w:rsid w:val="009B1C46"/>
    <w:rsid w:val="009B371C"/>
    <w:rsid w:val="009B4C36"/>
    <w:rsid w:val="009C4C96"/>
    <w:rsid w:val="009D1AAE"/>
    <w:rsid w:val="009D21EA"/>
    <w:rsid w:val="009D2254"/>
    <w:rsid w:val="009E523D"/>
    <w:rsid w:val="009F0F06"/>
    <w:rsid w:val="009F4BF2"/>
    <w:rsid w:val="00A1427D"/>
    <w:rsid w:val="00A3012E"/>
    <w:rsid w:val="00A310BE"/>
    <w:rsid w:val="00A357CC"/>
    <w:rsid w:val="00A42053"/>
    <w:rsid w:val="00A50007"/>
    <w:rsid w:val="00A52F0B"/>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15F1"/>
    <w:rsid w:val="00AA33FC"/>
    <w:rsid w:val="00AA6ADE"/>
    <w:rsid w:val="00AC12E0"/>
    <w:rsid w:val="00AC2922"/>
    <w:rsid w:val="00AC4017"/>
    <w:rsid w:val="00AC7443"/>
    <w:rsid w:val="00AE06E2"/>
    <w:rsid w:val="00AF17E0"/>
    <w:rsid w:val="00AF523B"/>
    <w:rsid w:val="00B02481"/>
    <w:rsid w:val="00B1327F"/>
    <w:rsid w:val="00B30179"/>
    <w:rsid w:val="00B3094C"/>
    <w:rsid w:val="00B3317B"/>
    <w:rsid w:val="00B4226A"/>
    <w:rsid w:val="00B431FF"/>
    <w:rsid w:val="00B51272"/>
    <w:rsid w:val="00B707EC"/>
    <w:rsid w:val="00B81E12"/>
    <w:rsid w:val="00B85A05"/>
    <w:rsid w:val="00B86984"/>
    <w:rsid w:val="00B93068"/>
    <w:rsid w:val="00B93AB4"/>
    <w:rsid w:val="00B94CD7"/>
    <w:rsid w:val="00BB0133"/>
    <w:rsid w:val="00BB027F"/>
    <w:rsid w:val="00BC603D"/>
    <w:rsid w:val="00BC74E9"/>
    <w:rsid w:val="00BD36F7"/>
    <w:rsid w:val="00BE21EA"/>
    <w:rsid w:val="00BE2AAD"/>
    <w:rsid w:val="00BE618E"/>
    <w:rsid w:val="00BF169C"/>
    <w:rsid w:val="00BF594D"/>
    <w:rsid w:val="00BF7DE7"/>
    <w:rsid w:val="00C044C5"/>
    <w:rsid w:val="00C2074A"/>
    <w:rsid w:val="00C32725"/>
    <w:rsid w:val="00C44E98"/>
    <w:rsid w:val="00C463DD"/>
    <w:rsid w:val="00C62F76"/>
    <w:rsid w:val="00C667E3"/>
    <w:rsid w:val="00C745C3"/>
    <w:rsid w:val="00C7487E"/>
    <w:rsid w:val="00C97788"/>
    <w:rsid w:val="00CA2FB6"/>
    <w:rsid w:val="00CB64AE"/>
    <w:rsid w:val="00CC5473"/>
    <w:rsid w:val="00CC5FB1"/>
    <w:rsid w:val="00CD3225"/>
    <w:rsid w:val="00CD561C"/>
    <w:rsid w:val="00CD5FED"/>
    <w:rsid w:val="00CE46BA"/>
    <w:rsid w:val="00CE4A8F"/>
    <w:rsid w:val="00CE57DA"/>
    <w:rsid w:val="00CF03B5"/>
    <w:rsid w:val="00CF5E82"/>
    <w:rsid w:val="00CF7E49"/>
    <w:rsid w:val="00D05E82"/>
    <w:rsid w:val="00D1626A"/>
    <w:rsid w:val="00D2031B"/>
    <w:rsid w:val="00D22E0D"/>
    <w:rsid w:val="00D24605"/>
    <w:rsid w:val="00D25FE2"/>
    <w:rsid w:val="00D324BC"/>
    <w:rsid w:val="00D327F7"/>
    <w:rsid w:val="00D35BDD"/>
    <w:rsid w:val="00D36689"/>
    <w:rsid w:val="00D43252"/>
    <w:rsid w:val="00D46231"/>
    <w:rsid w:val="00D625F6"/>
    <w:rsid w:val="00D71E33"/>
    <w:rsid w:val="00D729F2"/>
    <w:rsid w:val="00D753D8"/>
    <w:rsid w:val="00D83B2B"/>
    <w:rsid w:val="00D95B01"/>
    <w:rsid w:val="00D96CC5"/>
    <w:rsid w:val="00D978C6"/>
    <w:rsid w:val="00DA67AD"/>
    <w:rsid w:val="00DB2840"/>
    <w:rsid w:val="00DC1328"/>
    <w:rsid w:val="00DD62B9"/>
    <w:rsid w:val="00DD66D0"/>
    <w:rsid w:val="00DF18E3"/>
    <w:rsid w:val="00DF290B"/>
    <w:rsid w:val="00DF390E"/>
    <w:rsid w:val="00E002AD"/>
    <w:rsid w:val="00E10678"/>
    <w:rsid w:val="00E130AB"/>
    <w:rsid w:val="00E1345B"/>
    <w:rsid w:val="00E1679E"/>
    <w:rsid w:val="00E207EC"/>
    <w:rsid w:val="00E5644E"/>
    <w:rsid w:val="00E7260F"/>
    <w:rsid w:val="00E81230"/>
    <w:rsid w:val="00E8535A"/>
    <w:rsid w:val="00E933C4"/>
    <w:rsid w:val="00E96386"/>
    <w:rsid w:val="00E96630"/>
    <w:rsid w:val="00E96952"/>
    <w:rsid w:val="00E97FC3"/>
    <w:rsid w:val="00EA09FF"/>
    <w:rsid w:val="00EA34E1"/>
    <w:rsid w:val="00EA6E78"/>
    <w:rsid w:val="00EA772F"/>
    <w:rsid w:val="00EB6832"/>
    <w:rsid w:val="00EC271A"/>
    <w:rsid w:val="00EC4D9F"/>
    <w:rsid w:val="00EC741C"/>
    <w:rsid w:val="00ED14CB"/>
    <w:rsid w:val="00ED4A3F"/>
    <w:rsid w:val="00ED7A2A"/>
    <w:rsid w:val="00EE7FDC"/>
    <w:rsid w:val="00EF139F"/>
    <w:rsid w:val="00EF1D7F"/>
    <w:rsid w:val="00F0135D"/>
    <w:rsid w:val="00F06343"/>
    <w:rsid w:val="00F22FBC"/>
    <w:rsid w:val="00F37510"/>
    <w:rsid w:val="00F37D94"/>
    <w:rsid w:val="00F40E75"/>
    <w:rsid w:val="00F46C61"/>
    <w:rsid w:val="00F52545"/>
    <w:rsid w:val="00F54674"/>
    <w:rsid w:val="00F608CD"/>
    <w:rsid w:val="00F6776C"/>
    <w:rsid w:val="00F845FF"/>
    <w:rsid w:val="00F912BD"/>
    <w:rsid w:val="00F9331F"/>
    <w:rsid w:val="00FB7353"/>
    <w:rsid w:val="00FC4A05"/>
    <w:rsid w:val="00FC68B7"/>
    <w:rsid w:val="00FD221C"/>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60C4EE"/>
  <w15:docId w15:val="{8A03535D-4DE9-445D-97FE-044374D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link w:val="CommentTextChar"/>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singletxtg0">
    <w:name w:val="singletxtg"/>
    <w:basedOn w:val="Normal"/>
    <w:rsid w:val="006D641E"/>
    <w:pPr>
      <w:suppressAutoHyphens w:val="0"/>
      <w:spacing w:after="120"/>
      <w:ind w:left="1134" w:right="1134"/>
      <w:jc w:val="both"/>
    </w:pPr>
    <w:rPr>
      <w:rFonts w:eastAsia="Calibri"/>
      <w:lang w:val="en-US"/>
    </w:rPr>
  </w:style>
  <w:style w:type="character" w:customStyle="1" w:styleId="SingleTxtGZchnZchn">
    <w:name w:val="_ Single Txt_G Zchn Zchn"/>
    <w:basedOn w:val="DefaultParagraphFont"/>
    <w:rsid w:val="002A66A1"/>
    <w:rPr>
      <w:lang w:val="en-GB"/>
    </w:rPr>
  </w:style>
  <w:style w:type="paragraph" w:styleId="CommentSubject">
    <w:name w:val="annotation subject"/>
    <w:basedOn w:val="CommentText"/>
    <w:next w:val="CommentText"/>
    <w:link w:val="CommentSubjectChar"/>
    <w:semiHidden/>
    <w:unhideWhenUsed/>
    <w:rsid w:val="00AC7443"/>
    <w:pPr>
      <w:spacing w:line="240" w:lineRule="auto"/>
    </w:pPr>
    <w:rPr>
      <w:b/>
      <w:bCs/>
    </w:rPr>
  </w:style>
  <w:style w:type="character" w:customStyle="1" w:styleId="CommentTextChar">
    <w:name w:val="Comment Text Char"/>
    <w:basedOn w:val="DefaultParagraphFont"/>
    <w:link w:val="CommentText"/>
    <w:semiHidden/>
    <w:rsid w:val="00AC7443"/>
    <w:rPr>
      <w:lang w:val="en-GB" w:eastAsia="en-US"/>
    </w:rPr>
  </w:style>
  <w:style w:type="character" w:customStyle="1" w:styleId="CommentSubjectChar">
    <w:name w:val="Comment Subject Char"/>
    <w:basedOn w:val="CommentTextChar"/>
    <w:link w:val="CommentSubject"/>
    <w:semiHidden/>
    <w:rsid w:val="00AC744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51717">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3558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gi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2.tmp"/><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tmp"/><Relationship Id="rId19" Type="http://schemas.openxmlformats.org/officeDocument/2006/relationships/image" Target="cid:_1_11F0AEB811F0AAE00027FD80C1257F1C"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tmp"/><Relationship Id="rId22" Type="http://schemas.openxmlformats.org/officeDocument/2006/relationships/image" Target="media/image13.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A6C8ED0F-0749-481E-87B8-2CAD7F47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59</TotalTime>
  <Pages>4</Pages>
  <Words>1017</Words>
  <Characters>5050</Characters>
  <Application>Microsoft Office Word</Application>
  <DocSecurity>0</DocSecurity>
  <Lines>124</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6045</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10</cp:revision>
  <cp:lastPrinted>2018-04-06T10:03:00Z</cp:lastPrinted>
  <dcterms:created xsi:type="dcterms:W3CDTF">2018-04-03T09:46:00Z</dcterms:created>
  <dcterms:modified xsi:type="dcterms:W3CDTF">2018-04-06T10:04:00Z</dcterms:modified>
</cp:coreProperties>
</file>