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F6034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F60344" w:rsidP="00F60344">
            <w:pPr>
              <w:jc w:val="right"/>
            </w:pPr>
            <w:r w:rsidRPr="00F60344">
              <w:rPr>
                <w:sz w:val="40"/>
              </w:rPr>
              <w:t>ST</w:t>
            </w:r>
            <w:r>
              <w:t>/SG/AC.10/C.3/2018/3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F60344" w:rsidP="00F01738">
            <w:pPr>
              <w:spacing w:before="240"/>
            </w:pPr>
            <w:r>
              <w:t>Distr. générale</w:t>
            </w:r>
          </w:p>
          <w:p w:rsidR="00F60344" w:rsidRDefault="00F60344" w:rsidP="00F60344">
            <w:pPr>
              <w:spacing w:line="240" w:lineRule="exact"/>
            </w:pPr>
            <w:r>
              <w:t>15 février 2018</w:t>
            </w:r>
          </w:p>
          <w:p w:rsidR="00F60344" w:rsidRDefault="00F60344" w:rsidP="00F60344">
            <w:pPr>
              <w:spacing w:line="240" w:lineRule="exact"/>
            </w:pPr>
            <w:r>
              <w:t>Français</w:t>
            </w:r>
          </w:p>
          <w:p w:rsidR="00F60344" w:rsidRPr="00DB58B5" w:rsidRDefault="00F60344" w:rsidP="00F60344">
            <w:pPr>
              <w:spacing w:line="240" w:lineRule="exact"/>
            </w:pPr>
            <w:r>
              <w:t>Original : anglais</w:t>
            </w:r>
          </w:p>
        </w:tc>
      </w:tr>
    </w:tbl>
    <w:p w:rsidR="00F60344" w:rsidRPr="00692C5A" w:rsidRDefault="00F60344" w:rsidP="00692C5A">
      <w:pPr>
        <w:spacing w:before="120"/>
        <w:rPr>
          <w:b/>
          <w:sz w:val="24"/>
          <w:szCs w:val="24"/>
        </w:rPr>
      </w:pPr>
      <w:r w:rsidRPr="00692C5A">
        <w:rPr>
          <w:b/>
          <w:sz w:val="24"/>
          <w:szCs w:val="24"/>
        </w:rPr>
        <w:t>Comité d’experts du transport des marchandises dangereuses</w:t>
      </w:r>
      <w:r w:rsidRPr="00692C5A">
        <w:rPr>
          <w:b/>
          <w:sz w:val="24"/>
          <w:szCs w:val="24"/>
        </w:rPr>
        <w:br/>
        <w:t>et du Système général harmonisé de classification</w:t>
      </w:r>
      <w:r w:rsidRPr="00692C5A">
        <w:rPr>
          <w:b/>
          <w:sz w:val="24"/>
          <w:szCs w:val="24"/>
        </w:rPr>
        <w:br/>
        <w:t>et d’étiquetage des produits chimiques</w:t>
      </w:r>
    </w:p>
    <w:p w:rsidR="00F60344" w:rsidRPr="00C559D6" w:rsidRDefault="00F60344" w:rsidP="00692C5A">
      <w:pPr>
        <w:spacing w:before="120"/>
        <w:rPr>
          <w:b/>
        </w:rPr>
      </w:pPr>
      <w:r w:rsidRPr="00C559D6">
        <w:rPr>
          <w:b/>
        </w:rPr>
        <w:t>Sous-Comité d</w:t>
      </w:r>
      <w:r>
        <w:rPr>
          <w:b/>
        </w:rPr>
        <w:t>’</w:t>
      </w:r>
      <w:r w:rsidRPr="00C559D6">
        <w:rPr>
          <w:b/>
        </w:rPr>
        <w:t>experts du transport des marchandises dangereuses</w:t>
      </w:r>
    </w:p>
    <w:p w:rsidR="00F60344" w:rsidRPr="00C559D6" w:rsidRDefault="00F821D4" w:rsidP="00692C5A">
      <w:pPr>
        <w:spacing w:before="120"/>
        <w:rPr>
          <w:b/>
        </w:rPr>
      </w:pPr>
      <w:r>
        <w:rPr>
          <w:b/>
          <w:bCs/>
          <w:lang w:val="fr-FR"/>
        </w:rPr>
        <w:t>Cinquante</w:t>
      </w:r>
      <w:r>
        <w:rPr>
          <w:b/>
          <w:bCs/>
          <w:lang w:val="fr-FR"/>
        </w:rPr>
        <w:noBreakHyphen/>
      </w:r>
      <w:r w:rsidR="00F60344" w:rsidRPr="00C559D6">
        <w:rPr>
          <w:b/>
          <w:bCs/>
          <w:lang w:val="fr-FR"/>
        </w:rPr>
        <w:t>troisième</w:t>
      </w:r>
      <w:r w:rsidR="00F60344" w:rsidRPr="00C559D6">
        <w:rPr>
          <w:b/>
        </w:rPr>
        <w:t xml:space="preserve"> session</w:t>
      </w:r>
    </w:p>
    <w:p w:rsidR="00692C5A" w:rsidRDefault="00F60344" w:rsidP="00F60344">
      <w:r w:rsidRPr="00C559D6">
        <w:t>Genève, 25 juin-4 juillet 2018</w:t>
      </w:r>
    </w:p>
    <w:p w:rsidR="00F60344" w:rsidRPr="00C559D6" w:rsidRDefault="00F60344" w:rsidP="00F60344">
      <w:r w:rsidRPr="00C559D6">
        <w:t xml:space="preserve">Point </w:t>
      </w:r>
      <w:r>
        <w:t>4 e)</w:t>
      </w:r>
      <w:r w:rsidRPr="00C559D6">
        <w:t xml:space="preserve"> de l</w:t>
      </w:r>
      <w:r>
        <w:t>’</w:t>
      </w:r>
      <w:r w:rsidRPr="00C559D6">
        <w:t>ordre du jour provisoire</w:t>
      </w:r>
    </w:p>
    <w:p w:rsidR="00F60344" w:rsidRPr="002A2B45" w:rsidRDefault="00F60344" w:rsidP="00F60344">
      <w:pPr>
        <w:rPr>
          <w:b/>
          <w:sz w:val="28"/>
          <w:szCs w:val="28"/>
        </w:rPr>
      </w:pPr>
      <w:r w:rsidRPr="00B0412E">
        <w:rPr>
          <w:b/>
        </w:rPr>
        <w:t>Systèmes de stockage de l</w:t>
      </w:r>
      <w:r>
        <w:rPr>
          <w:b/>
        </w:rPr>
        <w:t>’</w:t>
      </w:r>
      <w:r w:rsidRPr="00B0412E">
        <w:rPr>
          <w:b/>
        </w:rPr>
        <w:t>électricité</w:t>
      </w:r>
      <w:r w:rsidR="00692C5A">
        <w:rPr>
          <w:b/>
        </w:rPr>
        <w:t> </w:t>
      </w:r>
      <w:r w:rsidRPr="00B0412E">
        <w:rPr>
          <w:b/>
        </w:rPr>
        <w:t>:</w:t>
      </w:r>
      <w:r w:rsidRPr="002A2B45">
        <w:rPr>
          <w:b/>
        </w:rPr>
        <w:br/>
      </w:r>
      <w:r w:rsidRPr="00B0412E">
        <w:rPr>
          <w:b/>
        </w:rPr>
        <w:t xml:space="preserve">Batteries au sodium ionique </w:t>
      </w:r>
    </w:p>
    <w:p w:rsidR="00F60344" w:rsidRPr="002A2B45" w:rsidRDefault="00F60344" w:rsidP="00692C5A">
      <w:pPr>
        <w:pStyle w:val="HChG"/>
      </w:pPr>
      <w:r w:rsidRPr="002A2B45">
        <w:tab/>
      </w:r>
      <w:r w:rsidRPr="002A2B45">
        <w:tab/>
      </w:r>
      <w:r w:rsidRPr="00B0412E">
        <w:t xml:space="preserve">Batteries au sodium ionique </w:t>
      </w:r>
    </w:p>
    <w:p w:rsidR="00F60344" w:rsidRPr="002A2B45" w:rsidRDefault="00F60344" w:rsidP="00692C5A">
      <w:pPr>
        <w:pStyle w:val="H1G"/>
      </w:pPr>
      <w:r w:rsidRPr="002A2B45">
        <w:tab/>
      </w:r>
      <w:r w:rsidRPr="002A2B45">
        <w:tab/>
      </w:r>
      <w:r w:rsidRPr="00B0412E">
        <w:t>Communication de l</w:t>
      </w:r>
      <w:r>
        <w:t>’</w:t>
      </w:r>
      <w:r w:rsidRPr="002A2B45">
        <w:t xml:space="preserve">expert </w:t>
      </w:r>
      <w:r w:rsidRPr="00B0412E">
        <w:t>du Royaume-Uni</w:t>
      </w:r>
      <w:r w:rsidR="00692C5A" w:rsidRPr="00692C5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60344" w:rsidRPr="0063101C" w:rsidRDefault="00F60344" w:rsidP="00692C5A">
      <w:pPr>
        <w:pStyle w:val="HChG"/>
      </w:pPr>
      <w:r w:rsidRPr="002A2B45">
        <w:tab/>
      </w:r>
      <w:r w:rsidRPr="002A2B45">
        <w:tab/>
      </w:r>
      <w:r w:rsidRPr="0063101C">
        <w:t xml:space="preserve">Introduction </w:t>
      </w:r>
    </w:p>
    <w:p w:rsidR="00F60344" w:rsidRPr="002A2B45" w:rsidRDefault="00F60344" w:rsidP="00EA04E5">
      <w:pPr>
        <w:pStyle w:val="SingleTxtG"/>
        <w:keepNext/>
      </w:pPr>
      <w:r w:rsidRPr="002A2B45">
        <w:t>1.</w:t>
      </w:r>
      <w:r w:rsidRPr="002A2B45">
        <w:tab/>
      </w:r>
      <w:r w:rsidR="00F821D4">
        <w:t>Lors de la cinquante</w:t>
      </w:r>
      <w:r w:rsidR="00F821D4">
        <w:noBreakHyphen/>
      </w:r>
      <w:r w:rsidRPr="00B0412E">
        <w:t>deuxième session du Sous-Comité</w:t>
      </w:r>
      <w:r>
        <w:t xml:space="preserve">, </w:t>
      </w:r>
      <w:r w:rsidRPr="00B0412E">
        <w:t>l</w:t>
      </w:r>
      <w:r>
        <w:t>’</w:t>
      </w:r>
      <w:r w:rsidRPr="00B0412E">
        <w:t xml:space="preserve">expert du </w:t>
      </w:r>
      <w:r>
        <w:t xml:space="preserve">Royaume-Uni a présenté le document informel </w:t>
      </w:r>
      <w:r w:rsidRPr="002A2B45">
        <w:t xml:space="preserve">INF.11 </w:t>
      </w:r>
      <w:r w:rsidRPr="00B0412E">
        <w:t>qui</w:t>
      </w:r>
      <w:r w:rsidR="00EA04E5">
        <w:t> </w:t>
      </w:r>
      <w:r w:rsidRPr="002A2B45">
        <w:t>:</w:t>
      </w:r>
    </w:p>
    <w:p w:rsidR="00F60344" w:rsidRPr="002A2B45" w:rsidRDefault="00F60344" w:rsidP="00EA04E5">
      <w:pPr>
        <w:pStyle w:val="SingleTxtG"/>
        <w:ind w:firstLine="567"/>
      </w:pPr>
      <w:r w:rsidRPr="002A2B45">
        <w:t>a)</w:t>
      </w:r>
      <w:r w:rsidRPr="002A2B45">
        <w:tab/>
      </w:r>
      <w:r w:rsidRPr="008300AB">
        <w:t>Présent</w:t>
      </w:r>
      <w:r>
        <w:t>ait</w:t>
      </w:r>
      <w:r w:rsidRPr="008300AB">
        <w:t xml:space="preserve"> le contexte de la technologie des batteries au sodium ionique</w:t>
      </w:r>
      <w:r w:rsidR="00EA04E5">
        <w:t> </w:t>
      </w:r>
      <w:r w:rsidRPr="002A2B45">
        <w:t>;</w:t>
      </w:r>
    </w:p>
    <w:p w:rsidR="00F60344" w:rsidRPr="002A2B45" w:rsidRDefault="00F60344" w:rsidP="00EA04E5">
      <w:pPr>
        <w:pStyle w:val="SingleTxtG"/>
        <w:ind w:firstLine="567"/>
      </w:pPr>
      <w:r w:rsidRPr="002A2B45">
        <w:t>b)</w:t>
      </w:r>
      <w:r w:rsidRPr="002A2B45">
        <w:tab/>
      </w:r>
      <w:r w:rsidRPr="008300AB">
        <w:t>Expliqu</w:t>
      </w:r>
      <w:r>
        <w:t>ait</w:t>
      </w:r>
      <w:r w:rsidRPr="008300AB">
        <w:t xml:space="preserve"> la différence par rapport à la technologie des batteries au lithium ionique</w:t>
      </w:r>
      <w:r w:rsidR="00EA04E5">
        <w:t> </w:t>
      </w:r>
      <w:r w:rsidRPr="002A2B45">
        <w:t xml:space="preserve">; </w:t>
      </w:r>
    </w:p>
    <w:p w:rsidR="00F60344" w:rsidRPr="002A2B45" w:rsidRDefault="00F60344" w:rsidP="00EA04E5">
      <w:pPr>
        <w:pStyle w:val="SingleTxtG"/>
        <w:ind w:firstLine="567"/>
      </w:pPr>
      <w:r w:rsidRPr="002A2B45">
        <w:t>c)</w:t>
      </w:r>
      <w:r w:rsidRPr="002A2B45">
        <w:tab/>
        <w:t>Expl</w:t>
      </w:r>
      <w:r w:rsidRPr="008300AB">
        <w:t>iqu</w:t>
      </w:r>
      <w:r>
        <w:t>ait</w:t>
      </w:r>
      <w:r w:rsidRPr="008300AB">
        <w:t xml:space="preserve"> les similitudes qui existent entre une batterie au sodium ionique </w:t>
      </w:r>
      <w:r>
        <w:t>et un supercondensateur</w:t>
      </w:r>
      <w:r w:rsidR="00EA04E5">
        <w:t> </w:t>
      </w:r>
      <w:r w:rsidRPr="002A2B45">
        <w:t xml:space="preserve">; </w:t>
      </w:r>
      <w:r>
        <w:t>et</w:t>
      </w:r>
    </w:p>
    <w:p w:rsidR="00F60344" w:rsidRPr="00545A08" w:rsidRDefault="00F60344" w:rsidP="00EA04E5">
      <w:pPr>
        <w:pStyle w:val="SingleTxtG"/>
        <w:ind w:firstLine="567"/>
      </w:pPr>
      <w:r w:rsidRPr="002A2B45">
        <w:t>d)</w:t>
      </w:r>
      <w:r w:rsidRPr="002A2B45">
        <w:tab/>
      </w:r>
      <w:r w:rsidRPr="00545A08">
        <w:t>Examin</w:t>
      </w:r>
      <w:r>
        <w:t>ait</w:t>
      </w:r>
      <w:r w:rsidRPr="00545A08">
        <w:t xml:space="preserve"> les diverses </w:t>
      </w:r>
      <w:r>
        <w:t xml:space="preserve">manières </w:t>
      </w:r>
      <w:r w:rsidRPr="00545A08">
        <w:t>d</w:t>
      </w:r>
      <w:r>
        <w:t xml:space="preserve">e les prendre en </w:t>
      </w:r>
      <w:r w:rsidR="00EA04E5">
        <w:t xml:space="preserve">compte dans le Règlement type. </w:t>
      </w:r>
    </w:p>
    <w:p w:rsidR="00F60344" w:rsidRPr="002A2B45" w:rsidRDefault="00F60344" w:rsidP="00EA04E5">
      <w:pPr>
        <w:pStyle w:val="SingleTxtG"/>
      </w:pPr>
      <w:r w:rsidRPr="002A2B45">
        <w:t>2.</w:t>
      </w:r>
      <w:r w:rsidRPr="002A2B45">
        <w:tab/>
      </w:r>
      <w:r w:rsidRPr="00545A08">
        <w:t>L</w:t>
      </w:r>
      <w:r>
        <w:t>’</w:t>
      </w:r>
      <w:r w:rsidRPr="00545A08">
        <w:t xml:space="preserve">exposé a démontré que </w:t>
      </w:r>
      <w:r>
        <w:t>d</w:t>
      </w:r>
      <w:r w:rsidRPr="00545A08">
        <w:t xml:space="preserve">es piles et batteries </w:t>
      </w:r>
      <w:r>
        <w:t>basées sur la technologie du sodium ionique mises en court-circuit ou déchargées ne présentaient aucun danger pour les personnes, les biens et l’environnement pendant le transport. De telles piles et batteries pourraient néanmoins être considérées à tort comme dangereuses par les personnes impliquées dans la chaîne de transport. Le Sous-</w:t>
      </w:r>
      <w:r w:rsidR="00336F2A">
        <w:t xml:space="preserve">Comité </w:t>
      </w:r>
      <w:r>
        <w:t>a donc estimé que le Règlement type devait y faire référence</w:t>
      </w:r>
      <w:r w:rsidRPr="002A2B45">
        <w:rPr>
          <w:rFonts w:eastAsia="SimSun"/>
        </w:rPr>
        <w:t xml:space="preserve">. </w:t>
      </w:r>
    </w:p>
    <w:p w:rsidR="00F60344" w:rsidRPr="003F628D" w:rsidRDefault="00F60344" w:rsidP="00EA04E5">
      <w:pPr>
        <w:pStyle w:val="SingleTxtG"/>
      </w:pPr>
      <w:r w:rsidRPr="002A2B45">
        <w:t>3.</w:t>
      </w:r>
      <w:r w:rsidRPr="002A2B45">
        <w:tab/>
      </w:r>
      <w:r w:rsidRPr="003F628D">
        <w:t xml:space="preserve">Le présent </w:t>
      </w:r>
      <w:r w:rsidRPr="002A2B45">
        <w:t>document</w:t>
      </w:r>
      <w:r w:rsidRPr="003F628D">
        <w:t xml:space="preserve"> contient une proposition </w:t>
      </w:r>
      <w:r>
        <w:t xml:space="preserve">concernant les </w:t>
      </w:r>
      <w:r w:rsidRPr="003F628D">
        <w:t xml:space="preserve">piles et batteries </w:t>
      </w:r>
      <w:r>
        <w:t xml:space="preserve">au </w:t>
      </w:r>
      <w:r w:rsidRPr="003F628D">
        <w:t>sodium ionique</w:t>
      </w:r>
      <w:r>
        <w:t xml:space="preserve"> </w:t>
      </w:r>
      <w:r w:rsidRPr="008B45F0">
        <w:t>mises en court-circuit ou déchargées</w:t>
      </w:r>
      <w:r>
        <w:t xml:space="preserve"> pour examen lors de la session et sollicite les points de vue des parties intéressées quant à la suite des travaux devant porter sur leur transport lorsqu’elles sont chargées. </w:t>
      </w:r>
    </w:p>
    <w:p w:rsidR="00F60344" w:rsidRPr="002A2B45" w:rsidRDefault="00EA04E5" w:rsidP="00EA04E5">
      <w:pPr>
        <w:pStyle w:val="HChG"/>
      </w:pPr>
      <w:r>
        <w:lastRenderedPageBreak/>
        <w:tab/>
      </w:r>
      <w:r>
        <w:tab/>
      </w:r>
      <w:r w:rsidR="00F60344" w:rsidRPr="008B45F0">
        <w:t>Contexte</w:t>
      </w:r>
      <w:r w:rsidR="00F60344" w:rsidRPr="002A2B45">
        <w:t xml:space="preserve"> </w:t>
      </w:r>
    </w:p>
    <w:p w:rsidR="00F60344" w:rsidRPr="008B45F0" w:rsidRDefault="00F60344" w:rsidP="00EA04E5">
      <w:pPr>
        <w:pStyle w:val="SingleTxtG"/>
      </w:pPr>
      <w:r w:rsidRPr="002A2B45">
        <w:t>4.</w:t>
      </w:r>
      <w:r w:rsidRPr="002A2B45">
        <w:tab/>
      </w:r>
      <w:r w:rsidRPr="008B45F0">
        <w:t>Le proposition ci-après ne concerne que les piles et batteries au sodium ionique</w:t>
      </w:r>
      <w:r>
        <w:t xml:space="preserve"> qui sont</w:t>
      </w:r>
      <w:r w:rsidRPr="008B45F0">
        <w:t xml:space="preserve"> mises en court-circuit ou déchargées</w:t>
      </w:r>
      <w:r>
        <w:t xml:space="preserve">. La facilité avec laquelle ces batteries peuvent être </w:t>
      </w:r>
      <w:r w:rsidRPr="008B45F0">
        <w:t>mises en court-circuit</w:t>
      </w:r>
      <w:r>
        <w:t>, ce qui minimise les risques durant le transport, indique que c’est sous cette forme que se feront la plupart des envois commerciaux. L’inclusion de cette proposition dans la vingt</w:t>
      </w:r>
      <w:r w:rsidR="00EA04E5">
        <w:t xml:space="preserve"> </w:t>
      </w:r>
      <w:r>
        <w:t>et</w:t>
      </w:r>
      <w:r w:rsidR="00EA04E5">
        <w:t xml:space="preserve"> </w:t>
      </w:r>
      <w:r>
        <w:t>unième édition révisée du Règlement type serait opportune pour cette technologie émergente.</w:t>
      </w:r>
    </w:p>
    <w:p w:rsidR="00F60344" w:rsidRPr="002A2B45" w:rsidRDefault="00EA04E5" w:rsidP="00EA04E5">
      <w:pPr>
        <w:pStyle w:val="HChG"/>
      </w:pPr>
      <w:r>
        <w:tab/>
      </w:r>
      <w:r>
        <w:tab/>
      </w:r>
      <w:r w:rsidR="00F60344" w:rsidRPr="002A2B45">
        <w:t>Propos</w:t>
      </w:r>
      <w:r w:rsidR="00F60344" w:rsidRPr="006C1EE3">
        <w:t>ition</w:t>
      </w:r>
    </w:p>
    <w:p w:rsidR="00F60344" w:rsidRPr="002A2B45" w:rsidRDefault="00F60344" w:rsidP="00EA04E5">
      <w:pPr>
        <w:pStyle w:val="SingleTxtG"/>
      </w:pPr>
      <w:r w:rsidRPr="002A2B45">
        <w:t>5.</w:t>
      </w:r>
      <w:r w:rsidRPr="002A2B45">
        <w:tab/>
      </w:r>
      <w:r w:rsidRPr="006C1EE3">
        <w:t xml:space="preserve">Pour le numéro ONU </w:t>
      </w:r>
      <w:r w:rsidRPr="002A2B45">
        <w:t xml:space="preserve">3292, </w:t>
      </w:r>
      <w:r w:rsidRPr="006C1EE3">
        <w:t xml:space="preserve">ajouter une nouvelle disposition spéciale </w:t>
      </w:r>
      <w:r w:rsidR="00EA04E5">
        <w:t>« </w:t>
      </w:r>
      <w:r w:rsidRPr="002A2B45">
        <w:t>XXX</w:t>
      </w:r>
      <w:r w:rsidR="00EA04E5">
        <w:t> »</w:t>
      </w:r>
      <w:r w:rsidRPr="002A2B45">
        <w:t xml:space="preserve"> </w:t>
      </w:r>
      <w:r w:rsidRPr="006C1EE3">
        <w:t xml:space="preserve">dans la colonne </w:t>
      </w:r>
      <w:r w:rsidRPr="002A2B45">
        <w:t xml:space="preserve">(6) </w:t>
      </w:r>
      <w:r w:rsidRPr="006C1EE3">
        <w:t xml:space="preserve">de la Liste </w:t>
      </w:r>
      <w:r>
        <w:t>des marchandises dangereuses du chapitre</w:t>
      </w:r>
      <w:r w:rsidR="00EA04E5">
        <w:t> </w:t>
      </w:r>
      <w:r w:rsidRPr="002A2B45">
        <w:t>3.2.</w:t>
      </w:r>
    </w:p>
    <w:p w:rsidR="00F60344" w:rsidRPr="002A2B45" w:rsidRDefault="00F60344" w:rsidP="00EA04E5">
      <w:pPr>
        <w:pStyle w:val="SingleTxtG"/>
        <w:keepNext/>
      </w:pPr>
      <w:r w:rsidRPr="002A2B45">
        <w:t>6.</w:t>
      </w:r>
      <w:r w:rsidRPr="002A2B45">
        <w:tab/>
        <w:t>A</w:t>
      </w:r>
      <w:r w:rsidRPr="006C1EE3">
        <w:t>jouter au chapitre</w:t>
      </w:r>
      <w:r w:rsidR="00EA04E5">
        <w:t> </w:t>
      </w:r>
      <w:r w:rsidRPr="002A2B45">
        <w:t xml:space="preserve">3.3 </w:t>
      </w:r>
      <w:r w:rsidRPr="006C1EE3">
        <w:t xml:space="preserve">une nouvelle disposition spéciale </w:t>
      </w:r>
      <w:r w:rsidR="00EA04E5">
        <w:t>« </w:t>
      </w:r>
      <w:r w:rsidRPr="002A2B45">
        <w:t>XXX</w:t>
      </w:r>
      <w:r w:rsidR="00EA04E5">
        <w:t> »</w:t>
      </w:r>
      <w:r w:rsidRPr="002A2B45">
        <w:t xml:space="preserve"> </w:t>
      </w:r>
      <w:r>
        <w:t>ainsi conçue</w:t>
      </w:r>
      <w:r w:rsidR="00EA04E5">
        <w:t> </w:t>
      </w:r>
      <w:r w:rsidRPr="002A2B45">
        <w:t>:</w:t>
      </w:r>
    </w:p>
    <w:p w:rsidR="00F60344" w:rsidRPr="006C1EE3" w:rsidRDefault="00EA04E5" w:rsidP="00EA04E5">
      <w:pPr>
        <w:pStyle w:val="SingleTxtG"/>
        <w:keepNext/>
        <w:ind w:left="1701"/>
      </w:pPr>
      <w:r>
        <w:t>« XXX</w:t>
      </w:r>
      <w:r w:rsidR="00F60344" w:rsidRPr="002A2B45">
        <w:tab/>
      </w:r>
      <w:r w:rsidR="00F60344" w:rsidRPr="006C1EE3">
        <w:t>Les piles et batteries au sodium ionique présentées au transport en vrac ou montées dans un équipement</w:t>
      </w:r>
      <w:r w:rsidR="00F60344">
        <w:t xml:space="preserve"> ne sont pas soumises </w:t>
      </w:r>
      <w:r w:rsidR="00F60344" w:rsidRPr="006C1EE3">
        <w:t>aux autres dispositions du présent Règlement</w:t>
      </w:r>
      <w:r w:rsidR="00F60344">
        <w:t xml:space="preserve"> si elles</w:t>
      </w:r>
      <w:r w:rsidR="00F60344" w:rsidRPr="006C5873">
        <w:t xml:space="preserve"> remplissent les conditions suivantes</w:t>
      </w:r>
      <w:r>
        <w:t> </w:t>
      </w:r>
      <w:r w:rsidR="00F60344" w:rsidRPr="006C5873">
        <w:t>:</w:t>
      </w:r>
    </w:p>
    <w:p w:rsidR="00F60344" w:rsidRPr="002A2B45" w:rsidRDefault="00F60344" w:rsidP="00EA04E5">
      <w:pPr>
        <w:pStyle w:val="SingleTxtG"/>
        <w:ind w:left="1701"/>
      </w:pPr>
      <w:r w:rsidRPr="002A2B45">
        <w:t>a)</w:t>
      </w:r>
      <w:r w:rsidRPr="002A2B45">
        <w:tab/>
      </w:r>
      <w:r w:rsidRPr="006C5873">
        <w:t>Il s</w:t>
      </w:r>
      <w:r>
        <w:t>’</w:t>
      </w:r>
      <w:r w:rsidRPr="006C5873">
        <w:t xml:space="preserve">agit de piles et batteries </w:t>
      </w:r>
      <w:r>
        <w:t>transportées à l’état court-circuité ou déchargé</w:t>
      </w:r>
      <w:r w:rsidR="00EA04E5">
        <w:t> </w:t>
      </w:r>
      <w:r w:rsidRPr="002A2B45">
        <w:t>;</w:t>
      </w:r>
    </w:p>
    <w:p w:rsidR="00F60344" w:rsidRPr="002A2B45" w:rsidRDefault="00F60344" w:rsidP="00EA04E5">
      <w:pPr>
        <w:pStyle w:val="SingleTxtG"/>
        <w:ind w:left="2268" w:hanging="567"/>
      </w:pPr>
      <w:r w:rsidRPr="002A2B45">
        <w:t>b)</w:t>
      </w:r>
      <w:r w:rsidRPr="002A2B45">
        <w:tab/>
      </w:r>
      <w:r w:rsidRPr="008D24DD">
        <w:t>Les piles</w:t>
      </w:r>
      <w:r>
        <w:t>,</w:t>
      </w:r>
      <w:r w:rsidRPr="008D24DD">
        <w:t xml:space="preserve"> </w:t>
      </w:r>
      <w:r>
        <w:t xml:space="preserve">les </w:t>
      </w:r>
      <w:r w:rsidRPr="008D24DD">
        <w:t xml:space="preserve">batteries </w:t>
      </w:r>
      <w:r>
        <w:t xml:space="preserve">et les </w:t>
      </w:r>
      <w:r w:rsidRPr="008D24DD">
        <w:t>équipement</w:t>
      </w:r>
      <w:r>
        <w:t xml:space="preserve">s qui contiennent des piles et/ou des batteries sont placés </w:t>
      </w:r>
      <w:r w:rsidRPr="008D24DD">
        <w:t>dans des emballages</w:t>
      </w:r>
      <w:r>
        <w:t xml:space="preserve"> qui satisfont </w:t>
      </w:r>
      <w:r w:rsidRPr="008D24DD">
        <w:t>aux dispositions générales d</w:t>
      </w:r>
      <w:r>
        <w:t>es paragraphes</w:t>
      </w:r>
      <w:r w:rsidR="00EA04E5">
        <w:t> </w:t>
      </w:r>
      <w:r w:rsidRPr="002A2B45">
        <w:t xml:space="preserve">4.1.1.1 </w:t>
      </w:r>
      <w:r w:rsidRPr="008D24DD">
        <w:t>et</w:t>
      </w:r>
      <w:r w:rsidRPr="002A2B45">
        <w:t xml:space="preserve"> 4.1.1.2, </w:t>
      </w:r>
      <w:r w:rsidRPr="008D24DD">
        <w:t>les</w:t>
      </w:r>
      <w:r>
        <w:t xml:space="preserve"> batteries de grande taille pouvant être transportées sur des palettes ou dans des </w:t>
      </w:r>
      <w:r w:rsidRPr="008D24DD">
        <w:t>dispositifs de manutention</w:t>
      </w:r>
      <w:r>
        <w:t xml:space="preserve"> appropriés.</w:t>
      </w:r>
      <w:r w:rsidR="00EA04E5">
        <w:t> »</w:t>
      </w:r>
      <w:r>
        <w:t>.</w:t>
      </w:r>
    </w:p>
    <w:p w:rsidR="00F60344" w:rsidRPr="002A2B45" w:rsidRDefault="00EA04E5" w:rsidP="001E56A9">
      <w:pPr>
        <w:pStyle w:val="H1G"/>
      </w:pPr>
      <w:r>
        <w:tab/>
      </w:r>
      <w:r>
        <w:tab/>
      </w:r>
      <w:r w:rsidR="00F60344" w:rsidRPr="008D24DD">
        <w:t xml:space="preserve">Travail de suivi pour </w:t>
      </w:r>
      <w:r w:rsidR="00F821D4" w:rsidRPr="008D24DD">
        <w:t xml:space="preserve">les </w:t>
      </w:r>
      <w:r w:rsidR="00F821D4" w:rsidRPr="002A2B45">
        <w:t>futures sessions</w:t>
      </w:r>
    </w:p>
    <w:p w:rsidR="00F60344" w:rsidRDefault="00F60344" w:rsidP="00EA04E5">
      <w:pPr>
        <w:pStyle w:val="SingleTxtG"/>
      </w:pPr>
      <w:r w:rsidRPr="002A2B45">
        <w:t>7.</w:t>
      </w:r>
      <w:r w:rsidRPr="002A2B45">
        <w:tab/>
      </w:r>
      <w:r w:rsidRPr="008D24DD">
        <w:t xml:space="preserve">Conformément </w:t>
      </w:r>
      <w:r>
        <w:t xml:space="preserve">à ce que lui a conseillé le </w:t>
      </w:r>
      <w:r w:rsidRPr="008D24DD">
        <w:t>Sous-</w:t>
      </w:r>
      <w:r w:rsidR="001E56A9" w:rsidRPr="008D24DD">
        <w:t xml:space="preserve">Comité </w:t>
      </w:r>
      <w:r w:rsidR="001E56A9">
        <w:t>à sa cinquante</w:t>
      </w:r>
      <w:r w:rsidR="001E56A9">
        <w:noBreakHyphen/>
      </w:r>
      <w:r w:rsidRPr="008D24DD">
        <w:t>deuxième session</w:t>
      </w:r>
      <w:r>
        <w:t xml:space="preserve">, l’expert du Royaume-Uni reviendra avec davantage d’informations et de propositions portant sur le transport en toute sécurité des batteries au </w:t>
      </w:r>
      <w:r w:rsidRPr="00212F52">
        <w:t>sodium ionique</w:t>
      </w:r>
      <w:r>
        <w:t xml:space="preserve"> chargées, en tenant compte de leurs risques électriques et chimiques ainsi que des méthodes d’épreuve applicables. </w:t>
      </w:r>
    </w:p>
    <w:p w:rsidR="00F60344" w:rsidRPr="002A2B45" w:rsidRDefault="00F60344" w:rsidP="00EA04E5">
      <w:pPr>
        <w:pStyle w:val="SingleTxtG"/>
        <w:keepNext/>
      </w:pPr>
      <w:r w:rsidRPr="002A2B45">
        <w:t>8.</w:t>
      </w:r>
      <w:r w:rsidRPr="002A2B45">
        <w:tab/>
      </w:r>
      <w:r>
        <w:t xml:space="preserve">Afin de faire </w:t>
      </w:r>
      <w:r w:rsidRPr="00E47B56">
        <w:t xml:space="preserve">avancer cette </w:t>
      </w:r>
      <w:r w:rsidRPr="007637A6">
        <w:t>question, l</w:t>
      </w:r>
      <w:r>
        <w:t>’</w:t>
      </w:r>
      <w:r w:rsidRPr="007637A6">
        <w:t>expert du</w:t>
      </w:r>
      <w:r w:rsidRPr="00E47B56">
        <w:t xml:space="preserve"> </w:t>
      </w:r>
      <w:r>
        <w:t xml:space="preserve">Royaume-Uni envisage de proposer à la prochaine session d’ajouter à l’instruction d’emballage </w:t>
      </w:r>
      <w:r w:rsidRPr="002A2B45">
        <w:t xml:space="preserve">P408 </w:t>
      </w:r>
      <w:r>
        <w:t xml:space="preserve">de nouvelles dispositions applicables aux </w:t>
      </w:r>
      <w:r w:rsidRPr="00E47B56">
        <w:t>batteries au sodium ionique chargées</w:t>
      </w:r>
      <w:r>
        <w:t xml:space="preserve"> afin de ne permettre leur transport que dans des emballages garantissant qu’en cas d’emballement thermique d’une pile ou d’une batterie</w:t>
      </w:r>
      <w:r w:rsidR="00EA04E5">
        <w:t> </w:t>
      </w:r>
      <w:r w:rsidRPr="002A2B45">
        <w:t>:</w:t>
      </w:r>
    </w:p>
    <w:p w:rsidR="00F60344" w:rsidRPr="002A2B45" w:rsidRDefault="00F60344" w:rsidP="00CC1F83">
      <w:pPr>
        <w:pStyle w:val="SingleTxtG"/>
        <w:ind w:firstLine="567"/>
      </w:pPr>
      <w:r w:rsidRPr="002A2B45">
        <w:t>a)</w:t>
      </w:r>
      <w:r w:rsidRPr="002A2B45">
        <w:tab/>
      </w:r>
      <w:r w:rsidRPr="00CE6347">
        <w:t>Les autres batteries contenues dans l</w:t>
      </w:r>
      <w:r>
        <w:t>’</w:t>
      </w:r>
      <w:r w:rsidRPr="00CE6347">
        <w:t>emballage ne connaîtron</w:t>
      </w:r>
      <w:r>
        <w:t>t</w:t>
      </w:r>
      <w:r w:rsidRPr="00CE6347">
        <w:t xml:space="preserve"> pas d</w:t>
      </w:r>
      <w:r>
        <w:t>’</w:t>
      </w:r>
      <w:r w:rsidRPr="00CE6347">
        <w:t>em</w:t>
      </w:r>
      <w:r>
        <w:t>b</w:t>
      </w:r>
      <w:r w:rsidRPr="00CE6347">
        <w:t>allement thermique</w:t>
      </w:r>
      <w:r w:rsidR="00CC1F83">
        <w:t> </w:t>
      </w:r>
      <w:r w:rsidRPr="002A2B45">
        <w:t>;</w:t>
      </w:r>
    </w:p>
    <w:p w:rsidR="00F60344" w:rsidRPr="002A2B45" w:rsidRDefault="00F60344" w:rsidP="00CC1F83">
      <w:pPr>
        <w:pStyle w:val="SingleTxtG"/>
        <w:ind w:firstLine="567"/>
      </w:pPr>
      <w:r w:rsidRPr="002A2B45">
        <w:t>b)</w:t>
      </w:r>
      <w:r w:rsidRPr="002A2B45">
        <w:tab/>
      </w:r>
      <w:r w:rsidRPr="00CE6347">
        <w:t xml:space="preserve">Le matériau </w:t>
      </w:r>
      <w:r>
        <w:t xml:space="preserve">constituant </w:t>
      </w:r>
      <w:r w:rsidRPr="00CE6347">
        <w:t>l</w:t>
      </w:r>
      <w:r>
        <w:t>’</w:t>
      </w:r>
      <w:r w:rsidRPr="00CE6347">
        <w:t>emballage</w:t>
      </w:r>
      <w:r>
        <w:t xml:space="preserve"> </w:t>
      </w:r>
      <w:r w:rsidRPr="007C117F">
        <w:t>n</w:t>
      </w:r>
      <w:r>
        <w:t>’</w:t>
      </w:r>
      <w:r w:rsidRPr="007C117F">
        <w:t>entrera pas en combustion</w:t>
      </w:r>
      <w:r w:rsidR="00CC1F83">
        <w:t> </w:t>
      </w:r>
      <w:r w:rsidRPr="002A2B45">
        <w:t xml:space="preserve">; </w:t>
      </w:r>
      <w:r>
        <w:t>et</w:t>
      </w:r>
    </w:p>
    <w:p w:rsidR="00F60344" w:rsidRPr="002A2B45" w:rsidRDefault="00F60344" w:rsidP="00CC1F83">
      <w:pPr>
        <w:pStyle w:val="SingleTxtG"/>
        <w:ind w:firstLine="567"/>
      </w:pPr>
      <w:r w:rsidRPr="002A2B45">
        <w:t>c)</w:t>
      </w:r>
      <w:r w:rsidRPr="002A2B45">
        <w:tab/>
      </w:r>
      <w:r>
        <w:t>L</w:t>
      </w:r>
      <w:r w:rsidRPr="00CE6347">
        <w:t>a température de la surface extérieure de l</w:t>
      </w:r>
      <w:r>
        <w:t>’</w:t>
      </w:r>
      <w:r w:rsidRPr="00CE6347">
        <w:t>emballage complet ne dépassera pas 100°C</w:t>
      </w:r>
      <w:r w:rsidRPr="002A2B45">
        <w:t>.</w:t>
      </w:r>
    </w:p>
    <w:p w:rsidR="00F60344" w:rsidRDefault="00F60344" w:rsidP="00CC1F83">
      <w:pPr>
        <w:pStyle w:val="SingleTxtG"/>
      </w:pPr>
      <w:r w:rsidRPr="002A2B45">
        <w:t>9.</w:t>
      </w:r>
      <w:r w:rsidRPr="002A2B45">
        <w:tab/>
      </w:r>
      <w:r w:rsidRPr="00212F52">
        <w:t>L</w:t>
      </w:r>
      <w:r>
        <w:t>’</w:t>
      </w:r>
      <w:r w:rsidRPr="002A2B45">
        <w:t xml:space="preserve">expert </w:t>
      </w:r>
      <w:r w:rsidRPr="00212F52">
        <w:t xml:space="preserve">du Royaume-Uni apprécierait </w:t>
      </w:r>
      <w:r>
        <w:t xml:space="preserve">de recevoir </w:t>
      </w:r>
      <w:r w:rsidRPr="00212F52">
        <w:t xml:space="preserve">au plus vite </w:t>
      </w:r>
      <w:r>
        <w:t>toutes réactions et observations concernant cette possible approche.</w:t>
      </w:r>
    </w:p>
    <w:p w:rsidR="00CC1F83" w:rsidRPr="00CC1F83" w:rsidRDefault="00CC1F83" w:rsidP="00CC1F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1F83" w:rsidRPr="00CC1F83" w:rsidSect="00F603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96" w:rsidRDefault="00801396" w:rsidP="00F95C08">
      <w:pPr>
        <w:spacing w:line="240" w:lineRule="auto"/>
      </w:pPr>
    </w:p>
  </w:endnote>
  <w:endnote w:type="continuationSeparator" w:id="0">
    <w:p w:rsidR="00801396" w:rsidRPr="00AC3823" w:rsidRDefault="00801396" w:rsidP="00AC3823">
      <w:pPr>
        <w:pStyle w:val="Footer"/>
      </w:pPr>
    </w:p>
  </w:endnote>
  <w:endnote w:type="continuationNotice" w:id="1">
    <w:p w:rsidR="00801396" w:rsidRDefault="008013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44" w:rsidRPr="00F60344" w:rsidRDefault="00F60344" w:rsidP="00F60344">
    <w:pPr>
      <w:pStyle w:val="Footer"/>
      <w:tabs>
        <w:tab w:val="right" w:pos="9638"/>
      </w:tabs>
    </w:pPr>
    <w:r w:rsidRPr="00F60344">
      <w:rPr>
        <w:b/>
        <w:sz w:val="18"/>
      </w:rPr>
      <w:fldChar w:fldCharType="begin"/>
    </w:r>
    <w:r w:rsidRPr="00F60344">
      <w:rPr>
        <w:b/>
        <w:sz w:val="18"/>
      </w:rPr>
      <w:instrText xml:space="preserve"> PAGE  \* MERGEFORMAT </w:instrText>
    </w:r>
    <w:r w:rsidRPr="00F60344">
      <w:rPr>
        <w:b/>
        <w:sz w:val="18"/>
      </w:rPr>
      <w:fldChar w:fldCharType="separate"/>
    </w:r>
    <w:r w:rsidR="00313599">
      <w:rPr>
        <w:b/>
        <w:noProof/>
        <w:sz w:val="18"/>
      </w:rPr>
      <w:t>2</w:t>
    </w:r>
    <w:r w:rsidRPr="00F60344">
      <w:rPr>
        <w:b/>
        <w:sz w:val="18"/>
      </w:rPr>
      <w:fldChar w:fldCharType="end"/>
    </w:r>
    <w:r>
      <w:rPr>
        <w:b/>
        <w:sz w:val="18"/>
      </w:rPr>
      <w:tab/>
    </w:r>
    <w:r>
      <w:t>GE.18-02356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44" w:rsidRPr="00F60344" w:rsidRDefault="00F60344" w:rsidP="00F60344">
    <w:pPr>
      <w:pStyle w:val="Footer"/>
      <w:tabs>
        <w:tab w:val="right" w:pos="9638"/>
      </w:tabs>
      <w:rPr>
        <w:b/>
        <w:sz w:val="18"/>
      </w:rPr>
    </w:pPr>
    <w:r>
      <w:t>GE.18-02356</w:t>
    </w:r>
    <w:r>
      <w:tab/>
    </w:r>
    <w:r w:rsidRPr="00F60344">
      <w:rPr>
        <w:b/>
        <w:sz w:val="18"/>
      </w:rPr>
      <w:fldChar w:fldCharType="begin"/>
    </w:r>
    <w:r w:rsidRPr="00F60344">
      <w:rPr>
        <w:b/>
        <w:sz w:val="18"/>
      </w:rPr>
      <w:instrText xml:space="preserve"> PAGE  \* MERGEFORMAT </w:instrText>
    </w:r>
    <w:r w:rsidRPr="00F6034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603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F60344" w:rsidRDefault="00F60344" w:rsidP="00F6034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2A">
      <w:rPr>
        <w:sz w:val="20"/>
      </w:rPr>
      <w:t>18-02356  (F)    070318    10</w:t>
    </w:r>
    <w:r>
      <w:rPr>
        <w:sz w:val="20"/>
      </w:rPr>
      <w:t>0518</w:t>
    </w:r>
    <w:r>
      <w:rPr>
        <w:sz w:val="20"/>
      </w:rPr>
      <w:br/>
    </w:r>
    <w:r w:rsidRPr="00F60344">
      <w:rPr>
        <w:rFonts w:ascii="C39T30Lfz" w:hAnsi="C39T30Lfz"/>
        <w:sz w:val="56"/>
      </w:rPr>
      <w:t></w:t>
    </w:r>
    <w:r w:rsidRPr="00F60344">
      <w:rPr>
        <w:rFonts w:ascii="C39T30Lfz" w:hAnsi="C39T30Lfz"/>
        <w:sz w:val="56"/>
      </w:rPr>
      <w:t></w:t>
    </w:r>
    <w:r w:rsidRPr="00F60344">
      <w:rPr>
        <w:rFonts w:ascii="C39T30Lfz" w:hAnsi="C39T30Lfz"/>
        <w:sz w:val="56"/>
      </w:rPr>
      <w:t></w:t>
    </w:r>
    <w:r w:rsidRPr="00F60344">
      <w:rPr>
        <w:rFonts w:ascii="C39T30Lfz" w:hAnsi="C39T30Lfz"/>
        <w:sz w:val="56"/>
      </w:rPr>
      <w:t></w:t>
    </w:r>
    <w:r w:rsidRPr="00F60344">
      <w:rPr>
        <w:rFonts w:ascii="C39T30Lfz" w:hAnsi="C39T30Lfz"/>
        <w:sz w:val="56"/>
      </w:rPr>
      <w:t></w:t>
    </w:r>
    <w:r w:rsidRPr="00F60344">
      <w:rPr>
        <w:rFonts w:ascii="C39T30Lfz" w:hAnsi="C39T30Lfz"/>
        <w:sz w:val="56"/>
      </w:rPr>
      <w:t></w:t>
    </w:r>
    <w:r w:rsidRPr="00F60344">
      <w:rPr>
        <w:rFonts w:ascii="C39T30Lfz" w:hAnsi="C39T30Lfz"/>
        <w:sz w:val="56"/>
      </w:rPr>
      <w:t></w:t>
    </w:r>
    <w:r w:rsidRPr="00F60344">
      <w:rPr>
        <w:rFonts w:ascii="C39T30Lfz" w:hAnsi="C39T30Lfz"/>
        <w:sz w:val="56"/>
      </w:rPr>
      <w:t></w:t>
    </w:r>
    <w:r w:rsidRPr="00F6034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96" w:rsidRPr="00AC3823" w:rsidRDefault="008013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1396" w:rsidRPr="00AC3823" w:rsidRDefault="008013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01396" w:rsidRPr="00AC3823" w:rsidRDefault="00801396">
      <w:pPr>
        <w:spacing w:line="240" w:lineRule="auto"/>
        <w:rPr>
          <w:sz w:val="2"/>
          <w:szCs w:val="2"/>
        </w:rPr>
      </w:pPr>
    </w:p>
  </w:footnote>
  <w:footnote w:id="2">
    <w:p w:rsidR="00692C5A" w:rsidRPr="00692C5A" w:rsidRDefault="00692C5A">
      <w:pPr>
        <w:pStyle w:val="FootnoteText"/>
      </w:pPr>
      <w:r>
        <w:rPr>
          <w:rStyle w:val="FootnoteReference"/>
        </w:rPr>
        <w:tab/>
      </w:r>
      <w:r w:rsidRPr="00692C5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0412E">
        <w:t>Conformément au programme de travail du Sous-Comité pour la période biennale 2017-2018, approuvé par le Comité à sa huitième session (voir ST/SG/AC.10/C.3/100, par.</w:t>
      </w:r>
      <w:r w:rsidR="00EA04E5">
        <w:t> </w:t>
      </w:r>
      <w:r w:rsidRPr="00B0412E">
        <w:t>98, et ST/SG/AC.10/44, par.</w:t>
      </w:r>
      <w:r w:rsidR="00EA04E5">
        <w:t> </w:t>
      </w:r>
      <w:r w:rsidRPr="00B0412E"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44" w:rsidRPr="00F60344" w:rsidRDefault="00574F5F">
    <w:pPr>
      <w:pStyle w:val="Header"/>
    </w:pPr>
    <w:fldSimple w:instr=" TITLE  \* MERGEFORMAT ">
      <w:r w:rsidR="00313599">
        <w:t>ST/SG/AC.10/C.3/2018/3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44" w:rsidRPr="00F60344" w:rsidRDefault="00574F5F" w:rsidP="00F60344">
    <w:pPr>
      <w:pStyle w:val="Header"/>
      <w:jc w:val="right"/>
    </w:pPr>
    <w:fldSimple w:instr=" TITLE  \* MERGEFORMAT ">
      <w:r w:rsidR="00313599">
        <w:t>ST/SG/AC.10/C.3/2018/3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96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E56A9"/>
    <w:rsid w:val="001F525A"/>
    <w:rsid w:val="00223272"/>
    <w:rsid w:val="0024779E"/>
    <w:rsid w:val="00283190"/>
    <w:rsid w:val="002832AC"/>
    <w:rsid w:val="002D7C93"/>
    <w:rsid w:val="00313599"/>
    <w:rsid w:val="00325BCB"/>
    <w:rsid w:val="00336F2A"/>
    <w:rsid w:val="00373648"/>
    <w:rsid w:val="00441C3B"/>
    <w:rsid w:val="00446FE5"/>
    <w:rsid w:val="00452396"/>
    <w:rsid w:val="004E468C"/>
    <w:rsid w:val="005505B7"/>
    <w:rsid w:val="00573BE5"/>
    <w:rsid w:val="00574F5F"/>
    <w:rsid w:val="00584DC4"/>
    <w:rsid w:val="00586ED3"/>
    <w:rsid w:val="00596AA9"/>
    <w:rsid w:val="0068456F"/>
    <w:rsid w:val="00692C5A"/>
    <w:rsid w:val="0071601D"/>
    <w:rsid w:val="007A62E6"/>
    <w:rsid w:val="00801396"/>
    <w:rsid w:val="0080684C"/>
    <w:rsid w:val="00871C75"/>
    <w:rsid w:val="008776DC"/>
    <w:rsid w:val="008B40CD"/>
    <w:rsid w:val="00947B9A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91348"/>
    <w:rsid w:val="00CC1F83"/>
    <w:rsid w:val="00D3439C"/>
    <w:rsid w:val="00DB1831"/>
    <w:rsid w:val="00DD3BFD"/>
    <w:rsid w:val="00DF6678"/>
    <w:rsid w:val="00EA04E5"/>
    <w:rsid w:val="00EF2E22"/>
    <w:rsid w:val="00F01738"/>
    <w:rsid w:val="00F60344"/>
    <w:rsid w:val="00F660DF"/>
    <w:rsid w:val="00F730C8"/>
    <w:rsid w:val="00F821D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5752E0-9964-4D01-B8F7-AF0E135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ST/SG/AC.10/C.3/2018/3</vt:lpstr>
      <vt:lpstr>ST/SG/AC.10/C.3/2018/3</vt:lpstr>
    </vt:vector>
  </TitlesOfParts>
  <Company>DCM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ST/SG/AC.10/C.3/2018/3</dc:title>
  <dc:subject/>
  <dc:creator>Christine  CHAUTAGNAT</dc:creator>
  <cp:keywords/>
  <cp:lastModifiedBy>Laurence Berthet</cp:lastModifiedBy>
  <cp:revision>3</cp:revision>
  <cp:lastPrinted>2018-05-11T07:46:00Z</cp:lastPrinted>
  <dcterms:created xsi:type="dcterms:W3CDTF">2018-05-11T07:46:00Z</dcterms:created>
  <dcterms:modified xsi:type="dcterms:W3CDTF">2018-05-11T07:46:00Z</dcterms:modified>
</cp:coreProperties>
</file>