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6500BA" w14:paraId="1229EDA3" w14:textId="77777777" w:rsidTr="009F0F06">
        <w:trPr>
          <w:trHeight w:val="851"/>
        </w:trPr>
        <w:tc>
          <w:tcPr>
            <w:tcW w:w="1259" w:type="dxa"/>
            <w:tcBorders>
              <w:top w:val="nil"/>
              <w:left w:val="nil"/>
              <w:bottom w:val="single" w:sz="4" w:space="0" w:color="auto"/>
              <w:right w:val="nil"/>
            </w:tcBorders>
          </w:tcPr>
          <w:p w14:paraId="1F7BA1C1" w14:textId="77777777" w:rsidR="00446DE4" w:rsidRPr="006500BA" w:rsidRDefault="00446DE4" w:rsidP="00F54674">
            <w:pPr>
              <w:spacing w:after="80" w:line="340" w:lineRule="exact"/>
            </w:pPr>
          </w:p>
        </w:tc>
        <w:tc>
          <w:tcPr>
            <w:tcW w:w="2236" w:type="dxa"/>
            <w:tcBorders>
              <w:top w:val="nil"/>
              <w:left w:val="nil"/>
              <w:bottom w:val="single" w:sz="4" w:space="0" w:color="auto"/>
              <w:right w:val="nil"/>
            </w:tcBorders>
            <w:vAlign w:val="bottom"/>
          </w:tcPr>
          <w:p w14:paraId="64F91BC3" w14:textId="77777777" w:rsidR="00446DE4" w:rsidRPr="006500BA" w:rsidRDefault="00B3317B" w:rsidP="00F54674">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14:paraId="43AAFFF3" w14:textId="26572690" w:rsidR="0095385C" w:rsidRPr="006500BA" w:rsidRDefault="0095385C" w:rsidP="00A931E6">
            <w:pPr>
              <w:jc w:val="right"/>
            </w:pPr>
            <w:r w:rsidRPr="0095385C">
              <w:rPr>
                <w:sz w:val="40"/>
              </w:rPr>
              <w:t>ST</w:t>
            </w:r>
            <w:r>
              <w:t>/SG/AC.10/C.3/201</w:t>
            </w:r>
            <w:r w:rsidR="00490A7A">
              <w:t>8</w:t>
            </w:r>
            <w:r>
              <w:t>/</w:t>
            </w:r>
            <w:r w:rsidR="00AC36DB">
              <w:t>33</w:t>
            </w:r>
            <w:r>
              <w:t>−</w:t>
            </w:r>
            <w:r w:rsidRPr="0095385C">
              <w:rPr>
                <w:sz w:val="40"/>
              </w:rPr>
              <w:t>ST</w:t>
            </w:r>
            <w:r>
              <w:t>/SG/AC.10/C.4/201</w:t>
            </w:r>
            <w:r w:rsidR="00490A7A">
              <w:t>8</w:t>
            </w:r>
            <w:r>
              <w:t>/</w:t>
            </w:r>
            <w:r w:rsidR="00AC36DB">
              <w:t>7</w:t>
            </w:r>
          </w:p>
        </w:tc>
      </w:tr>
      <w:tr w:rsidR="003107FA" w:rsidRPr="006500BA" w14:paraId="0192FCF6" w14:textId="77777777" w:rsidTr="009F0F06">
        <w:trPr>
          <w:trHeight w:val="2835"/>
        </w:trPr>
        <w:tc>
          <w:tcPr>
            <w:tcW w:w="1259" w:type="dxa"/>
            <w:tcBorders>
              <w:top w:val="single" w:sz="4" w:space="0" w:color="auto"/>
              <w:left w:val="nil"/>
              <w:bottom w:val="single" w:sz="12" w:space="0" w:color="auto"/>
              <w:right w:val="nil"/>
            </w:tcBorders>
          </w:tcPr>
          <w:p w14:paraId="6D8E5051" w14:textId="77777777" w:rsidR="003107FA" w:rsidRPr="006500BA" w:rsidRDefault="009D1AAE" w:rsidP="002B1CDA">
            <w:pPr>
              <w:spacing w:before="120"/>
              <w:jc w:val="center"/>
            </w:pPr>
            <w:r>
              <w:rPr>
                <w:noProof/>
                <w:lang w:val="sv-SE" w:eastAsia="sv-SE"/>
              </w:rPr>
              <w:drawing>
                <wp:inline distT="0" distB="0" distL="0" distR="0" wp14:anchorId="2BB9959B" wp14:editId="09AD17A1">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7AC25EC" w14:textId="77777777" w:rsidR="003107FA" w:rsidRPr="006500BA" w:rsidRDefault="00D96CC5" w:rsidP="001633FB">
            <w:pPr>
              <w:spacing w:before="120" w:line="420" w:lineRule="exact"/>
              <w:rPr>
                <w:b/>
                <w:sz w:val="40"/>
                <w:szCs w:val="40"/>
              </w:rPr>
            </w:pPr>
            <w:r w:rsidRPr="006500BA">
              <w:rPr>
                <w:b/>
                <w:sz w:val="40"/>
                <w:szCs w:val="40"/>
              </w:rPr>
              <w:t>Secretariat</w:t>
            </w:r>
          </w:p>
        </w:tc>
        <w:tc>
          <w:tcPr>
            <w:tcW w:w="2930" w:type="dxa"/>
            <w:tcBorders>
              <w:top w:val="single" w:sz="4" w:space="0" w:color="auto"/>
              <w:left w:val="nil"/>
              <w:bottom w:val="single" w:sz="12" w:space="0" w:color="auto"/>
              <w:right w:val="nil"/>
            </w:tcBorders>
          </w:tcPr>
          <w:p w14:paraId="723770D3" w14:textId="77777777" w:rsidR="003107FA" w:rsidRDefault="0095385C" w:rsidP="0095385C">
            <w:pPr>
              <w:spacing w:before="240" w:line="240" w:lineRule="exact"/>
            </w:pPr>
            <w:r>
              <w:t>Distr.: General</w:t>
            </w:r>
          </w:p>
          <w:p w14:paraId="53F0414B" w14:textId="29630907" w:rsidR="0095385C" w:rsidRDefault="00D107C8" w:rsidP="0095385C">
            <w:pPr>
              <w:spacing w:line="240" w:lineRule="exact"/>
            </w:pPr>
            <w:r>
              <w:t>9 April 2018</w:t>
            </w:r>
          </w:p>
          <w:p w14:paraId="4305B0CA" w14:textId="77777777" w:rsidR="0095385C" w:rsidRDefault="0095385C" w:rsidP="0095385C">
            <w:pPr>
              <w:spacing w:line="240" w:lineRule="exact"/>
            </w:pPr>
          </w:p>
          <w:p w14:paraId="4C5C075B" w14:textId="77777777" w:rsidR="0095385C" w:rsidRPr="006500BA" w:rsidRDefault="0095385C" w:rsidP="0095385C">
            <w:pPr>
              <w:spacing w:line="240" w:lineRule="exact"/>
            </w:pPr>
            <w:r>
              <w:t>Original: English</w:t>
            </w:r>
          </w:p>
        </w:tc>
      </w:tr>
    </w:tbl>
    <w:p w14:paraId="7EFF271B" w14:textId="77777777"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78"/>
        <w:gridCol w:w="4961"/>
      </w:tblGrid>
      <w:tr w:rsidR="00D46231" w14:paraId="4B4E038D" w14:textId="77777777" w:rsidTr="00AC36DB">
        <w:tc>
          <w:tcPr>
            <w:tcW w:w="4678" w:type="dxa"/>
          </w:tcPr>
          <w:p w14:paraId="1D8C2A6D" w14:textId="77777777" w:rsidR="00D46231" w:rsidRDefault="00D46231" w:rsidP="006F71FB">
            <w:pPr>
              <w:spacing w:before="120" w:after="120"/>
              <w:rPr>
                <w:b/>
              </w:rPr>
            </w:pPr>
            <w:r w:rsidRPr="006500BA">
              <w:rPr>
                <w:b/>
              </w:rPr>
              <w:t xml:space="preserve">Sub-Committee of Experts on the </w:t>
            </w:r>
            <w:r>
              <w:rPr>
                <w:b/>
              </w:rPr>
              <w:t xml:space="preserve">Transport </w:t>
            </w:r>
            <w:r>
              <w:rPr>
                <w:b/>
              </w:rPr>
              <w:br/>
              <w:t>of Dangerous Goods</w:t>
            </w:r>
            <w:r w:rsidRPr="00CA0680">
              <w:rPr>
                <w:b/>
              </w:rPr>
              <w:t xml:space="preserve"> </w:t>
            </w:r>
          </w:p>
        </w:tc>
        <w:tc>
          <w:tcPr>
            <w:tcW w:w="4961" w:type="dxa"/>
          </w:tcPr>
          <w:p w14:paraId="2544611B" w14:textId="77777777" w:rsidR="00D46231" w:rsidRDefault="00D46231" w:rsidP="00E1679E">
            <w:pPr>
              <w:spacing w:before="120"/>
              <w:rPr>
                <w:b/>
              </w:rPr>
            </w:pPr>
            <w:r w:rsidRPr="006500BA">
              <w:rPr>
                <w:b/>
              </w:rPr>
              <w:t>Sub-Committee of Experts on the Globally Harmonized</w:t>
            </w:r>
            <w:r>
              <w:rPr>
                <w:b/>
              </w:rPr>
              <w:t xml:space="preserve"> </w:t>
            </w:r>
            <w:r w:rsidRPr="006500BA">
              <w:rPr>
                <w:b/>
              </w:rPr>
              <w:t>System of Classification and</w:t>
            </w:r>
            <w:r w:rsidR="00E1679E">
              <w:rPr>
                <w:b/>
              </w:rPr>
              <w:t xml:space="preserve"> </w:t>
            </w:r>
            <w:r w:rsidRPr="006500BA">
              <w:rPr>
                <w:b/>
              </w:rPr>
              <w:t>Labelling of Chemicals</w:t>
            </w:r>
            <w:r>
              <w:rPr>
                <w:b/>
              </w:rPr>
              <w:t xml:space="preserve"> </w:t>
            </w:r>
          </w:p>
        </w:tc>
      </w:tr>
      <w:tr w:rsidR="00D46231" w:rsidRPr="00D107C8" w14:paraId="57E194B1" w14:textId="77777777" w:rsidTr="00AC36DB">
        <w:tc>
          <w:tcPr>
            <w:tcW w:w="4678" w:type="dxa"/>
          </w:tcPr>
          <w:p w14:paraId="0AEB21A6" w14:textId="77777777" w:rsidR="00D46231" w:rsidRPr="00D107C8" w:rsidRDefault="0095385C" w:rsidP="0095385C">
            <w:pPr>
              <w:rPr>
                <w:b/>
              </w:rPr>
            </w:pPr>
            <w:r w:rsidRPr="00D107C8">
              <w:rPr>
                <w:b/>
              </w:rPr>
              <w:t>Fift</w:t>
            </w:r>
            <w:r w:rsidR="00490A7A" w:rsidRPr="00D107C8">
              <w:rPr>
                <w:b/>
              </w:rPr>
              <w:t>y-third</w:t>
            </w:r>
            <w:r w:rsidR="00D46231" w:rsidRPr="00D107C8">
              <w:rPr>
                <w:b/>
              </w:rPr>
              <w:t xml:space="preserve"> session</w:t>
            </w:r>
          </w:p>
        </w:tc>
        <w:tc>
          <w:tcPr>
            <w:tcW w:w="4961" w:type="dxa"/>
          </w:tcPr>
          <w:p w14:paraId="7976A695" w14:textId="77777777" w:rsidR="00D46231" w:rsidRPr="00D107C8" w:rsidRDefault="009F7667" w:rsidP="000504CE">
            <w:pPr>
              <w:rPr>
                <w:b/>
              </w:rPr>
            </w:pPr>
            <w:r w:rsidRPr="00D107C8">
              <w:rPr>
                <w:b/>
              </w:rPr>
              <w:t>Thirty-</w:t>
            </w:r>
            <w:r w:rsidR="00490A7A" w:rsidRPr="00D107C8">
              <w:rPr>
                <w:b/>
              </w:rPr>
              <w:t>fifth</w:t>
            </w:r>
            <w:r w:rsidRPr="00D107C8">
              <w:rPr>
                <w:b/>
              </w:rPr>
              <w:t xml:space="preserve"> session</w:t>
            </w:r>
          </w:p>
        </w:tc>
      </w:tr>
      <w:tr w:rsidR="00D46231" w:rsidRPr="00D107C8" w14:paraId="50307753" w14:textId="77777777" w:rsidTr="00AC36DB">
        <w:trPr>
          <w:trHeight w:val="1016"/>
        </w:trPr>
        <w:tc>
          <w:tcPr>
            <w:tcW w:w="4678" w:type="dxa"/>
          </w:tcPr>
          <w:p w14:paraId="0412402B" w14:textId="651414E0" w:rsidR="00D46231" w:rsidRPr="00D107C8" w:rsidRDefault="00A8523D" w:rsidP="006A7B01">
            <w:pPr>
              <w:ind w:right="57"/>
            </w:pPr>
            <w:r w:rsidRPr="00D107C8">
              <w:t xml:space="preserve">Geneva, </w:t>
            </w:r>
            <w:r w:rsidR="004E394C" w:rsidRPr="00D107C8">
              <w:t>2</w:t>
            </w:r>
            <w:r w:rsidR="00184FCD" w:rsidRPr="00D107C8">
              <w:t>5 June</w:t>
            </w:r>
            <w:r w:rsidR="001D23B4" w:rsidRPr="00D107C8">
              <w:t>-</w:t>
            </w:r>
            <w:r w:rsidR="00490A7A" w:rsidRPr="00D107C8">
              <w:t>4</w:t>
            </w:r>
            <w:r w:rsidR="004E394C" w:rsidRPr="00D107C8">
              <w:t xml:space="preserve"> </w:t>
            </w:r>
            <w:r w:rsidR="00490A7A" w:rsidRPr="00D107C8">
              <w:t xml:space="preserve">July </w:t>
            </w:r>
            <w:r w:rsidR="004E394C" w:rsidRPr="00D107C8">
              <w:t>201</w:t>
            </w:r>
            <w:r w:rsidR="00490A7A" w:rsidRPr="00D107C8">
              <w:t>8</w:t>
            </w:r>
          </w:p>
          <w:p w14:paraId="4B345A62" w14:textId="7C303320" w:rsidR="00D46231" w:rsidRPr="00D107C8" w:rsidRDefault="00D46231" w:rsidP="006A7B01">
            <w:pPr>
              <w:ind w:right="57"/>
            </w:pPr>
            <w:r w:rsidRPr="00D107C8">
              <w:t xml:space="preserve">Item </w:t>
            </w:r>
            <w:r w:rsidR="006C1858" w:rsidRPr="00D107C8">
              <w:t>10 (e</w:t>
            </w:r>
            <w:r w:rsidR="0037333E" w:rsidRPr="00D107C8">
              <w:t xml:space="preserve">) </w:t>
            </w:r>
            <w:r w:rsidRPr="00D107C8">
              <w:t>of the provisional agenda</w:t>
            </w:r>
          </w:p>
          <w:p w14:paraId="327C3440" w14:textId="77777777" w:rsidR="004E394C" w:rsidRPr="00D107C8" w:rsidRDefault="009F7667" w:rsidP="006A7B01">
            <w:pPr>
              <w:ind w:right="57"/>
              <w:rPr>
                <w:b/>
              </w:rPr>
            </w:pPr>
            <w:r w:rsidRPr="00D107C8">
              <w:rPr>
                <w:b/>
              </w:rPr>
              <w:t>Issues relating to the Globally Harmonized System of Classification and Labelling of Chemicals:</w:t>
            </w:r>
          </w:p>
          <w:p w14:paraId="61ED3C23" w14:textId="2A1A05C5" w:rsidR="009F7667" w:rsidRPr="00D107C8" w:rsidRDefault="00AC36DB" w:rsidP="006C1858">
            <w:pPr>
              <w:ind w:right="57"/>
              <w:rPr>
                <w:b/>
              </w:rPr>
            </w:pPr>
            <w:r w:rsidRPr="00D107C8">
              <w:rPr>
                <w:b/>
              </w:rPr>
              <w:t>j</w:t>
            </w:r>
            <w:r w:rsidR="006C1858" w:rsidRPr="00D107C8">
              <w:rPr>
                <w:b/>
              </w:rPr>
              <w:t>oint work with the GHS Sub-Committee</w:t>
            </w:r>
          </w:p>
        </w:tc>
        <w:tc>
          <w:tcPr>
            <w:tcW w:w="4961" w:type="dxa"/>
          </w:tcPr>
          <w:p w14:paraId="6528F017" w14:textId="77777777" w:rsidR="00D46231" w:rsidRPr="00D107C8" w:rsidRDefault="009F7667" w:rsidP="000504CE">
            <w:r w:rsidRPr="00D107C8">
              <w:t xml:space="preserve">Geneva, </w:t>
            </w:r>
            <w:r w:rsidR="00490A7A" w:rsidRPr="00D107C8">
              <w:t>4</w:t>
            </w:r>
            <w:r w:rsidR="001D23B4" w:rsidRPr="00D107C8">
              <w:t>-</w:t>
            </w:r>
            <w:r w:rsidR="00490A7A" w:rsidRPr="00D107C8">
              <w:t>6</w:t>
            </w:r>
            <w:r w:rsidRPr="00D107C8">
              <w:t xml:space="preserve"> </w:t>
            </w:r>
            <w:r w:rsidR="00490A7A" w:rsidRPr="00D107C8">
              <w:t xml:space="preserve">July </w:t>
            </w:r>
            <w:r w:rsidRPr="00D107C8">
              <w:t>201</w:t>
            </w:r>
            <w:r w:rsidR="00490A7A" w:rsidRPr="00D107C8">
              <w:t>8</w:t>
            </w:r>
          </w:p>
          <w:p w14:paraId="6E8F9957" w14:textId="12621EB2" w:rsidR="006A7B01" w:rsidRPr="00D107C8" w:rsidRDefault="006A7B01" w:rsidP="006A7B01">
            <w:r w:rsidRPr="00D107C8">
              <w:t xml:space="preserve">Item </w:t>
            </w:r>
            <w:r w:rsidR="006C1858" w:rsidRPr="00D107C8">
              <w:t>3</w:t>
            </w:r>
            <w:r w:rsidR="001D4354" w:rsidRPr="00D107C8">
              <w:t xml:space="preserve"> (</w:t>
            </w:r>
            <w:r w:rsidR="006C1858" w:rsidRPr="00D107C8">
              <w:t>b</w:t>
            </w:r>
            <w:r w:rsidR="001D4354" w:rsidRPr="00D107C8">
              <w:t>)</w:t>
            </w:r>
            <w:r w:rsidR="0037333E" w:rsidRPr="00D107C8">
              <w:t xml:space="preserve"> </w:t>
            </w:r>
            <w:r w:rsidRPr="00D107C8">
              <w:t>of the provisional agenda</w:t>
            </w:r>
            <w:r w:rsidR="00AC36DB" w:rsidRPr="00D107C8">
              <w:br/>
            </w:r>
            <w:r w:rsidR="00AC36DB" w:rsidRPr="00D107C8">
              <w:rPr>
                <w:b/>
                <w:bCs/>
              </w:rPr>
              <w:t>Classification criteria and related hazard communication</w:t>
            </w:r>
            <w:r w:rsidR="00D107C8" w:rsidRPr="00D107C8">
              <w:rPr>
                <w:b/>
                <w:bCs/>
              </w:rPr>
              <w:t>:</w:t>
            </w:r>
          </w:p>
          <w:p w14:paraId="477AE1AD" w14:textId="4FFBA76F" w:rsidR="006A7B01" w:rsidRPr="00D107C8" w:rsidRDefault="00AC36DB" w:rsidP="000504CE">
            <w:pPr>
              <w:rPr>
                <w:b/>
              </w:rPr>
            </w:pPr>
            <w:r w:rsidRPr="00D107C8">
              <w:rPr>
                <w:b/>
              </w:rPr>
              <w:t>r</w:t>
            </w:r>
            <w:r w:rsidR="006C1858" w:rsidRPr="00D107C8">
              <w:rPr>
                <w:b/>
              </w:rPr>
              <w:t>eview of Chapter 2.1</w:t>
            </w:r>
          </w:p>
        </w:tc>
      </w:tr>
    </w:tbl>
    <w:p w14:paraId="6E5E7DF2" w14:textId="35D58B9A" w:rsidR="006A7B01" w:rsidRPr="009D1290" w:rsidRDefault="006A7B01" w:rsidP="00FF62DA">
      <w:pPr>
        <w:pStyle w:val="HChG"/>
        <w:keepNext w:val="0"/>
        <w:keepLines w:val="0"/>
      </w:pPr>
      <w:r w:rsidRPr="009D1290">
        <w:tab/>
      </w:r>
      <w:r w:rsidRPr="009D1290">
        <w:tab/>
      </w:r>
      <w:r w:rsidR="006564B0" w:rsidRPr="006564B0">
        <w:t>Outline for a potential ame</w:t>
      </w:r>
      <w:r w:rsidR="00D107C8">
        <w:t>nded classification system for e</w:t>
      </w:r>
      <w:r w:rsidR="006564B0" w:rsidRPr="006564B0">
        <w:t>xplosives in the GHS</w:t>
      </w:r>
    </w:p>
    <w:p w14:paraId="3A12A21A" w14:textId="56EA8E75" w:rsidR="0095385C" w:rsidRDefault="006A7B01" w:rsidP="00FF62DA">
      <w:pPr>
        <w:pStyle w:val="H1G"/>
        <w:keepNext w:val="0"/>
        <w:keepLines w:val="0"/>
      </w:pPr>
      <w:r w:rsidRPr="00D24888">
        <w:tab/>
      </w:r>
      <w:r w:rsidRPr="00D24888">
        <w:tab/>
        <w:t>Transmitted by</w:t>
      </w:r>
      <w:r w:rsidR="009D1290">
        <w:t xml:space="preserve"> the </w:t>
      </w:r>
      <w:r w:rsidR="006564B0">
        <w:t>expert from Sweden</w:t>
      </w:r>
      <w:r w:rsidR="00FF62DA">
        <w:rPr>
          <w:rStyle w:val="FootnoteReference"/>
        </w:rPr>
        <w:footnoteReference w:customMarkFollows="1" w:id="2"/>
        <w:t>*</w:t>
      </w:r>
    </w:p>
    <w:p w14:paraId="4226AB6C" w14:textId="4D632241" w:rsidR="00A931E6" w:rsidRPr="00A931E6" w:rsidRDefault="00FF62DA" w:rsidP="00FF62DA">
      <w:pPr>
        <w:pStyle w:val="HChG"/>
        <w:keepNext w:val="0"/>
        <w:keepLines w:val="0"/>
      </w:pPr>
      <w:r>
        <w:tab/>
      </w:r>
      <w:r>
        <w:tab/>
      </w:r>
      <w:r w:rsidR="00A931E6" w:rsidRPr="00A931E6">
        <w:t>Background</w:t>
      </w:r>
    </w:p>
    <w:p w14:paraId="75FED93E" w14:textId="616FEACF" w:rsidR="006564B0" w:rsidRPr="00A931E6" w:rsidRDefault="006564B0" w:rsidP="00FF62DA">
      <w:pPr>
        <w:pStyle w:val="SingleTxtG"/>
      </w:pPr>
      <w:r w:rsidRPr="00A931E6">
        <w:t>1.</w:t>
      </w:r>
      <w:r w:rsidRPr="00A931E6">
        <w:tab/>
        <w:t>Since 2015 work has been on-going to revise Chapter 2.1 of the GHS, which is the chapter containing the classification and labelling provision for explosive substances, mi</w:t>
      </w:r>
      <w:r w:rsidR="00DB3594">
        <w:t>xtures and articles (</w:t>
      </w:r>
      <w:r w:rsidRPr="00A931E6">
        <w:t>Explosives). The work is done within an Informal Correspondence Group (ICG) which currently consists of almo</w:t>
      </w:r>
      <w:r w:rsidR="00FE7827">
        <w:t>st fifty experts, and is</w:t>
      </w:r>
      <w:r w:rsidRPr="00A931E6">
        <w:t xml:space="preserve"> led by the expert from Sweden</w:t>
      </w:r>
      <w:r w:rsidR="00FF62DA">
        <w:rPr>
          <w:rStyle w:val="FootnoteReference"/>
        </w:rPr>
        <w:footnoteReference w:customMarkFollows="1" w:id="3"/>
        <w:t>1</w:t>
      </w:r>
      <w:r w:rsidRPr="00A931E6">
        <w:t xml:space="preserve">. The progress of the work has continuously been reported to the Sub-Committee of Experts on the GHS (SCEGHS) and the Sub-Committee of Experts on the Transport of </w:t>
      </w:r>
      <w:r w:rsidR="00FF62DA">
        <w:lastRenderedPageBreak/>
        <w:t>Dangerous Goods (SCETDG)</w:t>
      </w:r>
      <w:r w:rsidR="00FF62DA">
        <w:rPr>
          <w:rStyle w:val="FootnoteReference"/>
        </w:rPr>
        <w:footnoteReference w:customMarkFollows="1" w:id="4"/>
        <w:t>2</w:t>
      </w:r>
      <w:r w:rsidRPr="00A931E6">
        <w:t>. According to the Programme of Work for the group</w:t>
      </w:r>
      <w:r w:rsidR="00FF62DA">
        <w:rPr>
          <w:rStyle w:val="FootnoteReference"/>
        </w:rPr>
        <w:footnoteReference w:customMarkFollows="1" w:id="5"/>
        <w:t>3</w:t>
      </w:r>
      <w:r w:rsidRPr="00A931E6">
        <w:t>, the work is set to be completed during the current biennium.</w:t>
      </w:r>
    </w:p>
    <w:p w14:paraId="30502889" w14:textId="61F2907B" w:rsidR="006564B0" w:rsidRPr="00A931E6" w:rsidRDefault="006564B0" w:rsidP="00FF62DA">
      <w:pPr>
        <w:pStyle w:val="SingleTxtG"/>
      </w:pPr>
      <w:r w:rsidRPr="00A931E6">
        <w:t>2.</w:t>
      </w:r>
      <w:r w:rsidRPr="00A931E6">
        <w:tab/>
        <w:t>In the latest status report on the work</w:t>
      </w:r>
      <w:r w:rsidR="00FF62DA">
        <w:rPr>
          <w:rStyle w:val="FootnoteReference"/>
        </w:rPr>
        <w:footnoteReference w:customMarkFollows="1" w:id="6"/>
        <w:t>4</w:t>
      </w:r>
      <w:r w:rsidRPr="00A931E6">
        <w:t xml:space="preserve"> an amended classification system for Explosives in the GHS was described, which was also presented at the (</w:t>
      </w:r>
      <w:r w:rsidR="00D107C8">
        <w:t xml:space="preserve">thirty-fourth </w:t>
      </w:r>
      <w:proofErr w:type="spellStart"/>
      <w:r w:rsidR="00D107C8">
        <w:t>sessioin</w:t>
      </w:r>
      <w:proofErr w:type="spellEnd"/>
      <w:r w:rsidRPr="00A931E6">
        <w:t xml:space="preserve">) meeting of SCEGHS. Discussions within the ICG have circulated around a modified classification system for some time now, although there is hesitation from some ICG-members on the need for such a radical change and concerns </w:t>
      </w:r>
      <w:proofErr w:type="gramStart"/>
      <w:r w:rsidRPr="00A931E6">
        <w:t>as regards</w:t>
      </w:r>
      <w:proofErr w:type="gramEnd"/>
      <w:r w:rsidRPr="00A931E6">
        <w:t xml:space="preserve"> potential downstream consequences. While it is recognised that opinions are still divided within the ICG – on the idea as such as well as on many details – this paper presents the outline of the amended system to the Sub-committees. This paper is presented by the expert from Sweden in his capacity as leader of the ICG. He has however</w:t>
      </w:r>
      <w:r w:rsidR="00EC40DB">
        <w:t xml:space="preserve"> tried to</w:t>
      </w:r>
      <w:r w:rsidRPr="00A931E6">
        <w:t xml:space="preserve"> take account of most comments from the ICG when a draft</w:t>
      </w:r>
      <w:r w:rsidR="00E53EC7">
        <w:t xml:space="preserve"> of this</w:t>
      </w:r>
      <w:r w:rsidRPr="00A931E6">
        <w:t xml:space="preserve"> paper was circulated.</w:t>
      </w:r>
    </w:p>
    <w:p w14:paraId="1E873C47" w14:textId="3B50A0A5" w:rsidR="00A931E6" w:rsidRPr="00A931E6" w:rsidRDefault="00FF62DA" w:rsidP="00D107C8">
      <w:pPr>
        <w:pStyle w:val="HChG"/>
      </w:pPr>
      <w:r>
        <w:tab/>
      </w:r>
      <w:r>
        <w:tab/>
      </w:r>
      <w:r w:rsidR="00A931E6" w:rsidRPr="00A931E6">
        <w:t>Description of the problem</w:t>
      </w:r>
    </w:p>
    <w:p w14:paraId="5F3785AD" w14:textId="6091E161" w:rsidR="006564B0" w:rsidRPr="00A931E6" w:rsidRDefault="006564B0" w:rsidP="00FF62DA">
      <w:pPr>
        <w:pStyle w:val="SingleTxtG"/>
      </w:pPr>
      <w:r w:rsidRPr="00A931E6">
        <w:t>3.</w:t>
      </w:r>
      <w:r w:rsidRPr="00A931E6">
        <w:tab/>
        <w:t>The main reason for the review of Chapter 2.1 is that the current classification and labelling system poses difficulties when it comes to Explosives that are not packaged or configured for transport</w:t>
      </w:r>
      <w:r w:rsidR="004974AF">
        <w:t>.</w:t>
      </w:r>
      <w:r w:rsidR="00FF62DA">
        <w:rPr>
          <w:rStyle w:val="FootnoteReference"/>
        </w:rPr>
        <w:footnoteReference w:customMarkFollows="1" w:id="7"/>
        <w:t>5</w:t>
      </w:r>
      <w:r w:rsidRPr="00A931E6">
        <w:t xml:space="preserve"> The background to this is that the GHS adopted the classification system used in the Model Regulations on the Transport of Dangerous Goods (Model Regulations) to classify Explosives, which relies on them being packaged or configured </w:t>
      </w:r>
      <w:proofErr w:type="gramStart"/>
      <w:r w:rsidRPr="00A931E6">
        <w:t>for the purpose of</w:t>
      </w:r>
      <w:proofErr w:type="gramEnd"/>
      <w:r w:rsidRPr="00A931E6">
        <w:t xml:space="preserve"> transportation. The </w:t>
      </w:r>
      <w:proofErr w:type="gramStart"/>
      <w:r w:rsidRPr="00A931E6">
        <w:t>particular packaging</w:t>
      </w:r>
      <w:proofErr w:type="gramEnd"/>
      <w:r w:rsidRPr="00A931E6">
        <w:t xml:space="preserve"> or configuration can be decisive for the classification as it may be designed to mitigate the explosive effects of the substance, mixture or article, for safe transportation. The explosive behaviour of the substance, mixture or article may thus be different (more severe) outside of this packaging/configuration, but the current GHS system is not capable of reflecting this.</w:t>
      </w:r>
    </w:p>
    <w:p w14:paraId="368F4BA8" w14:textId="77777777" w:rsidR="00FF62DA" w:rsidRDefault="006564B0" w:rsidP="00FF62DA">
      <w:pPr>
        <w:pStyle w:val="SingleTxtG"/>
      </w:pPr>
      <w:r w:rsidRPr="00A931E6">
        <w:t>4.</w:t>
      </w:r>
      <w:r w:rsidRPr="00A931E6">
        <w:tab/>
        <w:t xml:space="preserve">The GHS is a system for classification and labelling of chemicals which could be applied to a variety of situations, such as supply, use, manufacturing, processing, storage, and transport. A classification that depends on a </w:t>
      </w:r>
      <w:r w:rsidR="0015128C">
        <w:t>certain</w:t>
      </w:r>
      <w:r w:rsidRPr="00A931E6">
        <w:t xml:space="preserve"> packaging or configuration, e.g. that for transport, cannot comfortably be used for situations where that packaging or configuration doesn’t </w:t>
      </w:r>
      <w:proofErr w:type="gramStart"/>
      <w:r w:rsidRPr="00A931E6">
        <w:t>exists</w:t>
      </w:r>
      <w:proofErr w:type="gramEnd"/>
      <w:r w:rsidRPr="00A931E6">
        <w:t xml:space="preserve">. </w:t>
      </w:r>
      <w:proofErr w:type="gramStart"/>
      <w:r w:rsidRPr="00A931E6">
        <w:t>So</w:t>
      </w:r>
      <w:proofErr w:type="gramEnd"/>
      <w:r w:rsidRPr="00A931E6">
        <w:t xml:space="preserve"> while the current classification system for Explosives can appropriately classify explosive substances, mixtures and articles as packaged or configured for transport, it is often difficult to apply whenever they are not in this packaging or configuration.</w:t>
      </w:r>
    </w:p>
    <w:p w14:paraId="046E993C" w14:textId="6907A7AB" w:rsidR="006564B0" w:rsidRPr="00A931E6" w:rsidRDefault="006564B0" w:rsidP="00FF62DA">
      <w:pPr>
        <w:pStyle w:val="SingleTxtG"/>
      </w:pPr>
      <w:r w:rsidRPr="00A931E6">
        <w:t>5.</w:t>
      </w:r>
      <w:r w:rsidRPr="00A931E6">
        <w:tab/>
        <w:t>A dubious GHS classification may, in turn, lead to inaccurate hazard communication, as e.g. reflected on the GHS</w:t>
      </w:r>
      <w:r w:rsidR="00D107C8">
        <w:t xml:space="preserve"> </w:t>
      </w:r>
      <w:r w:rsidRPr="00A931E6">
        <w:t xml:space="preserve">label or in GHS safety data sheets. (This may for instance lead to detonating articles such as blasting caps being labelled in the same way as very minor consumer fireworks such as sparkles.) Misleading hazard communication may obviously constitute a safety concern through insufficient safety measures being taken upon handling the Explosive in question. The difficulties of the current GHS system to classify and appropriately communicate the hazard of explosives that are not packaged/configured for transport constitutes the core of the problem that the ICG has been trying to </w:t>
      </w:r>
      <w:r w:rsidR="00997B22">
        <w:t>tackle</w:t>
      </w:r>
      <w:r w:rsidRPr="00A931E6">
        <w:t>.</w:t>
      </w:r>
    </w:p>
    <w:p w14:paraId="5769013D" w14:textId="44F190F0" w:rsidR="006564B0" w:rsidRPr="00A931E6" w:rsidRDefault="00FF62DA" w:rsidP="00261F53">
      <w:pPr>
        <w:pStyle w:val="HChG"/>
      </w:pPr>
      <w:r>
        <w:lastRenderedPageBreak/>
        <w:tab/>
      </w:r>
      <w:r>
        <w:tab/>
      </w:r>
      <w:r w:rsidR="00A931E6" w:rsidRPr="00A931E6">
        <w:t>Potential solution - a</w:t>
      </w:r>
      <w:r w:rsidR="006564B0" w:rsidRPr="00A931E6">
        <w:t xml:space="preserve"> new layer of classification</w:t>
      </w:r>
    </w:p>
    <w:p w14:paraId="51737503" w14:textId="35ADE231" w:rsidR="006564B0" w:rsidRPr="00A931E6" w:rsidRDefault="006564B0" w:rsidP="00FF62DA">
      <w:pPr>
        <w:pStyle w:val="SingleTxtG"/>
      </w:pPr>
      <w:r w:rsidRPr="00A931E6">
        <w:t>6.</w:t>
      </w:r>
      <w:r w:rsidR="00766AD2">
        <w:tab/>
        <w:t>The ICG has discussed how to re</w:t>
      </w:r>
      <w:r w:rsidRPr="00A931E6">
        <w:t>solve the problem</w:t>
      </w:r>
      <w:r w:rsidR="00766AD2">
        <w:t>s</w:t>
      </w:r>
      <w:r w:rsidRPr="00A931E6">
        <w:t xml:space="preserve"> described above. Since the autumn of 2016, these discussions have revolved around a possible amended classification system for Explosives in the GHS. However, as the current Division-based system performs well for Explosives in a transport packaging or configuration, and is widely used in regulations also beyond transportation (such as storage), the ICG acknowledges the need for the (transport) Divisions, to be retained in the classification system. Another agreed prerequisite for any amended classification system is that it doesn’t extend the scope of the current hazard class of Explosives, and that no new mandatory testing is introduced.</w:t>
      </w:r>
    </w:p>
    <w:p w14:paraId="55D39501" w14:textId="76F7399D" w:rsidR="006564B0" w:rsidRPr="00A931E6" w:rsidRDefault="006564B0" w:rsidP="00FF62DA">
      <w:pPr>
        <w:pStyle w:val="SingleTxtG"/>
        <w:spacing w:before="120" w:after="240"/>
      </w:pPr>
      <w:r w:rsidRPr="00A931E6">
        <w:t>7.</w:t>
      </w:r>
      <w:r w:rsidRPr="00A931E6">
        <w:tab/>
        <w:t>To provide a solution that can fit the needs described within the boundaries stated, the ICG has lately considered a classification system that amends the existing one by adding a layer of differentiation that is independent of the (transport) packaging or configuration. This gives a new dimension of flexibility in that a choice can be made of whether to refer to the Divisions used to classify Explosives in their (transport) packaging/configuration or whether to refer to a classification that is independent of that parameter, e.g. for some regulatory purposes. The system that the ICG is currently refining has this characteristic:</w:t>
      </w:r>
    </w:p>
    <w:tbl>
      <w:tblPr>
        <w:tblStyle w:val="TableGrid"/>
        <w:tblW w:w="0" w:type="auto"/>
        <w:tblInd w:w="1129" w:type="dxa"/>
        <w:tblLook w:val="04A0" w:firstRow="1" w:lastRow="0" w:firstColumn="1" w:lastColumn="0" w:noHBand="0" w:noVBand="1"/>
      </w:tblPr>
      <w:tblGrid>
        <w:gridCol w:w="2410"/>
        <w:gridCol w:w="1559"/>
        <w:gridCol w:w="1560"/>
        <w:gridCol w:w="1275"/>
        <w:gridCol w:w="709"/>
      </w:tblGrid>
      <w:tr w:rsidR="00A931E6" w:rsidRPr="00A931E6" w14:paraId="547B796F" w14:textId="77777777" w:rsidTr="00FF62DA">
        <w:tc>
          <w:tcPr>
            <w:tcW w:w="2410" w:type="dxa"/>
            <w:tcBorders>
              <w:right w:val="single" w:sz="12" w:space="0" w:color="auto"/>
            </w:tcBorders>
          </w:tcPr>
          <w:p w14:paraId="79CC2FD2" w14:textId="6BF7DAEE" w:rsidR="006564B0" w:rsidRPr="00A931E6" w:rsidRDefault="000E64F9" w:rsidP="000E64F9">
            <w:pPr>
              <w:pStyle w:val="Body"/>
              <w:pBdr>
                <w:top w:val="none" w:sz="0" w:space="0" w:color="auto"/>
                <w:left w:val="none" w:sz="0" w:space="0" w:color="auto"/>
                <w:bottom w:val="none" w:sz="0" w:space="0" w:color="auto"/>
                <w:right w:val="none" w:sz="0" w:space="0" w:color="auto"/>
                <w:between w:val="none" w:sz="0" w:space="0" w:color="auto"/>
                <w:bar w:val="none" w:sz="0" w:color="auto"/>
              </w:pBdr>
              <w:ind w:left="4" w:right="283"/>
              <w:rPr>
                <w:rFonts w:ascii="Times New Roman" w:hAnsi="Times New Roman" w:cs="Times New Roman"/>
                <w:b/>
                <w:color w:val="auto"/>
                <w:sz w:val="20"/>
                <w:szCs w:val="20"/>
                <w:lang w:val="en-GB"/>
              </w:rPr>
            </w:pPr>
            <w:r>
              <w:rPr>
                <w:rFonts w:ascii="Times New Roman" w:hAnsi="Times New Roman" w:cs="Times New Roman"/>
                <w:b/>
                <w:color w:val="auto"/>
                <w:sz w:val="20"/>
                <w:szCs w:val="20"/>
                <w:lang w:val="en-GB"/>
              </w:rPr>
              <w:t>GHS C</w:t>
            </w:r>
            <w:r w:rsidR="006564B0" w:rsidRPr="00A931E6">
              <w:rPr>
                <w:rFonts w:ascii="Times New Roman" w:hAnsi="Times New Roman" w:cs="Times New Roman"/>
                <w:b/>
                <w:color w:val="auto"/>
                <w:sz w:val="20"/>
                <w:szCs w:val="20"/>
                <w:lang w:val="en-GB"/>
              </w:rPr>
              <w:t>ategory</w:t>
            </w:r>
          </w:p>
        </w:tc>
        <w:tc>
          <w:tcPr>
            <w:tcW w:w="1559" w:type="dxa"/>
            <w:tcBorders>
              <w:left w:val="single" w:sz="12" w:space="0" w:color="auto"/>
              <w:right w:val="single" w:sz="12" w:space="0" w:color="auto"/>
            </w:tcBorders>
          </w:tcPr>
          <w:p w14:paraId="29537BFC" w14:textId="77777777" w:rsidR="006564B0" w:rsidRPr="00A931E6" w:rsidRDefault="006564B0" w:rsidP="000E64F9">
            <w:pPr>
              <w:pStyle w:val="Body"/>
              <w:pBdr>
                <w:top w:val="none" w:sz="0" w:space="0" w:color="auto"/>
                <w:left w:val="none" w:sz="0" w:space="0" w:color="auto"/>
                <w:bottom w:val="none" w:sz="0" w:space="0" w:color="auto"/>
                <w:right w:val="none" w:sz="0" w:space="0" w:color="auto"/>
                <w:between w:val="none" w:sz="0" w:space="0" w:color="auto"/>
                <w:bar w:val="none" w:sz="0" w:color="auto"/>
              </w:pBdr>
              <w:ind w:left="137" w:right="283"/>
              <w:jc w:val="center"/>
              <w:rPr>
                <w:rFonts w:ascii="Times New Roman" w:hAnsi="Times New Roman" w:cs="Times New Roman"/>
                <w:b/>
                <w:color w:val="auto"/>
                <w:sz w:val="20"/>
                <w:szCs w:val="20"/>
                <w:lang w:val="en-GB"/>
              </w:rPr>
            </w:pPr>
            <w:r w:rsidRPr="00A931E6">
              <w:rPr>
                <w:rFonts w:ascii="Times New Roman" w:hAnsi="Times New Roman" w:cs="Times New Roman"/>
                <w:b/>
                <w:color w:val="auto"/>
                <w:sz w:val="20"/>
                <w:szCs w:val="20"/>
                <w:lang w:val="en-GB"/>
              </w:rPr>
              <w:t>1</w:t>
            </w:r>
          </w:p>
        </w:tc>
        <w:tc>
          <w:tcPr>
            <w:tcW w:w="3544" w:type="dxa"/>
            <w:gridSpan w:val="3"/>
            <w:tcBorders>
              <w:left w:val="single" w:sz="12" w:space="0" w:color="auto"/>
            </w:tcBorders>
          </w:tcPr>
          <w:p w14:paraId="02C82D38" w14:textId="77777777" w:rsidR="006564B0" w:rsidRPr="00A931E6" w:rsidRDefault="006564B0" w:rsidP="000E64F9">
            <w:pPr>
              <w:pStyle w:val="Body"/>
              <w:pBdr>
                <w:top w:val="none" w:sz="0" w:space="0" w:color="auto"/>
                <w:left w:val="none" w:sz="0" w:space="0" w:color="auto"/>
                <w:bottom w:val="none" w:sz="0" w:space="0" w:color="auto"/>
                <w:right w:val="none" w:sz="0" w:space="0" w:color="auto"/>
                <w:between w:val="none" w:sz="0" w:space="0" w:color="auto"/>
                <w:bar w:val="none" w:sz="0" w:color="auto"/>
              </w:pBdr>
              <w:ind w:left="137" w:right="283"/>
              <w:jc w:val="center"/>
              <w:rPr>
                <w:rFonts w:ascii="Times New Roman" w:hAnsi="Times New Roman" w:cs="Times New Roman"/>
                <w:b/>
                <w:color w:val="auto"/>
                <w:sz w:val="20"/>
                <w:szCs w:val="20"/>
                <w:lang w:val="en-GB"/>
              </w:rPr>
            </w:pPr>
            <w:r w:rsidRPr="00A931E6">
              <w:rPr>
                <w:rFonts w:ascii="Times New Roman" w:hAnsi="Times New Roman" w:cs="Times New Roman"/>
                <w:b/>
                <w:color w:val="auto"/>
                <w:sz w:val="20"/>
                <w:szCs w:val="20"/>
                <w:lang w:val="en-GB"/>
              </w:rPr>
              <w:t>2</w:t>
            </w:r>
          </w:p>
        </w:tc>
      </w:tr>
      <w:tr w:rsidR="00A931E6" w:rsidRPr="00A931E6" w14:paraId="69DA44CC" w14:textId="77777777" w:rsidTr="00FF62DA">
        <w:tc>
          <w:tcPr>
            <w:tcW w:w="2410" w:type="dxa"/>
            <w:tcBorders>
              <w:right w:val="single" w:sz="12" w:space="0" w:color="auto"/>
            </w:tcBorders>
          </w:tcPr>
          <w:p w14:paraId="1FEE8B18" w14:textId="7D940DA8" w:rsidR="006564B0" w:rsidRPr="00A931E6" w:rsidRDefault="000E64F9" w:rsidP="000E64F9">
            <w:pPr>
              <w:pStyle w:val="Body"/>
              <w:pBdr>
                <w:top w:val="none" w:sz="0" w:space="0" w:color="auto"/>
                <w:left w:val="none" w:sz="0" w:space="0" w:color="auto"/>
                <w:bottom w:val="none" w:sz="0" w:space="0" w:color="auto"/>
                <w:right w:val="none" w:sz="0" w:space="0" w:color="auto"/>
                <w:between w:val="none" w:sz="0" w:space="0" w:color="auto"/>
                <w:bar w:val="none" w:sz="0" w:color="auto"/>
              </w:pBdr>
              <w:ind w:left="4" w:right="283"/>
              <w:rPr>
                <w:rFonts w:ascii="Times New Roman" w:hAnsi="Times New Roman" w:cs="Times New Roman"/>
                <w:b/>
                <w:color w:val="auto"/>
                <w:sz w:val="20"/>
                <w:szCs w:val="20"/>
                <w:lang w:val="en-GB"/>
              </w:rPr>
            </w:pPr>
            <w:r>
              <w:rPr>
                <w:rFonts w:ascii="Times New Roman" w:hAnsi="Times New Roman" w:cs="Times New Roman"/>
                <w:b/>
                <w:color w:val="auto"/>
                <w:sz w:val="20"/>
                <w:szCs w:val="20"/>
                <w:lang w:val="en-GB"/>
              </w:rPr>
              <w:t>GHS S</w:t>
            </w:r>
            <w:r w:rsidR="006564B0" w:rsidRPr="00A931E6">
              <w:rPr>
                <w:rFonts w:ascii="Times New Roman" w:hAnsi="Times New Roman" w:cs="Times New Roman"/>
                <w:b/>
                <w:color w:val="auto"/>
                <w:sz w:val="20"/>
                <w:szCs w:val="20"/>
                <w:lang w:val="en-GB"/>
              </w:rPr>
              <w:t>ub-category</w:t>
            </w:r>
          </w:p>
        </w:tc>
        <w:tc>
          <w:tcPr>
            <w:tcW w:w="1559" w:type="dxa"/>
            <w:tcBorders>
              <w:left w:val="single" w:sz="12" w:space="0" w:color="auto"/>
              <w:right w:val="single" w:sz="12" w:space="0" w:color="auto"/>
            </w:tcBorders>
          </w:tcPr>
          <w:p w14:paraId="1D5AD430" w14:textId="1A133F4A" w:rsidR="006564B0" w:rsidRPr="00A931E6" w:rsidRDefault="00F05798" w:rsidP="000E64F9">
            <w:pPr>
              <w:pStyle w:val="Body"/>
              <w:pBdr>
                <w:top w:val="none" w:sz="0" w:space="0" w:color="auto"/>
                <w:left w:val="none" w:sz="0" w:space="0" w:color="auto"/>
                <w:bottom w:val="none" w:sz="0" w:space="0" w:color="auto"/>
                <w:right w:val="none" w:sz="0" w:space="0" w:color="auto"/>
                <w:between w:val="none" w:sz="0" w:space="0" w:color="auto"/>
                <w:bar w:val="none" w:sz="0" w:color="auto"/>
              </w:pBdr>
              <w:ind w:left="137" w:right="283"/>
              <w:jc w:val="center"/>
              <w:rPr>
                <w:rFonts w:ascii="Times New Roman" w:hAnsi="Times New Roman" w:cs="Times New Roman"/>
                <w:i/>
                <w:color w:val="auto"/>
                <w:sz w:val="20"/>
                <w:szCs w:val="20"/>
                <w:lang w:val="en-GB"/>
              </w:rPr>
            </w:pPr>
            <w:r>
              <w:rPr>
                <w:rFonts w:ascii="Times New Roman" w:hAnsi="Times New Roman" w:cs="Times New Roman"/>
                <w:i/>
                <w:color w:val="auto"/>
                <w:sz w:val="20"/>
                <w:szCs w:val="20"/>
                <w:lang w:val="en-GB"/>
              </w:rPr>
              <w:t>Not applicable</w:t>
            </w:r>
          </w:p>
        </w:tc>
        <w:tc>
          <w:tcPr>
            <w:tcW w:w="1560" w:type="dxa"/>
            <w:tcBorders>
              <w:left w:val="single" w:sz="12" w:space="0" w:color="auto"/>
            </w:tcBorders>
          </w:tcPr>
          <w:p w14:paraId="408AFF51" w14:textId="77777777" w:rsidR="006564B0" w:rsidRPr="00A931E6" w:rsidRDefault="006564B0" w:rsidP="000E64F9">
            <w:pPr>
              <w:pStyle w:val="Body"/>
              <w:pBdr>
                <w:top w:val="none" w:sz="0" w:space="0" w:color="auto"/>
                <w:left w:val="none" w:sz="0" w:space="0" w:color="auto"/>
                <w:bottom w:val="none" w:sz="0" w:space="0" w:color="auto"/>
                <w:right w:val="none" w:sz="0" w:space="0" w:color="auto"/>
                <w:between w:val="none" w:sz="0" w:space="0" w:color="auto"/>
                <w:bar w:val="none" w:sz="0" w:color="auto"/>
              </w:pBdr>
              <w:ind w:left="137" w:right="283"/>
              <w:jc w:val="center"/>
              <w:rPr>
                <w:rFonts w:ascii="Times New Roman" w:hAnsi="Times New Roman" w:cs="Times New Roman"/>
                <w:b/>
                <w:color w:val="auto"/>
                <w:sz w:val="20"/>
                <w:szCs w:val="20"/>
                <w:lang w:val="en-GB"/>
              </w:rPr>
            </w:pPr>
            <w:r w:rsidRPr="00A931E6">
              <w:rPr>
                <w:rFonts w:ascii="Times New Roman" w:hAnsi="Times New Roman" w:cs="Times New Roman"/>
                <w:b/>
                <w:color w:val="auto"/>
                <w:sz w:val="20"/>
                <w:szCs w:val="20"/>
                <w:lang w:val="en-GB"/>
              </w:rPr>
              <w:t>2A</w:t>
            </w:r>
          </w:p>
        </w:tc>
        <w:tc>
          <w:tcPr>
            <w:tcW w:w="1275" w:type="dxa"/>
          </w:tcPr>
          <w:p w14:paraId="2F71A403" w14:textId="77777777" w:rsidR="006564B0" w:rsidRPr="00A931E6" w:rsidRDefault="006564B0" w:rsidP="000E64F9">
            <w:pPr>
              <w:pStyle w:val="Body"/>
              <w:pBdr>
                <w:top w:val="none" w:sz="0" w:space="0" w:color="auto"/>
                <w:left w:val="none" w:sz="0" w:space="0" w:color="auto"/>
                <w:bottom w:val="none" w:sz="0" w:space="0" w:color="auto"/>
                <w:right w:val="none" w:sz="0" w:space="0" w:color="auto"/>
                <w:between w:val="none" w:sz="0" w:space="0" w:color="auto"/>
                <w:bar w:val="none" w:sz="0" w:color="auto"/>
              </w:pBdr>
              <w:ind w:left="137" w:right="283"/>
              <w:jc w:val="center"/>
              <w:rPr>
                <w:rFonts w:ascii="Times New Roman" w:hAnsi="Times New Roman" w:cs="Times New Roman"/>
                <w:b/>
                <w:color w:val="auto"/>
                <w:sz w:val="20"/>
                <w:szCs w:val="20"/>
                <w:lang w:val="en-GB"/>
              </w:rPr>
            </w:pPr>
            <w:r w:rsidRPr="00A931E6">
              <w:rPr>
                <w:rFonts w:ascii="Times New Roman" w:hAnsi="Times New Roman" w:cs="Times New Roman"/>
                <w:b/>
                <w:color w:val="auto"/>
                <w:sz w:val="20"/>
                <w:szCs w:val="20"/>
                <w:lang w:val="en-GB"/>
              </w:rPr>
              <w:t>2B</w:t>
            </w:r>
          </w:p>
        </w:tc>
        <w:tc>
          <w:tcPr>
            <w:tcW w:w="709" w:type="dxa"/>
          </w:tcPr>
          <w:p w14:paraId="35ADDBE9" w14:textId="77777777" w:rsidR="006564B0" w:rsidRPr="00A931E6" w:rsidRDefault="006564B0" w:rsidP="000E64F9">
            <w:pPr>
              <w:pStyle w:val="Body"/>
              <w:pBdr>
                <w:top w:val="none" w:sz="0" w:space="0" w:color="auto"/>
                <w:left w:val="none" w:sz="0" w:space="0" w:color="auto"/>
                <w:bottom w:val="none" w:sz="0" w:space="0" w:color="auto"/>
                <w:right w:val="none" w:sz="0" w:space="0" w:color="auto"/>
                <w:between w:val="none" w:sz="0" w:space="0" w:color="auto"/>
                <w:bar w:val="none" w:sz="0" w:color="auto"/>
              </w:pBdr>
              <w:ind w:left="137" w:right="283"/>
              <w:jc w:val="center"/>
              <w:rPr>
                <w:rFonts w:ascii="Times New Roman" w:hAnsi="Times New Roman" w:cs="Times New Roman"/>
                <w:b/>
                <w:color w:val="auto"/>
                <w:sz w:val="20"/>
                <w:szCs w:val="20"/>
                <w:lang w:val="en-GB"/>
              </w:rPr>
            </w:pPr>
            <w:r w:rsidRPr="00A931E6">
              <w:rPr>
                <w:rFonts w:ascii="Times New Roman" w:hAnsi="Times New Roman" w:cs="Times New Roman"/>
                <w:b/>
                <w:color w:val="auto"/>
                <w:sz w:val="20"/>
                <w:szCs w:val="20"/>
                <w:lang w:val="en-GB"/>
              </w:rPr>
              <w:t>2C</w:t>
            </w:r>
          </w:p>
        </w:tc>
      </w:tr>
      <w:tr w:rsidR="00A931E6" w:rsidRPr="00A931E6" w14:paraId="1D87567B" w14:textId="77777777" w:rsidTr="00FF62DA">
        <w:tc>
          <w:tcPr>
            <w:tcW w:w="2410" w:type="dxa"/>
            <w:tcBorders>
              <w:right w:val="single" w:sz="12" w:space="0" w:color="auto"/>
            </w:tcBorders>
          </w:tcPr>
          <w:p w14:paraId="758E2710" w14:textId="77777777" w:rsidR="006564B0" w:rsidRPr="00A931E6" w:rsidRDefault="006564B0" w:rsidP="000E64F9">
            <w:pPr>
              <w:pStyle w:val="Body"/>
              <w:pBdr>
                <w:top w:val="none" w:sz="0" w:space="0" w:color="auto"/>
                <w:left w:val="none" w:sz="0" w:space="0" w:color="auto"/>
                <w:bottom w:val="none" w:sz="0" w:space="0" w:color="auto"/>
                <w:right w:val="none" w:sz="0" w:space="0" w:color="auto"/>
                <w:between w:val="none" w:sz="0" w:space="0" w:color="auto"/>
                <w:bar w:val="none" w:sz="0" w:color="auto"/>
              </w:pBdr>
              <w:ind w:left="4" w:right="283"/>
              <w:rPr>
                <w:rFonts w:ascii="Times New Roman" w:hAnsi="Times New Roman" w:cs="Times New Roman"/>
                <w:b/>
                <w:color w:val="auto"/>
                <w:sz w:val="20"/>
                <w:szCs w:val="20"/>
                <w:lang w:val="en-GB"/>
              </w:rPr>
            </w:pPr>
            <w:r w:rsidRPr="00A931E6">
              <w:rPr>
                <w:rFonts w:ascii="Times New Roman" w:hAnsi="Times New Roman" w:cs="Times New Roman"/>
                <w:b/>
                <w:color w:val="auto"/>
                <w:sz w:val="20"/>
                <w:szCs w:val="20"/>
                <w:lang w:val="en-GB"/>
              </w:rPr>
              <w:t>Transport classification</w:t>
            </w:r>
          </w:p>
        </w:tc>
        <w:tc>
          <w:tcPr>
            <w:tcW w:w="1559" w:type="dxa"/>
            <w:tcBorders>
              <w:left w:val="single" w:sz="12" w:space="0" w:color="auto"/>
              <w:right w:val="single" w:sz="12" w:space="0" w:color="auto"/>
            </w:tcBorders>
          </w:tcPr>
          <w:p w14:paraId="697D92A9" w14:textId="4142C1C0" w:rsidR="006564B0" w:rsidRPr="00A931E6" w:rsidRDefault="00F05798" w:rsidP="000E64F9">
            <w:pPr>
              <w:pStyle w:val="Body"/>
              <w:pBdr>
                <w:top w:val="none" w:sz="0" w:space="0" w:color="auto"/>
                <w:left w:val="none" w:sz="0" w:space="0" w:color="auto"/>
                <w:bottom w:val="none" w:sz="0" w:space="0" w:color="auto"/>
                <w:right w:val="none" w:sz="0" w:space="0" w:color="auto"/>
                <w:between w:val="none" w:sz="0" w:space="0" w:color="auto"/>
                <w:bar w:val="none" w:sz="0" w:color="auto"/>
              </w:pBdr>
              <w:ind w:left="137" w:right="283"/>
              <w:jc w:val="center"/>
              <w:rPr>
                <w:rFonts w:ascii="Times New Roman" w:hAnsi="Times New Roman" w:cs="Times New Roman"/>
                <w:i/>
                <w:color w:val="auto"/>
                <w:sz w:val="20"/>
                <w:szCs w:val="20"/>
                <w:lang w:val="en-GB"/>
              </w:rPr>
            </w:pPr>
            <w:r>
              <w:rPr>
                <w:rFonts w:ascii="Times New Roman" w:hAnsi="Times New Roman" w:cs="Times New Roman"/>
                <w:i/>
                <w:color w:val="auto"/>
                <w:sz w:val="20"/>
                <w:szCs w:val="20"/>
                <w:lang w:val="en-GB"/>
              </w:rPr>
              <w:t>Not applicable</w:t>
            </w:r>
          </w:p>
        </w:tc>
        <w:tc>
          <w:tcPr>
            <w:tcW w:w="3544" w:type="dxa"/>
            <w:gridSpan w:val="3"/>
            <w:tcBorders>
              <w:left w:val="single" w:sz="12" w:space="0" w:color="auto"/>
            </w:tcBorders>
          </w:tcPr>
          <w:p w14:paraId="1170555C" w14:textId="77777777" w:rsidR="006564B0" w:rsidRPr="00A931E6" w:rsidRDefault="006564B0" w:rsidP="000E64F9">
            <w:pPr>
              <w:pStyle w:val="Body"/>
              <w:pBdr>
                <w:top w:val="none" w:sz="0" w:space="0" w:color="auto"/>
                <w:left w:val="none" w:sz="0" w:space="0" w:color="auto"/>
                <w:bottom w:val="none" w:sz="0" w:space="0" w:color="auto"/>
                <w:right w:val="none" w:sz="0" w:space="0" w:color="auto"/>
                <w:between w:val="none" w:sz="0" w:space="0" w:color="auto"/>
                <w:bar w:val="none" w:sz="0" w:color="auto"/>
              </w:pBdr>
              <w:ind w:left="137" w:right="283"/>
              <w:jc w:val="center"/>
              <w:rPr>
                <w:rFonts w:ascii="Times New Roman" w:hAnsi="Times New Roman" w:cs="Times New Roman"/>
                <w:color w:val="auto"/>
                <w:sz w:val="20"/>
                <w:szCs w:val="20"/>
                <w:lang w:val="en-GB"/>
              </w:rPr>
            </w:pPr>
            <w:r w:rsidRPr="00A931E6">
              <w:rPr>
                <w:rFonts w:ascii="Times New Roman" w:hAnsi="Times New Roman" w:cs="Times New Roman"/>
                <w:color w:val="auto"/>
                <w:sz w:val="20"/>
                <w:szCs w:val="20"/>
                <w:lang w:val="en-GB"/>
              </w:rPr>
              <w:t>Class 1 (any Division)</w:t>
            </w:r>
          </w:p>
        </w:tc>
      </w:tr>
    </w:tbl>
    <w:p w14:paraId="1AF5CFAE" w14:textId="4DB58B30" w:rsidR="006564B0" w:rsidRPr="00A931E6" w:rsidRDefault="006564B0" w:rsidP="00571FF4">
      <w:pPr>
        <w:pStyle w:val="SingleTxtG"/>
        <w:spacing w:before="240"/>
      </w:pPr>
      <w:r w:rsidRPr="00A931E6">
        <w:t>8.</w:t>
      </w:r>
      <w:r w:rsidRPr="00A931E6">
        <w:tab/>
        <w:t>In this system, all Explosives that have been assigned a Division in accordance with the classification procedure of the Model Regulations belong to Category 2, which is therefore identical in scope to Class 1 of transport and provides straight-forward consistency between the GHS and the Model Regulations. Within this Category 2, however, Explosives are differentiated according their hazardous behaviour regardless of any particular (transport) packaging or configuration. The Sub-categories 2A, 2B and 2C within Category 2 represents a high hazard, medium hazard and low hazard, respectively, and are thus organised in the normal GHS-fashion (which the Divisions are not). While still subject to discussion, criteria for these Sub-categories were tentatively agreed w</w:t>
      </w:r>
      <w:r w:rsidR="00421173">
        <w:t>hen the ICG met in December 2017</w:t>
      </w:r>
      <w:r w:rsidR="00571FF4">
        <w:rPr>
          <w:rStyle w:val="FootnoteReference"/>
        </w:rPr>
        <w:footnoteReference w:customMarkFollows="1" w:id="8"/>
        <w:t>6</w:t>
      </w:r>
      <w:r w:rsidR="00AC3BB9">
        <w:t>,</w:t>
      </w:r>
      <w:r w:rsidRPr="00A931E6">
        <w:t xml:space="preserve"> </w:t>
      </w:r>
      <w:r w:rsidR="004974AF">
        <w:t>which</w:t>
      </w:r>
      <w:r w:rsidRPr="00A931E6">
        <w:t xml:space="preserve"> are dis</w:t>
      </w:r>
      <w:r w:rsidR="004974AF">
        <w:t>played in Annex 1 to this paper. S</w:t>
      </w:r>
      <w:r w:rsidRPr="00A931E6">
        <w:t xml:space="preserve">ome later amendments suggested in correspondence within the ICG </w:t>
      </w:r>
      <w:r w:rsidR="004974AF">
        <w:t>have</w:t>
      </w:r>
      <w:r w:rsidRPr="00A931E6">
        <w:t xml:space="preserve"> also</w:t>
      </w:r>
      <w:r w:rsidR="004974AF">
        <w:t xml:space="preserve"> been</w:t>
      </w:r>
      <w:r w:rsidRPr="00A931E6">
        <w:t xml:space="preserve"> included.</w:t>
      </w:r>
    </w:p>
    <w:p w14:paraId="662D2AB3" w14:textId="6C1EF3FE" w:rsidR="006564B0" w:rsidRPr="00A931E6" w:rsidRDefault="006564B0" w:rsidP="00FF62DA">
      <w:pPr>
        <w:pStyle w:val="SingleTxtG"/>
      </w:pPr>
      <w:r w:rsidRPr="00A931E6">
        <w:t>9.</w:t>
      </w:r>
      <w:r w:rsidRPr="00A931E6">
        <w:tab/>
        <w:t>Category 1 of the system contains Explosive</w:t>
      </w:r>
      <w:r w:rsidR="00FC1F36">
        <w:t>s that have not been assigned a</w:t>
      </w:r>
      <w:r w:rsidR="00275393">
        <w:t xml:space="preserve"> </w:t>
      </w:r>
      <w:r w:rsidRPr="00A931E6">
        <w:t xml:space="preserve">Division. The reason for this can be that they are not packaged/configured for transport or that they are considered too dangerous to transport and hence are rejected from Class 1 of transport (the latter termed “Unstable explosives” in the current GHS system). It should be emphasised that Category 1 is intended to only comprise substances, mixtures and articles that belong to the current </w:t>
      </w:r>
      <w:r w:rsidR="00882B88">
        <w:t xml:space="preserve">GHS </w:t>
      </w:r>
      <w:r w:rsidRPr="00A931E6">
        <w:t>hazard class of Explosives – no change in scope of the hazard class as such is thus intended. The draft criteria of Category 1, as discussed within the ICG, to accompli</w:t>
      </w:r>
      <w:r w:rsidR="00261F53">
        <w:t>sh this are displayed in Annex</w:t>
      </w:r>
      <w:r w:rsidRPr="00A931E6">
        <w:t xml:space="preserve"> to this paper. With Category 1 a way is thus opened for classification of Explosives not in the (transport) packaging/configuration, which currently doesn’t exist in the GHS.</w:t>
      </w:r>
    </w:p>
    <w:p w14:paraId="19A79A29" w14:textId="228E1D6E" w:rsidR="001B038E" w:rsidRPr="00A931E6" w:rsidRDefault="006564B0" w:rsidP="00571FF4">
      <w:pPr>
        <w:pStyle w:val="SingleTxtG"/>
        <w:spacing w:after="60"/>
      </w:pPr>
      <w:r w:rsidRPr="00A931E6">
        <w:t>10.</w:t>
      </w:r>
      <w:r w:rsidRPr="00A931E6">
        <w:tab/>
        <w:t>By using the (sub-)categories of the classification system as outlined above as the basis for GHS haza</w:t>
      </w:r>
      <w:r w:rsidR="00597297">
        <w:t>rd communication, the dependence</w:t>
      </w:r>
      <w:r w:rsidRPr="00A931E6">
        <w:t xml:space="preserve"> on particular (transport) </w:t>
      </w:r>
      <w:proofErr w:type="spellStart"/>
      <w:r w:rsidRPr="00A931E6">
        <w:t>packagings</w:t>
      </w:r>
      <w:proofErr w:type="spellEnd"/>
      <w:r w:rsidRPr="00A931E6">
        <w:t xml:space="preserve">/configurations can be avoided. This allows the hazard communication to describe </w:t>
      </w:r>
      <w:r w:rsidRPr="00A931E6">
        <w:lastRenderedPageBreak/>
        <w:t xml:space="preserve">the effect of an explosive substance, </w:t>
      </w:r>
      <w:r w:rsidR="000C735D">
        <w:t>mixture or article independent</w:t>
      </w:r>
      <w:r w:rsidRPr="00A931E6">
        <w:t xml:space="preserve"> of that (variable) parameter. While the ICG has not yet come to a consensus on all the hazard communication elements, the following table represents the suggestion around which the discussions have revolved lately:</w:t>
      </w:r>
    </w:p>
    <w:tbl>
      <w:tblPr>
        <w:tblStyle w:val="TableGrid"/>
        <w:tblW w:w="0" w:type="auto"/>
        <w:tblInd w:w="1134" w:type="dxa"/>
        <w:tblLayout w:type="fixed"/>
        <w:tblLook w:val="04A0" w:firstRow="1" w:lastRow="0" w:firstColumn="1" w:lastColumn="0" w:noHBand="0" w:noVBand="1"/>
      </w:tblPr>
      <w:tblGrid>
        <w:gridCol w:w="1555"/>
        <w:gridCol w:w="1559"/>
        <w:gridCol w:w="1417"/>
        <w:gridCol w:w="1701"/>
        <w:gridCol w:w="1560"/>
      </w:tblGrid>
      <w:tr w:rsidR="001B038E" w14:paraId="161F9FF9" w14:textId="77777777" w:rsidTr="00571FF4">
        <w:tc>
          <w:tcPr>
            <w:tcW w:w="1555" w:type="dxa"/>
            <w:tcBorders>
              <w:right w:val="single" w:sz="12" w:space="0" w:color="auto"/>
            </w:tcBorders>
          </w:tcPr>
          <w:p w14:paraId="2F05CC24" w14:textId="0DDA126D" w:rsidR="001B038E" w:rsidRDefault="001B038E" w:rsidP="009445DA">
            <w:pPr>
              <w:pStyle w:val="Body"/>
              <w:pBdr>
                <w:top w:val="none" w:sz="0" w:space="0" w:color="auto"/>
                <w:left w:val="none" w:sz="0" w:space="0" w:color="auto"/>
                <w:bottom w:val="none" w:sz="0" w:space="0" w:color="auto"/>
                <w:right w:val="none" w:sz="0" w:space="0" w:color="auto"/>
                <w:between w:val="none" w:sz="0" w:space="0" w:color="auto"/>
                <w:bar w:val="none" w:sz="0" w:color="auto"/>
              </w:pBdr>
              <w:ind w:right="139"/>
              <w:rPr>
                <w:rFonts w:ascii="Times New Roman" w:hAnsi="Times New Roman" w:cs="Times New Roman"/>
                <w:color w:val="auto"/>
                <w:sz w:val="20"/>
                <w:szCs w:val="20"/>
                <w:lang w:val="en-GB"/>
              </w:rPr>
            </w:pPr>
            <w:r w:rsidRPr="00A931E6">
              <w:rPr>
                <w:rFonts w:ascii="Times New Roman" w:hAnsi="Times New Roman" w:cs="Times New Roman"/>
                <w:b/>
                <w:color w:val="auto"/>
                <w:sz w:val="20"/>
                <w:szCs w:val="20"/>
                <w:lang w:val="en-GB"/>
              </w:rPr>
              <w:t>Category</w:t>
            </w:r>
          </w:p>
        </w:tc>
        <w:tc>
          <w:tcPr>
            <w:tcW w:w="1559" w:type="dxa"/>
            <w:tcBorders>
              <w:left w:val="single" w:sz="12" w:space="0" w:color="auto"/>
              <w:right w:val="single" w:sz="12" w:space="0" w:color="auto"/>
            </w:tcBorders>
          </w:tcPr>
          <w:p w14:paraId="0C755E71" w14:textId="36B0C61A" w:rsid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A931E6">
              <w:rPr>
                <w:rFonts w:ascii="Times New Roman" w:hAnsi="Times New Roman" w:cs="Times New Roman"/>
                <w:b/>
                <w:color w:val="auto"/>
                <w:sz w:val="20"/>
                <w:szCs w:val="20"/>
                <w:lang w:val="en-GB"/>
              </w:rPr>
              <w:t>1</w:t>
            </w:r>
          </w:p>
        </w:tc>
        <w:tc>
          <w:tcPr>
            <w:tcW w:w="4678" w:type="dxa"/>
            <w:gridSpan w:val="3"/>
            <w:tcBorders>
              <w:left w:val="single" w:sz="12" w:space="0" w:color="auto"/>
            </w:tcBorders>
          </w:tcPr>
          <w:p w14:paraId="523353B8" w14:textId="36AC99CE" w:rsid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A931E6">
              <w:rPr>
                <w:rFonts w:ascii="Times New Roman" w:hAnsi="Times New Roman" w:cs="Times New Roman"/>
                <w:b/>
                <w:color w:val="auto"/>
                <w:sz w:val="20"/>
                <w:szCs w:val="20"/>
                <w:lang w:val="en-GB"/>
              </w:rPr>
              <w:t>2</w:t>
            </w:r>
          </w:p>
        </w:tc>
      </w:tr>
      <w:tr w:rsidR="001B038E" w14:paraId="041F9D8B" w14:textId="77777777" w:rsidTr="00571FF4">
        <w:tc>
          <w:tcPr>
            <w:tcW w:w="1555" w:type="dxa"/>
            <w:tcBorders>
              <w:right w:val="single" w:sz="12" w:space="0" w:color="auto"/>
            </w:tcBorders>
          </w:tcPr>
          <w:p w14:paraId="5648DD09" w14:textId="704B2117" w:rsidR="001B038E" w:rsidRDefault="001B038E" w:rsidP="009445DA">
            <w:pPr>
              <w:pStyle w:val="Body"/>
              <w:pBdr>
                <w:top w:val="none" w:sz="0" w:space="0" w:color="auto"/>
                <w:left w:val="none" w:sz="0" w:space="0" w:color="auto"/>
                <w:bottom w:val="none" w:sz="0" w:space="0" w:color="auto"/>
                <w:right w:val="none" w:sz="0" w:space="0" w:color="auto"/>
                <w:between w:val="none" w:sz="0" w:space="0" w:color="auto"/>
                <w:bar w:val="none" w:sz="0" w:color="auto"/>
              </w:pBdr>
              <w:ind w:right="139"/>
              <w:rPr>
                <w:rFonts w:ascii="Times New Roman" w:hAnsi="Times New Roman" w:cs="Times New Roman"/>
                <w:color w:val="auto"/>
                <w:sz w:val="20"/>
                <w:szCs w:val="20"/>
                <w:lang w:val="en-GB"/>
              </w:rPr>
            </w:pPr>
            <w:r w:rsidRPr="00A931E6">
              <w:rPr>
                <w:rFonts w:ascii="Times New Roman" w:hAnsi="Times New Roman" w:cs="Times New Roman"/>
                <w:b/>
                <w:color w:val="auto"/>
                <w:sz w:val="20"/>
                <w:szCs w:val="20"/>
                <w:lang w:val="en-GB"/>
              </w:rPr>
              <w:t>Sub-category</w:t>
            </w:r>
          </w:p>
        </w:tc>
        <w:tc>
          <w:tcPr>
            <w:tcW w:w="1559" w:type="dxa"/>
            <w:tcBorders>
              <w:left w:val="single" w:sz="12" w:space="0" w:color="auto"/>
              <w:right w:val="single" w:sz="12" w:space="0" w:color="auto"/>
            </w:tcBorders>
          </w:tcPr>
          <w:p w14:paraId="44548A58" w14:textId="06E917C7" w:rsidR="001B038E" w:rsidRPr="00131B20" w:rsidRDefault="00131B20"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i/>
                <w:color w:val="auto"/>
                <w:sz w:val="20"/>
                <w:szCs w:val="20"/>
                <w:lang w:val="en-GB"/>
              </w:rPr>
            </w:pPr>
            <w:r w:rsidRPr="00131B20">
              <w:rPr>
                <w:rFonts w:ascii="Times New Roman" w:hAnsi="Times New Roman" w:cs="Times New Roman"/>
                <w:i/>
                <w:color w:val="auto"/>
                <w:sz w:val="20"/>
                <w:szCs w:val="20"/>
                <w:lang w:val="en-GB"/>
              </w:rPr>
              <w:t>Not applicable</w:t>
            </w:r>
          </w:p>
        </w:tc>
        <w:tc>
          <w:tcPr>
            <w:tcW w:w="1417" w:type="dxa"/>
            <w:tcBorders>
              <w:left w:val="single" w:sz="12" w:space="0" w:color="auto"/>
            </w:tcBorders>
          </w:tcPr>
          <w:p w14:paraId="7A4C3745" w14:textId="4E436B81" w:rsidR="001B038E" w:rsidRP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auto"/>
                <w:sz w:val="20"/>
                <w:szCs w:val="20"/>
                <w:lang w:val="en-GB"/>
              </w:rPr>
            </w:pPr>
            <w:r w:rsidRPr="001B038E">
              <w:rPr>
                <w:rFonts w:ascii="Times New Roman" w:hAnsi="Times New Roman" w:cs="Times New Roman"/>
                <w:b/>
                <w:color w:val="auto"/>
                <w:sz w:val="20"/>
                <w:szCs w:val="20"/>
                <w:lang w:val="en-GB"/>
              </w:rPr>
              <w:t>2A</w:t>
            </w:r>
          </w:p>
        </w:tc>
        <w:tc>
          <w:tcPr>
            <w:tcW w:w="1701" w:type="dxa"/>
          </w:tcPr>
          <w:p w14:paraId="58F14215" w14:textId="0B80260F" w:rsidR="001B038E" w:rsidRP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auto"/>
                <w:sz w:val="20"/>
                <w:szCs w:val="20"/>
                <w:lang w:val="en-GB"/>
              </w:rPr>
            </w:pPr>
            <w:r w:rsidRPr="001B038E">
              <w:rPr>
                <w:rFonts w:ascii="Times New Roman" w:hAnsi="Times New Roman" w:cs="Times New Roman"/>
                <w:b/>
                <w:color w:val="auto"/>
                <w:sz w:val="20"/>
                <w:szCs w:val="20"/>
                <w:lang w:val="en-GB"/>
              </w:rPr>
              <w:t>2B</w:t>
            </w:r>
          </w:p>
        </w:tc>
        <w:tc>
          <w:tcPr>
            <w:tcW w:w="1560" w:type="dxa"/>
          </w:tcPr>
          <w:p w14:paraId="3A810EC0" w14:textId="4E40BA08" w:rsidR="001B038E" w:rsidRP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auto"/>
                <w:sz w:val="20"/>
                <w:szCs w:val="20"/>
                <w:lang w:val="en-GB"/>
              </w:rPr>
            </w:pPr>
            <w:r w:rsidRPr="001B038E">
              <w:rPr>
                <w:rFonts w:ascii="Times New Roman" w:hAnsi="Times New Roman" w:cs="Times New Roman"/>
                <w:b/>
                <w:color w:val="auto"/>
                <w:sz w:val="20"/>
                <w:szCs w:val="20"/>
                <w:lang w:val="en-GB"/>
              </w:rPr>
              <w:t>2C</w:t>
            </w:r>
          </w:p>
        </w:tc>
      </w:tr>
      <w:tr w:rsidR="001B038E" w14:paraId="2CE4826A" w14:textId="77777777" w:rsidTr="00571FF4">
        <w:tc>
          <w:tcPr>
            <w:tcW w:w="1555" w:type="dxa"/>
            <w:tcBorders>
              <w:right w:val="single" w:sz="12" w:space="0" w:color="auto"/>
            </w:tcBorders>
          </w:tcPr>
          <w:p w14:paraId="4BEB7D0A" w14:textId="15F74F6F" w:rsidR="001B038E" w:rsidRDefault="001B038E" w:rsidP="009445DA">
            <w:pPr>
              <w:pStyle w:val="Body"/>
              <w:pBdr>
                <w:top w:val="none" w:sz="0" w:space="0" w:color="auto"/>
                <w:left w:val="none" w:sz="0" w:space="0" w:color="auto"/>
                <w:bottom w:val="none" w:sz="0" w:space="0" w:color="auto"/>
                <w:right w:val="none" w:sz="0" w:space="0" w:color="auto"/>
                <w:between w:val="none" w:sz="0" w:space="0" w:color="auto"/>
                <w:bar w:val="none" w:sz="0" w:color="auto"/>
              </w:pBdr>
              <w:ind w:right="139"/>
              <w:rPr>
                <w:rFonts w:ascii="Times New Roman" w:hAnsi="Times New Roman" w:cs="Times New Roman"/>
                <w:color w:val="auto"/>
                <w:sz w:val="20"/>
                <w:szCs w:val="20"/>
                <w:lang w:val="en-GB"/>
              </w:rPr>
            </w:pPr>
            <w:r w:rsidRPr="00A931E6">
              <w:rPr>
                <w:rFonts w:ascii="Times New Roman" w:hAnsi="Times New Roman" w:cs="Times New Roman"/>
                <w:b/>
                <w:color w:val="auto"/>
                <w:sz w:val="20"/>
                <w:szCs w:val="20"/>
                <w:lang w:val="en-GB"/>
              </w:rPr>
              <w:t>Division</w:t>
            </w:r>
            <w:r w:rsidR="00131B20">
              <w:rPr>
                <w:rFonts w:ascii="Times New Roman" w:hAnsi="Times New Roman" w:cs="Times New Roman"/>
                <w:b/>
                <w:color w:val="auto"/>
                <w:sz w:val="20"/>
                <w:szCs w:val="20"/>
                <w:lang w:val="en-GB"/>
              </w:rPr>
              <w:br/>
              <w:t xml:space="preserve">(for </w:t>
            </w:r>
            <w:r w:rsidR="00EC40DB">
              <w:rPr>
                <w:rFonts w:ascii="Times New Roman" w:hAnsi="Times New Roman" w:cs="Times New Roman"/>
                <w:b/>
                <w:color w:val="auto"/>
                <w:sz w:val="20"/>
                <w:szCs w:val="20"/>
                <w:lang w:val="en-GB"/>
              </w:rPr>
              <w:t>transport</w:t>
            </w:r>
            <w:r w:rsidR="00571FF4">
              <w:rPr>
                <w:rStyle w:val="FootnoteReference"/>
                <w:rFonts w:cs="Times New Roman"/>
                <w:b/>
                <w:color w:val="auto"/>
                <w:szCs w:val="20"/>
                <w:lang w:val="en-GB"/>
              </w:rPr>
              <w:footnoteReference w:customMarkFollows="1" w:id="9"/>
              <w:t>7</w:t>
            </w:r>
            <w:r w:rsidR="00EC40DB">
              <w:rPr>
                <w:rFonts w:ascii="Times New Roman" w:hAnsi="Times New Roman" w:cs="Times New Roman"/>
                <w:b/>
                <w:color w:val="auto"/>
                <w:sz w:val="20"/>
                <w:szCs w:val="20"/>
                <w:lang w:val="en-GB"/>
              </w:rPr>
              <w:t>)</w:t>
            </w:r>
          </w:p>
        </w:tc>
        <w:tc>
          <w:tcPr>
            <w:tcW w:w="1559" w:type="dxa"/>
            <w:tcBorders>
              <w:left w:val="single" w:sz="12" w:space="0" w:color="auto"/>
              <w:right w:val="single" w:sz="12" w:space="0" w:color="auto"/>
            </w:tcBorders>
          </w:tcPr>
          <w:p w14:paraId="2428D488" w14:textId="22739A0F" w:rsidR="001B038E" w:rsidRDefault="00131B20"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131B20">
              <w:rPr>
                <w:rFonts w:ascii="Times New Roman" w:hAnsi="Times New Roman" w:cs="Times New Roman"/>
                <w:i/>
                <w:color w:val="auto"/>
                <w:sz w:val="20"/>
                <w:szCs w:val="20"/>
                <w:lang w:val="en-GB"/>
              </w:rPr>
              <w:t>Not applicable</w:t>
            </w:r>
          </w:p>
        </w:tc>
        <w:tc>
          <w:tcPr>
            <w:tcW w:w="1417" w:type="dxa"/>
            <w:tcBorders>
              <w:left w:val="single" w:sz="12" w:space="0" w:color="auto"/>
            </w:tcBorders>
          </w:tcPr>
          <w:p w14:paraId="4D6E2E76" w14:textId="0F533AD1" w:rsid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A931E6">
              <w:rPr>
                <w:rFonts w:ascii="Times New Roman" w:hAnsi="Times New Roman" w:cs="Times New Roman"/>
                <w:color w:val="auto"/>
                <w:sz w:val="20"/>
                <w:szCs w:val="20"/>
                <w:lang w:val="en-GB"/>
              </w:rPr>
              <w:t>1.1, 1.2, 1.3, 1.4, 1.5 or 1.6</w:t>
            </w:r>
          </w:p>
        </w:tc>
        <w:tc>
          <w:tcPr>
            <w:tcW w:w="1701" w:type="dxa"/>
          </w:tcPr>
          <w:p w14:paraId="16F94288" w14:textId="72F2820A" w:rsid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A931E6">
              <w:rPr>
                <w:rFonts w:ascii="Times New Roman" w:hAnsi="Times New Roman" w:cs="Times New Roman"/>
                <w:color w:val="auto"/>
                <w:sz w:val="20"/>
                <w:szCs w:val="20"/>
                <w:lang w:val="en-GB"/>
              </w:rPr>
              <w:t>1.4</w:t>
            </w:r>
            <w:r w:rsidR="009445DA">
              <w:rPr>
                <w:rFonts w:ascii="Times New Roman" w:hAnsi="Times New Roman" w:cs="Times New Roman"/>
                <w:color w:val="auto"/>
                <w:sz w:val="20"/>
                <w:szCs w:val="20"/>
                <w:lang w:val="en-GB"/>
              </w:rPr>
              <w:t xml:space="preserve"> </w:t>
            </w:r>
            <w:r w:rsidR="009445DA" w:rsidRPr="009C1BC1">
              <w:rPr>
                <w:rFonts w:ascii="Times New Roman" w:hAnsi="Times New Roman" w:cs="Times New Roman"/>
                <w:i/>
                <w:color w:val="auto"/>
                <w:sz w:val="20"/>
                <w:szCs w:val="20"/>
                <w:lang w:val="en-GB"/>
              </w:rPr>
              <w:t>(subject to further criteria)</w:t>
            </w:r>
          </w:p>
        </w:tc>
        <w:tc>
          <w:tcPr>
            <w:tcW w:w="1560" w:type="dxa"/>
          </w:tcPr>
          <w:p w14:paraId="737A10D4" w14:textId="3E602106" w:rsidR="001B038E" w:rsidRDefault="009445DA"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A931E6">
              <w:rPr>
                <w:rFonts w:ascii="Times New Roman" w:hAnsi="Times New Roman" w:cs="Times New Roman"/>
                <w:color w:val="auto"/>
                <w:sz w:val="20"/>
                <w:szCs w:val="20"/>
                <w:lang w:val="en-GB"/>
              </w:rPr>
              <w:t>1.4</w:t>
            </w:r>
            <w:r>
              <w:rPr>
                <w:rFonts w:ascii="Times New Roman" w:hAnsi="Times New Roman" w:cs="Times New Roman"/>
                <w:color w:val="auto"/>
                <w:sz w:val="20"/>
                <w:szCs w:val="20"/>
                <w:lang w:val="en-GB"/>
              </w:rPr>
              <w:t xml:space="preserve"> </w:t>
            </w:r>
            <w:r w:rsidRPr="009C1BC1">
              <w:rPr>
                <w:rFonts w:ascii="Times New Roman" w:hAnsi="Times New Roman" w:cs="Times New Roman"/>
                <w:i/>
                <w:color w:val="auto"/>
                <w:sz w:val="20"/>
                <w:szCs w:val="20"/>
                <w:lang w:val="en-GB"/>
              </w:rPr>
              <w:t>(subject to further criteria)</w:t>
            </w:r>
          </w:p>
        </w:tc>
      </w:tr>
      <w:tr w:rsidR="001B038E" w14:paraId="4022B3F2" w14:textId="77777777" w:rsidTr="00571FF4">
        <w:tc>
          <w:tcPr>
            <w:tcW w:w="1555" w:type="dxa"/>
            <w:tcBorders>
              <w:right w:val="single" w:sz="12" w:space="0" w:color="auto"/>
            </w:tcBorders>
          </w:tcPr>
          <w:p w14:paraId="556BD77A" w14:textId="5E2198DA" w:rsidR="001B038E" w:rsidRDefault="001B038E" w:rsidP="009445DA">
            <w:pPr>
              <w:pStyle w:val="Body"/>
              <w:pBdr>
                <w:top w:val="none" w:sz="0" w:space="0" w:color="auto"/>
                <w:left w:val="none" w:sz="0" w:space="0" w:color="auto"/>
                <w:bottom w:val="none" w:sz="0" w:space="0" w:color="auto"/>
                <w:right w:val="none" w:sz="0" w:space="0" w:color="auto"/>
                <w:between w:val="none" w:sz="0" w:space="0" w:color="auto"/>
                <w:bar w:val="none" w:sz="0" w:color="auto"/>
              </w:pBdr>
              <w:ind w:right="139"/>
              <w:rPr>
                <w:rFonts w:ascii="Times New Roman" w:hAnsi="Times New Roman" w:cs="Times New Roman"/>
                <w:color w:val="auto"/>
                <w:sz w:val="20"/>
                <w:szCs w:val="20"/>
                <w:lang w:val="en-GB"/>
              </w:rPr>
            </w:pPr>
            <w:r w:rsidRPr="00A931E6">
              <w:rPr>
                <w:rFonts w:ascii="Times New Roman" w:hAnsi="Times New Roman" w:cs="Times New Roman"/>
                <w:b/>
                <w:color w:val="auto"/>
                <w:sz w:val="20"/>
                <w:szCs w:val="20"/>
                <w:lang w:val="en-GB"/>
              </w:rPr>
              <w:t>Symbol</w:t>
            </w:r>
            <w:r w:rsidR="00571FF4">
              <w:rPr>
                <w:rStyle w:val="FootnoteReference"/>
                <w:rFonts w:cs="Times New Roman"/>
                <w:b/>
                <w:color w:val="auto"/>
                <w:szCs w:val="20"/>
                <w:lang w:val="en-GB"/>
              </w:rPr>
              <w:footnoteReference w:customMarkFollows="1" w:id="10"/>
              <w:t>8</w:t>
            </w:r>
          </w:p>
        </w:tc>
        <w:tc>
          <w:tcPr>
            <w:tcW w:w="1559" w:type="dxa"/>
            <w:tcBorders>
              <w:left w:val="single" w:sz="12" w:space="0" w:color="auto"/>
              <w:right w:val="single" w:sz="12" w:space="0" w:color="auto"/>
            </w:tcBorders>
          </w:tcPr>
          <w:p w14:paraId="25363B4A" w14:textId="2008E9DF" w:rsid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A931E6">
              <w:rPr>
                <w:rFonts w:ascii="Times New Roman" w:hAnsi="Times New Roman" w:cs="Times New Roman"/>
                <w:color w:val="auto"/>
                <w:sz w:val="20"/>
                <w:szCs w:val="20"/>
                <w:lang w:val="en-GB"/>
              </w:rPr>
              <w:t>Exploding bomb</w:t>
            </w:r>
          </w:p>
        </w:tc>
        <w:tc>
          <w:tcPr>
            <w:tcW w:w="1417" w:type="dxa"/>
            <w:tcBorders>
              <w:left w:val="single" w:sz="12" w:space="0" w:color="auto"/>
            </w:tcBorders>
          </w:tcPr>
          <w:p w14:paraId="2C8D42CD" w14:textId="3FBD818C" w:rsid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A931E6">
              <w:rPr>
                <w:rFonts w:ascii="Times New Roman" w:hAnsi="Times New Roman" w:cs="Times New Roman"/>
                <w:color w:val="auto"/>
                <w:sz w:val="20"/>
                <w:szCs w:val="20"/>
                <w:lang w:val="en-GB"/>
              </w:rPr>
              <w:t>Exploding bomb</w:t>
            </w:r>
          </w:p>
        </w:tc>
        <w:tc>
          <w:tcPr>
            <w:tcW w:w="1701" w:type="dxa"/>
          </w:tcPr>
          <w:p w14:paraId="42487FCD" w14:textId="2EC5C452" w:rsidR="001B038E" w:rsidRDefault="00131B20"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 xml:space="preserve"> </w:t>
            </w:r>
            <w:r w:rsidR="001B038E" w:rsidRPr="00A931E6">
              <w:rPr>
                <w:rFonts w:ascii="Times New Roman" w:hAnsi="Times New Roman" w:cs="Times New Roman"/>
                <w:color w:val="auto"/>
                <w:sz w:val="20"/>
                <w:szCs w:val="20"/>
                <w:lang w:val="en-GB"/>
              </w:rPr>
              <w:t>Exploding bomb</w:t>
            </w:r>
          </w:p>
        </w:tc>
        <w:tc>
          <w:tcPr>
            <w:tcW w:w="1560" w:type="dxa"/>
          </w:tcPr>
          <w:p w14:paraId="725BA054" w14:textId="7357D680" w:rsid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A931E6">
              <w:rPr>
                <w:rFonts w:ascii="Times New Roman" w:hAnsi="Times New Roman" w:cs="Times New Roman"/>
                <w:i/>
                <w:color w:val="auto"/>
                <w:sz w:val="20"/>
                <w:szCs w:val="20"/>
                <w:lang w:val="en-GB"/>
              </w:rPr>
              <w:t>No symbol</w:t>
            </w:r>
          </w:p>
        </w:tc>
      </w:tr>
      <w:tr w:rsidR="001B038E" w14:paraId="78112062" w14:textId="77777777" w:rsidTr="00571FF4">
        <w:tc>
          <w:tcPr>
            <w:tcW w:w="1555" w:type="dxa"/>
            <w:tcBorders>
              <w:right w:val="single" w:sz="12" w:space="0" w:color="auto"/>
            </w:tcBorders>
          </w:tcPr>
          <w:p w14:paraId="0E5E2774" w14:textId="0BCCE9B5" w:rsidR="001B038E" w:rsidRDefault="001B038E" w:rsidP="009445DA">
            <w:pPr>
              <w:pStyle w:val="Body"/>
              <w:pBdr>
                <w:top w:val="none" w:sz="0" w:space="0" w:color="auto"/>
                <w:left w:val="none" w:sz="0" w:space="0" w:color="auto"/>
                <w:bottom w:val="none" w:sz="0" w:space="0" w:color="auto"/>
                <w:right w:val="none" w:sz="0" w:space="0" w:color="auto"/>
                <w:between w:val="none" w:sz="0" w:space="0" w:color="auto"/>
                <w:bar w:val="none" w:sz="0" w:color="auto"/>
              </w:pBdr>
              <w:ind w:right="139"/>
              <w:rPr>
                <w:rFonts w:ascii="Times New Roman" w:hAnsi="Times New Roman" w:cs="Times New Roman"/>
                <w:color w:val="auto"/>
                <w:sz w:val="20"/>
                <w:szCs w:val="20"/>
                <w:lang w:val="en-GB"/>
              </w:rPr>
            </w:pPr>
            <w:r w:rsidRPr="00A931E6">
              <w:rPr>
                <w:rFonts w:ascii="Times New Roman" w:hAnsi="Times New Roman" w:cs="Times New Roman"/>
                <w:b/>
                <w:color w:val="auto"/>
                <w:sz w:val="20"/>
                <w:szCs w:val="20"/>
                <w:lang w:val="en-GB"/>
              </w:rPr>
              <w:t>Signal word</w:t>
            </w:r>
          </w:p>
        </w:tc>
        <w:tc>
          <w:tcPr>
            <w:tcW w:w="1559" w:type="dxa"/>
            <w:tcBorders>
              <w:left w:val="single" w:sz="12" w:space="0" w:color="auto"/>
              <w:right w:val="single" w:sz="12" w:space="0" w:color="auto"/>
            </w:tcBorders>
          </w:tcPr>
          <w:p w14:paraId="4D1C4D21" w14:textId="4F2E8C4F" w:rsid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A931E6">
              <w:rPr>
                <w:rFonts w:ascii="Times New Roman" w:hAnsi="Times New Roman" w:cs="Times New Roman"/>
                <w:color w:val="auto"/>
                <w:sz w:val="20"/>
                <w:szCs w:val="20"/>
                <w:lang w:val="en-GB"/>
              </w:rPr>
              <w:t>Danger</w:t>
            </w:r>
          </w:p>
        </w:tc>
        <w:tc>
          <w:tcPr>
            <w:tcW w:w="1417" w:type="dxa"/>
            <w:tcBorders>
              <w:left w:val="single" w:sz="12" w:space="0" w:color="auto"/>
            </w:tcBorders>
          </w:tcPr>
          <w:p w14:paraId="51C7C979" w14:textId="47C99E72" w:rsid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A931E6">
              <w:rPr>
                <w:rFonts w:ascii="Times New Roman" w:hAnsi="Times New Roman" w:cs="Times New Roman"/>
                <w:color w:val="auto"/>
                <w:sz w:val="20"/>
                <w:szCs w:val="20"/>
                <w:lang w:val="en-GB"/>
              </w:rPr>
              <w:t>Danger</w:t>
            </w:r>
          </w:p>
        </w:tc>
        <w:tc>
          <w:tcPr>
            <w:tcW w:w="1701" w:type="dxa"/>
          </w:tcPr>
          <w:p w14:paraId="788902AB" w14:textId="1CD05CE6" w:rsid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A931E6">
              <w:rPr>
                <w:rFonts w:ascii="Times New Roman" w:hAnsi="Times New Roman" w:cs="Times New Roman"/>
                <w:color w:val="auto"/>
                <w:sz w:val="20"/>
                <w:szCs w:val="20"/>
                <w:lang w:val="en-GB"/>
              </w:rPr>
              <w:t>Warning</w:t>
            </w:r>
          </w:p>
        </w:tc>
        <w:tc>
          <w:tcPr>
            <w:tcW w:w="1560" w:type="dxa"/>
          </w:tcPr>
          <w:p w14:paraId="3B38408C" w14:textId="0088A319" w:rsid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A931E6">
              <w:rPr>
                <w:rFonts w:ascii="Times New Roman" w:hAnsi="Times New Roman" w:cs="Times New Roman"/>
                <w:color w:val="auto"/>
                <w:sz w:val="20"/>
                <w:szCs w:val="20"/>
                <w:lang w:val="en-GB"/>
              </w:rPr>
              <w:t>Warning</w:t>
            </w:r>
          </w:p>
        </w:tc>
      </w:tr>
      <w:tr w:rsidR="001B038E" w14:paraId="3938246E" w14:textId="77777777" w:rsidTr="00571FF4">
        <w:tc>
          <w:tcPr>
            <w:tcW w:w="1555" w:type="dxa"/>
            <w:tcBorders>
              <w:right w:val="single" w:sz="12" w:space="0" w:color="auto"/>
            </w:tcBorders>
          </w:tcPr>
          <w:p w14:paraId="44145486" w14:textId="14E5AAC2" w:rsidR="001B038E" w:rsidRDefault="001B038E" w:rsidP="001B038E">
            <w:pPr>
              <w:pStyle w:val="Body"/>
              <w:pBdr>
                <w:top w:val="none" w:sz="0" w:space="0" w:color="auto"/>
                <w:left w:val="none" w:sz="0" w:space="0" w:color="auto"/>
                <w:bottom w:val="none" w:sz="0" w:space="0" w:color="auto"/>
                <w:right w:val="none" w:sz="0" w:space="0" w:color="auto"/>
                <w:between w:val="none" w:sz="0" w:space="0" w:color="auto"/>
                <w:bar w:val="none" w:sz="0" w:color="auto"/>
              </w:pBdr>
              <w:ind w:right="283"/>
              <w:rPr>
                <w:rFonts w:ascii="Times New Roman" w:hAnsi="Times New Roman" w:cs="Times New Roman"/>
                <w:color w:val="auto"/>
                <w:sz w:val="20"/>
                <w:szCs w:val="20"/>
                <w:lang w:val="en-GB"/>
              </w:rPr>
            </w:pPr>
            <w:r w:rsidRPr="00A931E6">
              <w:rPr>
                <w:rFonts w:ascii="Times New Roman" w:hAnsi="Times New Roman" w:cs="Times New Roman"/>
                <w:b/>
                <w:color w:val="auto"/>
                <w:sz w:val="20"/>
                <w:szCs w:val="20"/>
                <w:lang w:val="en-GB"/>
              </w:rPr>
              <w:t>Hazard statement</w:t>
            </w:r>
          </w:p>
        </w:tc>
        <w:tc>
          <w:tcPr>
            <w:tcW w:w="1559" w:type="dxa"/>
            <w:tcBorders>
              <w:left w:val="single" w:sz="12" w:space="0" w:color="auto"/>
              <w:right w:val="single" w:sz="12" w:space="0" w:color="auto"/>
            </w:tcBorders>
          </w:tcPr>
          <w:p w14:paraId="5AFB7B82" w14:textId="49D4A28E" w:rsid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A931E6">
              <w:rPr>
                <w:rFonts w:ascii="Times New Roman" w:hAnsi="Times New Roman" w:cs="Times New Roman"/>
                <w:i/>
                <w:color w:val="auto"/>
                <w:sz w:val="20"/>
                <w:szCs w:val="20"/>
                <w:lang w:val="en-GB"/>
              </w:rPr>
              <w:t>To be determined</w:t>
            </w:r>
          </w:p>
        </w:tc>
        <w:tc>
          <w:tcPr>
            <w:tcW w:w="1417" w:type="dxa"/>
            <w:tcBorders>
              <w:left w:val="single" w:sz="12" w:space="0" w:color="auto"/>
            </w:tcBorders>
          </w:tcPr>
          <w:p w14:paraId="7CBE1A77" w14:textId="7D6CEAE6" w:rsid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A931E6">
              <w:rPr>
                <w:rFonts w:ascii="Times New Roman" w:hAnsi="Times New Roman" w:cs="Times New Roman"/>
                <w:color w:val="auto"/>
                <w:sz w:val="20"/>
                <w:szCs w:val="20"/>
                <w:lang w:val="en-GB"/>
              </w:rPr>
              <w:t>Explosive</w:t>
            </w:r>
          </w:p>
        </w:tc>
        <w:tc>
          <w:tcPr>
            <w:tcW w:w="1701" w:type="dxa"/>
          </w:tcPr>
          <w:p w14:paraId="240A4B2E" w14:textId="567C82D3" w:rsid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A931E6">
              <w:rPr>
                <w:rFonts w:ascii="Times New Roman" w:hAnsi="Times New Roman" w:cs="Times New Roman"/>
                <w:color w:val="auto"/>
                <w:sz w:val="20"/>
                <w:szCs w:val="20"/>
                <w:lang w:val="en-GB"/>
              </w:rPr>
              <w:t>Fire or projection hazard</w:t>
            </w:r>
          </w:p>
        </w:tc>
        <w:tc>
          <w:tcPr>
            <w:tcW w:w="1560" w:type="dxa"/>
          </w:tcPr>
          <w:p w14:paraId="39F2F89B" w14:textId="01B3A981" w:rsidR="001B038E" w:rsidRDefault="001B038E" w:rsidP="002615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0"/>
                <w:szCs w:val="20"/>
                <w:lang w:val="en-GB"/>
              </w:rPr>
            </w:pPr>
            <w:r w:rsidRPr="00A931E6">
              <w:rPr>
                <w:rFonts w:ascii="Times New Roman" w:hAnsi="Times New Roman" w:cs="Times New Roman"/>
                <w:color w:val="auto"/>
                <w:sz w:val="20"/>
                <w:szCs w:val="20"/>
                <w:lang w:val="en-GB"/>
              </w:rPr>
              <w:t>Fire or projection hazard</w:t>
            </w:r>
          </w:p>
        </w:tc>
      </w:tr>
    </w:tbl>
    <w:p w14:paraId="153EA1CC" w14:textId="527AC541" w:rsidR="006564B0" w:rsidRPr="00A931E6" w:rsidRDefault="006564B0" w:rsidP="00571FF4">
      <w:pPr>
        <w:pStyle w:val="SingleTxtG"/>
        <w:spacing w:before="120"/>
      </w:pPr>
      <w:r w:rsidRPr="00A931E6">
        <w:t>11.</w:t>
      </w:r>
      <w:r w:rsidRPr="00A931E6">
        <w:tab/>
        <w:t>As displayed in the table above, Explosives in Sub-category 2A would be assigned the hazard statement “Explosive” regardless of their Division for transport. This is unlike the current GHS-classification system where the hazard statements are tied to the Divisions, and hence to the explosive behaviour in the (transport) packaging/configuration. Only Explosives in Sub-categories 2B or 2C would be assigned the less severe hazard statement “Fire or projection hazard”, as for these the explosive hazard is not</w:t>
      </w:r>
      <w:r w:rsidR="0002739F">
        <w:t xml:space="preserve"> deemed</w:t>
      </w:r>
      <w:r w:rsidRPr="00A931E6">
        <w:t xml:space="preserve"> “high” regardless of any </w:t>
      </w:r>
      <w:proofErr w:type="gramStart"/>
      <w:r w:rsidRPr="00A931E6">
        <w:t>particular packaging/configuration</w:t>
      </w:r>
      <w:proofErr w:type="gramEnd"/>
      <w:r w:rsidRPr="00A931E6">
        <w:t>. In this way the current situation where a “high hazard” Explosive may escape more severe hazard communication due to its (transport) packaging or configuration is avoided.</w:t>
      </w:r>
    </w:p>
    <w:p w14:paraId="6C7257CD" w14:textId="1C02EC20" w:rsidR="006564B0" w:rsidRPr="00A931E6" w:rsidRDefault="006564B0" w:rsidP="00FF62DA">
      <w:pPr>
        <w:pStyle w:val="SingleTxtG"/>
      </w:pPr>
      <w:r w:rsidRPr="00A931E6">
        <w:t>12.</w:t>
      </w:r>
      <w:r w:rsidRPr="00A931E6">
        <w:tab/>
        <w:t>An effect of the above is, naturally, that the (transport) Division cannot be rea</w:t>
      </w:r>
      <w:r w:rsidR="00784A9F">
        <w:t>d from the GHS-label (which</w:t>
      </w:r>
      <w:r w:rsidRPr="00A931E6">
        <w:t xml:space="preserve"> it currently indirectly can via the hazard statement), and the ICG has discussed how this</w:t>
      </w:r>
      <w:r w:rsidR="00D70ED0">
        <w:t xml:space="preserve"> information could be inserted.</w:t>
      </w:r>
      <w:r w:rsidRPr="00A931E6">
        <w:t xml:space="preserve"> One suggestion would be to use a precautionary statement for this, e.g. by amending the already existing P23</w:t>
      </w:r>
      <w:r w:rsidR="002C34B2">
        <w:t xml:space="preserve">4 </w:t>
      </w:r>
      <w:r w:rsidRPr="00A931E6">
        <w:t>to read “Keep in original package. [Division … as originally packaged/configured for transport.]” This pr</w:t>
      </w:r>
      <w:r w:rsidR="00C77598">
        <w:t>ecautionary statement</w:t>
      </w:r>
      <w:r w:rsidR="0084240A">
        <w:t>, including the text in square brackets,</w:t>
      </w:r>
      <w:r w:rsidR="00C77598">
        <w:t xml:space="preserve"> would</w:t>
      </w:r>
      <w:r w:rsidRPr="00A931E6">
        <w:t xml:space="preserve"> be applicable to all Explosives in Category 2, together with appropriate conditions for use</w:t>
      </w:r>
      <w:r w:rsidR="00D70ED0">
        <w:t xml:space="preserve"> (</w:t>
      </w:r>
      <w:r w:rsidR="00CE7080">
        <w:t>“</w:t>
      </w:r>
      <w:r w:rsidR="00D70ED0">
        <w:t>…</w:t>
      </w:r>
      <w:r w:rsidR="00CE7080">
        <w:t>”</w:t>
      </w:r>
      <w:r w:rsidR="00D70ED0">
        <w:t xml:space="preserve"> </w:t>
      </w:r>
      <w:r w:rsidR="00A23ED9">
        <w:t xml:space="preserve">is </w:t>
      </w:r>
      <w:r w:rsidR="00AB77B0">
        <w:t xml:space="preserve">where </w:t>
      </w:r>
      <w:r w:rsidR="00D70ED0">
        <w:t>the number of the Division</w:t>
      </w:r>
      <w:r w:rsidR="00A23ED9">
        <w:t xml:space="preserve"> </w:t>
      </w:r>
      <w:r w:rsidR="00D70ED0">
        <w:t>for transport</w:t>
      </w:r>
      <w:r w:rsidR="00AB77B0">
        <w:t xml:space="preserve"> is</w:t>
      </w:r>
      <w:r w:rsidR="00AF59BB">
        <w:t xml:space="preserve"> to be</w:t>
      </w:r>
      <w:r w:rsidR="00AB77B0">
        <w:t xml:space="preserve"> inserted</w:t>
      </w:r>
      <w:r w:rsidR="00D70ED0">
        <w:t>)</w:t>
      </w:r>
      <w:r w:rsidRPr="00A931E6">
        <w:t xml:space="preserve">. This </w:t>
      </w:r>
      <w:r w:rsidR="00B6512A">
        <w:t xml:space="preserve">idea </w:t>
      </w:r>
      <w:r w:rsidRPr="00A931E6">
        <w:t>n</w:t>
      </w:r>
      <w:r w:rsidR="00704622">
        <w:t xml:space="preserve">eeds further </w:t>
      </w:r>
      <w:r w:rsidR="00BC219E">
        <w:t>consideration</w:t>
      </w:r>
      <w:r w:rsidR="00704622">
        <w:t xml:space="preserve"> though, </w:t>
      </w:r>
      <w:proofErr w:type="gramStart"/>
      <w:r w:rsidR="00704622">
        <w:t xml:space="preserve">and </w:t>
      </w:r>
      <w:r w:rsidR="00977A48">
        <w:t>also</w:t>
      </w:r>
      <w:proofErr w:type="gramEnd"/>
      <w:r w:rsidR="00977A48">
        <w:t xml:space="preserve"> </w:t>
      </w:r>
      <w:r w:rsidR="00704622">
        <w:t xml:space="preserve">other options to accomplish the same effect are </w:t>
      </w:r>
      <w:r w:rsidR="00977A48">
        <w:t>under</w:t>
      </w:r>
      <w:r w:rsidR="00BC219E">
        <w:t xml:space="preserve"> discussion</w:t>
      </w:r>
      <w:r w:rsidR="00704622">
        <w:t>.</w:t>
      </w:r>
    </w:p>
    <w:p w14:paraId="61961995" w14:textId="2B31D314" w:rsidR="006564B0" w:rsidRPr="00A931E6" w:rsidRDefault="00571FF4" w:rsidP="004F18C3">
      <w:pPr>
        <w:pStyle w:val="H1G"/>
        <w:spacing w:before="120" w:after="60"/>
      </w:pPr>
      <w:r>
        <w:tab/>
      </w:r>
      <w:r>
        <w:tab/>
      </w:r>
      <w:r w:rsidR="00A931E6" w:rsidRPr="00A931E6">
        <w:t>Summary and action</w:t>
      </w:r>
    </w:p>
    <w:p w14:paraId="76B27342" w14:textId="5D9B7C56" w:rsidR="006564B0" w:rsidRPr="00A931E6" w:rsidRDefault="00A931E6" w:rsidP="00571FF4">
      <w:pPr>
        <w:pStyle w:val="SingleTxtG"/>
      </w:pPr>
      <w:r w:rsidRPr="00A931E6">
        <w:t>13.</w:t>
      </w:r>
      <w:r w:rsidRPr="00A931E6">
        <w:tab/>
        <w:t>The introduction of the amended GHS-system for classification and labelling as outlined in this paper would solve the problem of classification of Explosives that are not in a (transport) packaging or configuration as well as remove the dependency of the GHS hazard communication on that packaging/</w:t>
      </w:r>
      <w:r w:rsidR="001732AD">
        <w:t xml:space="preserve"> </w:t>
      </w:r>
      <w:r w:rsidRPr="00A931E6">
        <w:t>configuration. While it does constitute a major change to the current system it retains the currently used (transport) Divisions, and downstream regulations relying on this classification can continue to use it as a basis also in the future.</w:t>
      </w:r>
    </w:p>
    <w:p w14:paraId="7FC88C31" w14:textId="6A0B3275" w:rsidR="004F0339" w:rsidRDefault="001732AD" w:rsidP="00571FF4">
      <w:pPr>
        <w:pStyle w:val="SingleTxtG"/>
        <w:rPr>
          <w:rFonts w:eastAsia="Arial Unicode MS"/>
          <w:bdr w:val="nil"/>
          <w:lang w:eastAsia="sv-SE"/>
        </w:rPr>
      </w:pPr>
      <w:r>
        <w:t>14.</w:t>
      </w:r>
      <w:r>
        <w:tab/>
        <w:t>While the amended</w:t>
      </w:r>
      <w:r w:rsidR="00A931E6" w:rsidRPr="00A931E6">
        <w:t xml:space="preserve"> GHS system for classification and labelling of Explosive developed by the ICG is not yet sufficiently ripe for a sharp proposal</w:t>
      </w:r>
      <w:r w:rsidR="00504EC8">
        <w:t xml:space="preserve"> for changes to GHS Chapter 2.1</w:t>
      </w:r>
      <w:r w:rsidR="00A931E6" w:rsidRPr="00A931E6">
        <w:t xml:space="preserve"> to be made, it is now in a stage where discussions in the ICG revolve around perfecting it rather than about the principle as such. With reference to the Programme of Work, the expert from Sweden therefore believes this is an appropriate time to invite the Sub-committees to discuss whether a new system as outlined above could in principle be an acceptable way to resolve the current problems of Chapter 2.1, recognising that the details </w:t>
      </w:r>
      <w:proofErr w:type="gramStart"/>
      <w:r w:rsidR="00A931E6" w:rsidRPr="00A931E6">
        <w:t>still remain</w:t>
      </w:r>
      <w:proofErr w:type="gramEnd"/>
      <w:r w:rsidR="00A931E6" w:rsidRPr="00A931E6">
        <w:t xml:space="preserve"> to be worked out.</w:t>
      </w:r>
    </w:p>
    <w:p w14:paraId="72BDB76C" w14:textId="77777777" w:rsidR="004F0339" w:rsidRDefault="004F0339" w:rsidP="000E64F9">
      <w:pPr>
        <w:pStyle w:val="Body"/>
        <w:ind w:left="1134" w:right="283"/>
        <w:rPr>
          <w:rFonts w:ascii="Times New Roman" w:hAnsi="Times New Roman" w:cs="Times New Roman"/>
          <w:color w:val="auto"/>
          <w:sz w:val="20"/>
          <w:szCs w:val="20"/>
          <w:lang w:val="en-GB"/>
        </w:rPr>
        <w:sectPr w:rsidR="004F0339" w:rsidSect="00FF62DA">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pPr>
    </w:p>
    <w:p w14:paraId="1B26E625" w14:textId="3D465563" w:rsidR="00571FF4" w:rsidRDefault="00B85BD2" w:rsidP="00571FF4">
      <w:pPr>
        <w:pStyle w:val="HChG"/>
        <w:spacing w:before="120" w:after="0"/>
      </w:pPr>
      <w:r>
        <w:rPr>
          <w:noProof/>
        </w:rPr>
        <w:lastRenderedPageBreak/>
        <mc:AlternateContent>
          <mc:Choice Requires="wps">
            <w:drawing>
              <wp:anchor distT="45720" distB="45720" distL="114300" distR="114300" simplePos="0" relativeHeight="251661312" behindDoc="0" locked="0" layoutInCell="1" allowOverlap="1" wp14:anchorId="7A1D66E4" wp14:editId="11A511BD">
                <wp:simplePos x="0" y="0"/>
                <wp:positionH relativeFrom="column">
                  <wp:posOffset>8482965</wp:posOffset>
                </wp:positionH>
                <wp:positionV relativeFrom="paragraph">
                  <wp:posOffset>1905</wp:posOffset>
                </wp:positionV>
                <wp:extent cx="2360930" cy="6042660"/>
                <wp:effectExtent l="0" t="0" r="1778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42660"/>
                        </a:xfrm>
                        <a:prstGeom prst="rect">
                          <a:avLst/>
                        </a:prstGeom>
                        <a:solidFill>
                          <a:srgbClr val="FFFFFF"/>
                        </a:solidFill>
                        <a:ln w="9525">
                          <a:solidFill>
                            <a:schemeClr val="bg1"/>
                          </a:solidFill>
                          <a:miter lim="800000"/>
                          <a:headEnd/>
                          <a:tailEnd/>
                        </a:ln>
                      </wps:spPr>
                      <wps:txbx>
                        <w:txbxContent>
                          <w:p w14:paraId="28581E88" w14:textId="74F6F072" w:rsidR="00B85BD2" w:rsidRPr="00C36422" w:rsidRDefault="00B85BD2" w:rsidP="00B85BD2">
                            <w:pPr>
                              <w:pBdr>
                                <w:bottom w:val="single" w:sz="4" w:space="1" w:color="auto"/>
                              </w:pBdr>
                              <w:jc w:val="right"/>
                              <w:rPr>
                                <w:b/>
                                <w:bCs/>
                                <w:sz w:val="18"/>
                                <w:szCs w:val="18"/>
                              </w:rPr>
                            </w:pPr>
                            <w:r w:rsidRPr="00C36422">
                              <w:rPr>
                                <w:b/>
                                <w:bCs/>
                                <w:sz w:val="18"/>
                                <w:szCs w:val="18"/>
                              </w:rPr>
                              <w:t>ST/SG/AC.10/C.3/2018/33</w:t>
                            </w:r>
                            <w:r w:rsidRPr="00C36422">
                              <w:rPr>
                                <w:b/>
                                <w:bCs/>
                                <w:sz w:val="18"/>
                                <w:szCs w:val="18"/>
                              </w:rPr>
                              <w:br/>
                              <w:t>ST/SG/AC.10/C.4/2018/7</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7A1D66E4" id="_x0000_t202" coordsize="21600,21600" o:spt="202" path="m,l,21600r21600,l21600,xe">
                <v:stroke joinstyle="miter"/>
                <v:path gradientshapeok="t" o:connecttype="rect"/>
              </v:shapetype>
              <v:shape id="Text Box 2" o:spid="_x0000_s1026" type="#_x0000_t202" style="position:absolute;left:0;text-align:left;margin-left:667.95pt;margin-top:.15pt;width:185.9pt;height:475.8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" strokecolor="white [3212]">
                <v:textbox style="layout-flow:vertical-ideographic;mso-fit-shape-to-text:t">
                  <w:txbxContent>
                    <w:p w14:paraId="28581E88" w14:textId="74F6F072" w:rsidR="00B85BD2" w:rsidRPr="00C36422" w:rsidRDefault="00B85BD2" w:rsidP="00B85BD2">
                      <w:pPr>
                        <w:pBdr>
                          <w:bottom w:val="single" w:sz="4" w:space="1" w:color="auto"/>
                        </w:pBdr>
                        <w:jc w:val="right"/>
                        <w:rPr>
                          <w:b/>
                          <w:bCs/>
                          <w:sz w:val="18"/>
                          <w:szCs w:val="18"/>
                        </w:rPr>
                      </w:pPr>
                      <w:r w:rsidRPr="00C36422">
                        <w:rPr>
                          <w:b/>
                          <w:bCs/>
                          <w:sz w:val="18"/>
                          <w:szCs w:val="18"/>
                        </w:rPr>
                        <w:t>ST/SG/AC.10/C.3/2018/33</w:t>
                      </w:r>
                      <w:r w:rsidRPr="00C36422">
                        <w:rPr>
                          <w:b/>
                          <w:bCs/>
                          <w:sz w:val="18"/>
                          <w:szCs w:val="18"/>
                        </w:rPr>
                        <w:br/>
                        <w:t>ST/SG/AC.10/C.4/2018/7</w:t>
                      </w:r>
                    </w:p>
                  </w:txbxContent>
                </v:textbox>
                <w10:wrap type="square"/>
              </v:shape>
            </w:pict>
          </mc:Fallback>
        </mc:AlternateContent>
      </w:r>
      <w:r w:rsidR="00C36422">
        <w:t xml:space="preserve">Annex </w:t>
      </w:r>
    </w:p>
    <w:p w14:paraId="5264A5BB" w14:textId="12566BD2" w:rsidR="004F0339" w:rsidRPr="004F0339" w:rsidRDefault="00571FF4" w:rsidP="00571FF4">
      <w:pPr>
        <w:pStyle w:val="HChG"/>
        <w:spacing w:before="120" w:after="120"/>
      </w:pPr>
      <w:r>
        <w:tab/>
      </w:r>
      <w:r>
        <w:tab/>
      </w:r>
      <w:r w:rsidR="00E62CA1">
        <w:t>Tentative</w:t>
      </w:r>
      <w:r w:rsidR="004F0339" w:rsidRPr="004F0339">
        <w:t xml:space="preserve"> criteria for an amended GHS classification system for Explosives</w:t>
      </w:r>
      <w:r w:rsidR="00A70EC5">
        <w:t xml:space="preserve"> (under development)</w:t>
      </w:r>
    </w:p>
    <w:p w14:paraId="0339DFE9" w14:textId="589759CB" w:rsidR="004F0339" w:rsidRPr="00A931E6" w:rsidRDefault="004F0339" w:rsidP="00571FF4">
      <w:pPr>
        <w:pStyle w:val="SingleTxtG"/>
        <w:spacing w:after="0"/>
      </w:pPr>
      <w:r w:rsidRPr="004F0339">
        <w:t>Texts in normal font are the tentatively agreed criteria a</w:t>
      </w:r>
      <w:r w:rsidR="00571FF4">
        <w:t>s presented in INF.20 to the 34</w:t>
      </w:r>
      <w:r w:rsidRPr="004F0339">
        <w:t xml:space="preserve">th session </w:t>
      </w:r>
      <w:r w:rsidR="00571FF4">
        <w:t>of the SCEGHS (INF.57 to the 52</w:t>
      </w:r>
      <w:r w:rsidR="00571FF4" w:rsidRPr="00571FF4">
        <w:rPr>
          <w:vertAlign w:val="superscript"/>
        </w:rPr>
        <w:t>nd</w:t>
      </w:r>
      <w:r w:rsidR="00571FF4">
        <w:t> </w:t>
      </w:r>
      <w:r w:rsidRPr="004F0339">
        <w:t>session of the SCETDG), including provisional criteria from then in square brackets. Later correspondence within the ICG ha</w:t>
      </w:r>
      <w:r w:rsidR="009D31D8">
        <w:t>s</w:t>
      </w:r>
      <w:r w:rsidRPr="004F0339">
        <w:t xml:space="preserve"> resulted in refined criteria for Category 1 which are shown in italics. Italic text in square brackets are </w:t>
      </w:r>
      <w:r w:rsidR="00153CDD">
        <w:t xml:space="preserve">other </w:t>
      </w:r>
      <w:r w:rsidR="00035656">
        <w:t>suggestions</w:t>
      </w:r>
      <w:r w:rsidRPr="004F0339">
        <w:t xml:space="preserve"> </w:t>
      </w:r>
      <w:r w:rsidR="00153CDD">
        <w:t>f</w:t>
      </w:r>
      <w:r w:rsidR="003D782C">
        <w:t>ro</w:t>
      </w:r>
      <w:r w:rsidR="00153CDD">
        <w:t xml:space="preserve">m ICG-members that have </w:t>
      </w:r>
      <w:r w:rsidRPr="004F0339">
        <w:t>not</w:t>
      </w:r>
      <w:r w:rsidR="00153CDD">
        <w:t xml:space="preserve"> been further</w:t>
      </w:r>
      <w:r w:rsidRPr="004F0339">
        <w:t xml:space="preserve"> </w:t>
      </w:r>
      <w:r w:rsidR="002C3DE6">
        <w:t>evaluated</w:t>
      </w:r>
      <w:r w:rsidR="00CD5E8C">
        <w:t xml:space="preserve"> yet.</w:t>
      </w:r>
    </w:p>
    <w:tbl>
      <w:tblPr>
        <w:tblStyle w:val="TableGrid"/>
        <w:tblW w:w="0" w:type="auto"/>
        <w:tblLook w:val="04A0" w:firstRow="1" w:lastRow="0" w:firstColumn="1" w:lastColumn="0" w:noHBand="0" w:noVBand="1"/>
      </w:tblPr>
      <w:tblGrid>
        <w:gridCol w:w="988"/>
        <w:gridCol w:w="8505"/>
        <w:gridCol w:w="3368"/>
      </w:tblGrid>
      <w:tr w:rsidR="004F0339" w:rsidRPr="00B500E4" w14:paraId="7C4C5CD3" w14:textId="77777777" w:rsidTr="004A3F20">
        <w:tc>
          <w:tcPr>
            <w:tcW w:w="988" w:type="dxa"/>
            <w:tcBorders>
              <w:right w:val="single" w:sz="12" w:space="0" w:color="auto"/>
            </w:tcBorders>
          </w:tcPr>
          <w:p w14:paraId="485D9805" w14:textId="77777777" w:rsidR="004F0339" w:rsidRPr="00B500E4" w:rsidRDefault="004F0339" w:rsidP="004138E4">
            <w:pPr>
              <w:rPr>
                <w:b/>
              </w:rPr>
            </w:pPr>
            <w:r w:rsidRPr="00B500E4">
              <w:rPr>
                <w:b/>
              </w:rPr>
              <w:t>Category</w:t>
            </w:r>
          </w:p>
        </w:tc>
        <w:tc>
          <w:tcPr>
            <w:tcW w:w="8505" w:type="dxa"/>
            <w:tcBorders>
              <w:left w:val="single" w:sz="12" w:space="0" w:color="auto"/>
              <w:right w:val="single" w:sz="12" w:space="0" w:color="auto"/>
            </w:tcBorders>
          </w:tcPr>
          <w:p w14:paraId="499DD3AE" w14:textId="77777777" w:rsidR="004F0339" w:rsidRPr="00B500E4" w:rsidRDefault="004F0339" w:rsidP="004138E4">
            <w:pPr>
              <w:jc w:val="center"/>
              <w:rPr>
                <w:b/>
              </w:rPr>
            </w:pPr>
            <w:r w:rsidRPr="00B500E4">
              <w:rPr>
                <w:b/>
              </w:rPr>
              <w:t>1</w:t>
            </w:r>
          </w:p>
        </w:tc>
        <w:tc>
          <w:tcPr>
            <w:tcW w:w="3368" w:type="dxa"/>
            <w:tcBorders>
              <w:left w:val="single" w:sz="12" w:space="0" w:color="auto"/>
            </w:tcBorders>
          </w:tcPr>
          <w:p w14:paraId="46CE8836" w14:textId="77777777" w:rsidR="004F0339" w:rsidRPr="00B500E4" w:rsidRDefault="004F0339" w:rsidP="004138E4">
            <w:pPr>
              <w:jc w:val="center"/>
              <w:rPr>
                <w:b/>
              </w:rPr>
            </w:pPr>
            <w:r w:rsidRPr="00B500E4">
              <w:rPr>
                <w:b/>
              </w:rPr>
              <w:t>2</w:t>
            </w:r>
          </w:p>
        </w:tc>
      </w:tr>
      <w:tr w:rsidR="004F0339" w:rsidRPr="00446479" w14:paraId="2F16F4FA" w14:textId="77777777" w:rsidTr="004A3F20">
        <w:tc>
          <w:tcPr>
            <w:tcW w:w="988" w:type="dxa"/>
            <w:tcBorders>
              <w:right w:val="single" w:sz="12" w:space="0" w:color="auto"/>
            </w:tcBorders>
          </w:tcPr>
          <w:p w14:paraId="1892095C" w14:textId="77777777" w:rsidR="004F0339" w:rsidRPr="00B500E4" w:rsidRDefault="004F0339" w:rsidP="004138E4">
            <w:pPr>
              <w:rPr>
                <w:b/>
              </w:rPr>
            </w:pPr>
            <w:r w:rsidRPr="00B500E4">
              <w:rPr>
                <w:b/>
              </w:rPr>
              <w:t>Criteria</w:t>
            </w:r>
          </w:p>
        </w:tc>
        <w:tc>
          <w:tcPr>
            <w:tcW w:w="8505" w:type="dxa"/>
            <w:tcBorders>
              <w:left w:val="single" w:sz="12" w:space="0" w:color="auto"/>
              <w:right w:val="single" w:sz="12" w:space="0" w:color="auto"/>
            </w:tcBorders>
          </w:tcPr>
          <w:p w14:paraId="357DC7E5" w14:textId="77777777" w:rsidR="004F0339" w:rsidRPr="00B500E4" w:rsidRDefault="004F0339" w:rsidP="004A3F20">
            <w:pPr>
              <w:spacing w:line="259" w:lineRule="auto"/>
              <w:ind w:left="134" w:right="129"/>
              <w:rPr>
                <w:i/>
              </w:rPr>
            </w:pPr>
            <w:r w:rsidRPr="00B500E4">
              <w:rPr>
                <w:i/>
              </w:rPr>
              <w:t>Substances, mixtures and articles which:</w:t>
            </w:r>
          </w:p>
          <w:p w14:paraId="356A5BE2" w14:textId="77777777" w:rsidR="004F0339" w:rsidRPr="00B500E4" w:rsidRDefault="004F0339" w:rsidP="004A3F20">
            <w:pPr>
              <w:numPr>
                <w:ilvl w:val="0"/>
                <w:numId w:val="41"/>
              </w:numPr>
              <w:suppressAutoHyphens w:val="0"/>
              <w:spacing w:line="259" w:lineRule="auto"/>
              <w:ind w:left="418" w:right="129" w:hanging="142"/>
              <w:rPr>
                <w:i/>
              </w:rPr>
            </w:pPr>
            <w:r w:rsidRPr="00B500E4">
              <w:rPr>
                <w:i/>
              </w:rPr>
              <w:t>are manufactured with the intention of producing a practical explosive or pyrotechnic effect; or</w:t>
            </w:r>
          </w:p>
          <w:p w14:paraId="4C53AFB6" w14:textId="77777777" w:rsidR="004F0339" w:rsidRPr="00B500E4" w:rsidRDefault="004F0339" w:rsidP="004A3F20">
            <w:pPr>
              <w:numPr>
                <w:ilvl w:val="0"/>
                <w:numId w:val="41"/>
              </w:numPr>
              <w:suppressAutoHyphens w:val="0"/>
              <w:spacing w:line="259" w:lineRule="auto"/>
              <w:ind w:left="418" w:right="129" w:hanging="142"/>
              <w:rPr>
                <w:i/>
              </w:rPr>
            </w:pPr>
            <w:r w:rsidRPr="00B500E4">
              <w:rPr>
                <w:i/>
              </w:rPr>
              <w:t>are substances or mixtures that give positive results in Test series 2; or</w:t>
            </w:r>
          </w:p>
          <w:p w14:paraId="4188C550" w14:textId="77777777" w:rsidR="004F0339" w:rsidRPr="00B500E4" w:rsidRDefault="004F0339" w:rsidP="004A3F20">
            <w:pPr>
              <w:numPr>
                <w:ilvl w:val="0"/>
                <w:numId w:val="41"/>
              </w:numPr>
              <w:suppressAutoHyphens w:val="0"/>
              <w:spacing w:line="259" w:lineRule="auto"/>
              <w:ind w:left="418" w:right="129" w:hanging="142"/>
              <w:rPr>
                <w:i/>
              </w:rPr>
            </w:pPr>
            <w:r w:rsidRPr="00B500E4">
              <w:rPr>
                <w:i/>
              </w:rPr>
              <w:t>[are articles that give positive results in Test series 4; or]</w:t>
            </w:r>
          </w:p>
          <w:p w14:paraId="370672FE" w14:textId="77777777" w:rsidR="004F0339" w:rsidRPr="00B500E4" w:rsidRDefault="004F0339" w:rsidP="004A3F20">
            <w:pPr>
              <w:numPr>
                <w:ilvl w:val="0"/>
                <w:numId w:val="41"/>
              </w:numPr>
              <w:suppressAutoHyphens w:val="0"/>
              <w:spacing w:line="259" w:lineRule="auto"/>
              <w:ind w:left="418" w:right="129" w:hanging="142"/>
              <w:rPr>
                <w:i/>
              </w:rPr>
            </w:pPr>
            <w:r w:rsidRPr="00B500E4">
              <w:rPr>
                <w:i/>
              </w:rPr>
              <w:t>are [candidates for] ANE that give positive results in Test 8(a),</w:t>
            </w:r>
          </w:p>
          <w:p w14:paraId="0D764774" w14:textId="77777777" w:rsidR="004F0339" w:rsidRPr="00B500E4" w:rsidRDefault="004F0339" w:rsidP="004A3F20">
            <w:pPr>
              <w:spacing w:line="259" w:lineRule="auto"/>
              <w:ind w:left="276" w:right="129" w:hanging="142"/>
              <w:rPr>
                <w:i/>
              </w:rPr>
            </w:pPr>
            <w:r w:rsidRPr="00B500E4">
              <w:rPr>
                <w:i/>
              </w:rPr>
              <w:t>unless they</w:t>
            </w:r>
          </w:p>
          <w:p w14:paraId="0D9FE411" w14:textId="265F1D77" w:rsidR="004F0339" w:rsidRPr="00E224D4" w:rsidRDefault="004F0339" w:rsidP="004A3F20">
            <w:pPr>
              <w:numPr>
                <w:ilvl w:val="0"/>
                <w:numId w:val="41"/>
              </w:numPr>
              <w:tabs>
                <w:tab w:val="left" w:pos="666"/>
              </w:tabs>
              <w:suppressAutoHyphens w:val="0"/>
              <w:spacing w:line="259" w:lineRule="auto"/>
              <w:ind w:left="418" w:right="129" w:hanging="142"/>
              <w:rPr>
                <w:i/>
              </w:rPr>
            </w:pPr>
            <w:r w:rsidRPr="00B500E4">
              <w:rPr>
                <w:i/>
              </w:rPr>
              <w:t>meet the criteria for a Division within</w:t>
            </w:r>
            <w:r>
              <w:rPr>
                <w:i/>
              </w:rPr>
              <w:t xml:space="preserve"> </w:t>
            </w:r>
            <w:r w:rsidRPr="00446479">
              <w:rPr>
                <w:i/>
                <w:strike/>
              </w:rPr>
              <w:t>Class 1</w:t>
            </w:r>
            <w:r w:rsidR="00981FD3">
              <w:rPr>
                <w:i/>
                <w:strike/>
              </w:rPr>
              <w:t xml:space="preserve"> for transport</w:t>
            </w:r>
            <w:r w:rsidRPr="00981FD3">
              <w:rPr>
                <w:i/>
              </w:rPr>
              <w:t xml:space="preserve"> </w:t>
            </w:r>
            <w:r w:rsidR="00A66D48">
              <w:rPr>
                <w:i/>
              </w:rPr>
              <w:t>the class of e</w:t>
            </w:r>
            <w:r w:rsidRPr="00B500E4">
              <w:rPr>
                <w:i/>
              </w:rPr>
              <w:t>xplosives</w:t>
            </w:r>
            <w:r w:rsidR="00044EB7">
              <w:rPr>
                <w:i/>
              </w:rPr>
              <w:t xml:space="preserve"> according to the </w:t>
            </w:r>
            <w:r>
              <w:rPr>
                <w:i/>
              </w:rPr>
              <w:t>Manual of Tests and Criteria</w:t>
            </w:r>
            <w:r w:rsidRPr="00E224D4">
              <w:rPr>
                <w:i/>
              </w:rPr>
              <w:t>; or</w:t>
            </w:r>
          </w:p>
          <w:p w14:paraId="49FD191F" w14:textId="77777777" w:rsidR="004F0339" w:rsidRPr="00B500E4" w:rsidRDefault="004F0339" w:rsidP="004A3F20">
            <w:pPr>
              <w:numPr>
                <w:ilvl w:val="0"/>
                <w:numId w:val="41"/>
              </w:numPr>
              <w:tabs>
                <w:tab w:val="left" w:pos="666"/>
              </w:tabs>
              <w:suppressAutoHyphens w:val="0"/>
              <w:spacing w:line="259" w:lineRule="auto"/>
              <w:ind w:left="418" w:right="129" w:hanging="142"/>
              <w:rPr>
                <w:i/>
              </w:rPr>
            </w:pPr>
            <w:r w:rsidRPr="00B500E4">
              <w:rPr>
                <w:i/>
              </w:rPr>
              <w:t>are substances or mixtures not manufactured with the intention of producing a practical explosive or pyrotechnic effect which are excluded from this hazard class by results in Test series 6; or</w:t>
            </w:r>
          </w:p>
          <w:p w14:paraId="0DB995E7" w14:textId="77777777" w:rsidR="004F0339" w:rsidRPr="00B500E4" w:rsidRDefault="004F0339" w:rsidP="004A3F20">
            <w:pPr>
              <w:numPr>
                <w:ilvl w:val="0"/>
                <w:numId w:val="41"/>
              </w:numPr>
              <w:tabs>
                <w:tab w:val="left" w:pos="666"/>
              </w:tabs>
              <w:suppressAutoHyphens w:val="0"/>
              <w:spacing w:line="259" w:lineRule="auto"/>
              <w:ind w:left="418" w:right="129" w:hanging="142"/>
              <w:rPr>
                <w:i/>
              </w:rPr>
            </w:pPr>
            <w:r w:rsidRPr="00B500E4">
              <w:rPr>
                <w:i/>
              </w:rPr>
              <w:t xml:space="preserve">are articles excluded </w:t>
            </w:r>
            <w:proofErr w:type="gramStart"/>
            <w:r w:rsidRPr="00B500E4">
              <w:rPr>
                <w:i/>
              </w:rPr>
              <w:t>by definition in</w:t>
            </w:r>
            <w:proofErr w:type="gramEnd"/>
            <w:r w:rsidRPr="00B500E4">
              <w:rPr>
                <w:i/>
              </w:rPr>
              <w:t xml:space="preserve"> 2.1.1.2(b); or</w:t>
            </w:r>
          </w:p>
          <w:p w14:paraId="23B87804" w14:textId="77777777" w:rsidR="004F0339" w:rsidRPr="00B500E4" w:rsidRDefault="004F0339" w:rsidP="004A3F20">
            <w:pPr>
              <w:numPr>
                <w:ilvl w:val="0"/>
                <w:numId w:val="41"/>
              </w:numPr>
              <w:tabs>
                <w:tab w:val="left" w:pos="666"/>
              </w:tabs>
              <w:suppressAutoHyphens w:val="0"/>
              <w:spacing w:line="259" w:lineRule="auto"/>
              <w:ind w:left="418" w:right="129" w:hanging="142"/>
              <w:rPr>
                <w:i/>
              </w:rPr>
            </w:pPr>
            <w:r w:rsidRPr="00B500E4">
              <w:rPr>
                <w:i/>
              </w:rPr>
              <w:t>are [candidates for] ANE that give negative results in Tests 8(a) - (c).</w:t>
            </w:r>
          </w:p>
        </w:tc>
        <w:tc>
          <w:tcPr>
            <w:tcW w:w="3368" w:type="dxa"/>
            <w:tcBorders>
              <w:left w:val="single" w:sz="12" w:space="0" w:color="auto"/>
            </w:tcBorders>
          </w:tcPr>
          <w:p w14:paraId="76E0F4A9" w14:textId="0DD88291" w:rsidR="004F0339" w:rsidRPr="009C7464" w:rsidRDefault="004F0339" w:rsidP="004A3F20">
            <w:pPr>
              <w:pStyle w:val="Body"/>
              <w:pBdr>
                <w:top w:val="none" w:sz="0" w:space="0" w:color="auto"/>
                <w:left w:val="none" w:sz="0" w:space="0" w:color="auto"/>
                <w:bottom w:val="none" w:sz="0" w:space="0" w:color="auto"/>
                <w:right w:val="none" w:sz="0" w:space="0" w:color="auto"/>
                <w:between w:val="none" w:sz="0" w:space="0" w:color="auto"/>
                <w:bar w:val="none" w:sz="0" w:color="auto"/>
              </w:pBdr>
              <w:ind w:left="134" w:right="102"/>
              <w:rPr>
                <w:rFonts w:ascii="Times New Roman" w:hAnsi="Times New Roman" w:cs="Times New Roman"/>
                <w:i/>
                <w:sz w:val="20"/>
                <w:szCs w:val="20"/>
                <w:lang w:val="en-GB"/>
              </w:rPr>
            </w:pPr>
            <w:r w:rsidRPr="00B500E4">
              <w:rPr>
                <w:rFonts w:ascii="Times New Roman" w:hAnsi="Times New Roman" w:cs="Times New Roman"/>
                <w:sz w:val="20"/>
                <w:szCs w:val="20"/>
                <w:lang w:val="en-GB"/>
              </w:rPr>
              <w:t>Substances, mixtures and articles which meet the</w:t>
            </w:r>
            <w:r>
              <w:rPr>
                <w:rFonts w:ascii="Times New Roman" w:hAnsi="Times New Roman" w:cs="Times New Roman"/>
                <w:sz w:val="20"/>
                <w:szCs w:val="20"/>
                <w:lang w:val="en-GB"/>
              </w:rPr>
              <w:t xml:space="preserve"> criteria for a Division within</w:t>
            </w:r>
            <w:r w:rsidRPr="00B500E4">
              <w:rPr>
                <w:rFonts w:ascii="Times New Roman" w:hAnsi="Times New Roman" w:cs="Times New Roman"/>
                <w:sz w:val="20"/>
                <w:szCs w:val="20"/>
                <w:lang w:val="en-GB"/>
              </w:rPr>
              <w:t xml:space="preserve"> </w:t>
            </w:r>
            <w:r w:rsidR="00981FD3">
              <w:rPr>
                <w:rFonts w:ascii="Times New Roman" w:hAnsi="Times New Roman" w:cs="Times New Roman"/>
                <w:strike/>
                <w:sz w:val="20"/>
                <w:szCs w:val="20"/>
                <w:lang w:val="en-GB"/>
              </w:rPr>
              <w:t>Class 1 for transport</w:t>
            </w:r>
            <w:r>
              <w:rPr>
                <w:rFonts w:ascii="Times New Roman" w:hAnsi="Times New Roman" w:cs="Times New Roman"/>
                <w:sz w:val="20"/>
                <w:szCs w:val="20"/>
                <w:lang w:val="en-GB"/>
              </w:rPr>
              <w:t xml:space="preserve"> </w:t>
            </w:r>
            <w:r>
              <w:rPr>
                <w:rFonts w:ascii="Times New Roman" w:hAnsi="Times New Roman" w:cs="Times New Roman"/>
                <w:i/>
                <w:sz w:val="20"/>
                <w:szCs w:val="20"/>
                <w:lang w:val="en-GB"/>
              </w:rPr>
              <w:t>the c</w:t>
            </w:r>
            <w:r w:rsidR="00A66D48">
              <w:rPr>
                <w:rFonts w:ascii="Times New Roman" w:hAnsi="Times New Roman" w:cs="Times New Roman"/>
                <w:i/>
                <w:sz w:val="20"/>
                <w:szCs w:val="20"/>
                <w:lang w:val="en-GB"/>
              </w:rPr>
              <w:t>lass of e</w:t>
            </w:r>
            <w:r w:rsidRPr="00742AA6">
              <w:rPr>
                <w:rFonts w:ascii="Times New Roman" w:hAnsi="Times New Roman" w:cs="Times New Roman"/>
                <w:i/>
                <w:sz w:val="20"/>
                <w:szCs w:val="20"/>
                <w:lang w:val="en-GB"/>
              </w:rPr>
              <w:t>xplosives</w:t>
            </w:r>
            <w:r>
              <w:rPr>
                <w:rFonts w:ascii="Times New Roman" w:hAnsi="Times New Roman" w:cs="Times New Roman"/>
                <w:i/>
                <w:sz w:val="20"/>
                <w:szCs w:val="20"/>
                <w:lang w:val="en-GB"/>
              </w:rPr>
              <w:t xml:space="preserve"> </w:t>
            </w:r>
            <w:r w:rsidRPr="008D0E7D">
              <w:rPr>
                <w:rFonts w:ascii="Times New Roman" w:hAnsi="Times New Roman" w:cs="Times New Roman"/>
                <w:i/>
                <w:sz w:val="20"/>
                <w:szCs w:val="20"/>
                <w:lang w:val="en-GB"/>
              </w:rPr>
              <w:t>according to</w:t>
            </w:r>
            <w:r w:rsidR="00044EB7">
              <w:rPr>
                <w:rFonts w:ascii="Times New Roman" w:hAnsi="Times New Roman" w:cs="Times New Roman"/>
                <w:i/>
                <w:sz w:val="20"/>
                <w:szCs w:val="20"/>
                <w:lang w:val="en-GB"/>
              </w:rPr>
              <w:t xml:space="preserve"> the </w:t>
            </w:r>
            <w:r>
              <w:rPr>
                <w:rFonts w:ascii="Times New Roman" w:hAnsi="Times New Roman" w:cs="Times New Roman"/>
                <w:i/>
                <w:sz w:val="20"/>
                <w:szCs w:val="20"/>
                <w:lang w:val="en-GB"/>
              </w:rPr>
              <w:t>Manual</w:t>
            </w:r>
            <w:r w:rsidRPr="00446479">
              <w:rPr>
                <w:lang w:val="en-GB"/>
              </w:rPr>
              <w:t xml:space="preserve"> </w:t>
            </w:r>
            <w:r w:rsidRPr="00446479">
              <w:rPr>
                <w:rFonts w:ascii="Times New Roman" w:hAnsi="Times New Roman" w:cs="Times New Roman"/>
                <w:i/>
                <w:sz w:val="20"/>
                <w:szCs w:val="20"/>
                <w:lang w:val="en-GB"/>
              </w:rPr>
              <w:t>of Tests and Criteria</w:t>
            </w:r>
            <w:r w:rsidRPr="00E224D4">
              <w:rPr>
                <w:rFonts w:ascii="Times New Roman" w:hAnsi="Times New Roman" w:cs="Times New Roman"/>
                <w:sz w:val="20"/>
                <w:szCs w:val="20"/>
                <w:lang w:val="en-GB"/>
              </w:rPr>
              <w:t>.</w:t>
            </w:r>
          </w:p>
        </w:tc>
      </w:tr>
    </w:tbl>
    <w:p w14:paraId="45096E0D" w14:textId="5E0FA976" w:rsidR="00415093" w:rsidRPr="00415093" w:rsidRDefault="00415093" w:rsidP="006564B0">
      <w:pPr>
        <w:rPr>
          <w:sz w:val="10"/>
          <w:szCs w:val="10"/>
        </w:rPr>
      </w:pPr>
    </w:p>
    <w:tbl>
      <w:tblPr>
        <w:tblStyle w:val="TableGrid"/>
        <w:tblW w:w="0" w:type="auto"/>
        <w:tblLook w:val="04A0" w:firstRow="1" w:lastRow="0" w:firstColumn="1" w:lastColumn="0" w:noHBand="0" w:noVBand="1"/>
      </w:tblPr>
      <w:tblGrid>
        <w:gridCol w:w="1267"/>
        <w:gridCol w:w="1159"/>
        <w:gridCol w:w="4306"/>
        <w:gridCol w:w="6129"/>
      </w:tblGrid>
      <w:tr w:rsidR="004F0339" w:rsidRPr="00B500E4" w14:paraId="49FCC960" w14:textId="77777777" w:rsidTr="00571FF4">
        <w:tc>
          <w:tcPr>
            <w:tcW w:w="1267" w:type="dxa"/>
            <w:tcBorders>
              <w:right w:val="single" w:sz="12" w:space="0" w:color="auto"/>
            </w:tcBorders>
          </w:tcPr>
          <w:p w14:paraId="53021612" w14:textId="77777777" w:rsidR="004F0339" w:rsidRPr="00B500E4" w:rsidRDefault="004F0339" w:rsidP="004138E4">
            <w:pPr>
              <w:rPr>
                <w:b/>
              </w:rPr>
            </w:pPr>
            <w:r w:rsidRPr="00B500E4">
              <w:rPr>
                <w:b/>
              </w:rPr>
              <w:t>Sub-category</w:t>
            </w:r>
          </w:p>
        </w:tc>
        <w:tc>
          <w:tcPr>
            <w:tcW w:w="1159" w:type="dxa"/>
            <w:tcBorders>
              <w:left w:val="single" w:sz="12" w:space="0" w:color="auto"/>
            </w:tcBorders>
          </w:tcPr>
          <w:p w14:paraId="12159CD0" w14:textId="77777777" w:rsidR="004F0339" w:rsidRPr="00B500E4" w:rsidRDefault="004F0339" w:rsidP="004138E4">
            <w:pPr>
              <w:jc w:val="center"/>
              <w:rPr>
                <w:b/>
              </w:rPr>
            </w:pPr>
            <w:r w:rsidRPr="00B500E4">
              <w:rPr>
                <w:b/>
              </w:rPr>
              <w:t>2A</w:t>
            </w:r>
          </w:p>
        </w:tc>
        <w:tc>
          <w:tcPr>
            <w:tcW w:w="4306" w:type="dxa"/>
          </w:tcPr>
          <w:p w14:paraId="622D9D18" w14:textId="77777777" w:rsidR="004F0339" w:rsidRPr="00B500E4" w:rsidRDefault="004F0339" w:rsidP="004138E4">
            <w:pPr>
              <w:jc w:val="center"/>
              <w:rPr>
                <w:b/>
              </w:rPr>
            </w:pPr>
            <w:r w:rsidRPr="00B500E4">
              <w:rPr>
                <w:b/>
              </w:rPr>
              <w:t>2B</w:t>
            </w:r>
          </w:p>
        </w:tc>
        <w:tc>
          <w:tcPr>
            <w:tcW w:w="6129" w:type="dxa"/>
          </w:tcPr>
          <w:p w14:paraId="0AF09124" w14:textId="77777777" w:rsidR="004F0339" w:rsidRPr="00B500E4" w:rsidRDefault="004F0339" w:rsidP="004138E4">
            <w:pPr>
              <w:jc w:val="center"/>
              <w:rPr>
                <w:b/>
              </w:rPr>
            </w:pPr>
            <w:r w:rsidRPr="00B500E4">
              <w:rPr>
                <w:b/>
              </w:rPr>
              <w:t>2C</w:t>
            </w:r>
          </w:p>
        </w:tc>
      </w:tr>
      <w:tr w:rsidR="004F0339" w:rsidRPr="00B500E4" w14:paraId="0DA401C9" w14:textId="77777777" w:rsidTr="00571FF4">
        <w:tc>
          <w:tcPr>
            <w:tcW w:w="1267" w:type="dxa"/>
            <w:tcBorders>
              <w:right w:val="single" w:sz="12" w:space="0" w:color="auto"/>
            </w:tcBorders>
          </w:tcPr>
          <w:p w14:paraId="01C643AB" w14:textId="77777777" w:rsidR="004F0339" w:rsidRPr="00B500E4" w:rsidRDefault="004F0339" w:rsidP="004138E4">
            <w:pPr>
              <w:rPr>
                <w:b/>
              </w:rPr>
            </w:pPr>
            <w:r w:rsidRPr="00B500E4">
              <w:rPr>
                <w:b/>
              </w:rPr>
              <w:t>Criteria</w:t>
            </w:r>
          </w:p>
        </w:tc>
        <w:tc>
          <w:tcPr>
            <w:tcW w:w="1159" w:type="dxa"/>
            <w:tcBorders>
              <w:left w:val="single" w:sz="12" w:space="0" w:color="auto"/>
            </w:tcBorders>
          </w:tcPr>
          <w:p w14:paraId="2E1E97CB" w14:textId="77777777" w:rsidR="004F0339" w:rsidRPr="00B500E4" w:rsidRDefault="004F0339" w:rsidP="00D9020D">
            <w:pPr>
              <w:ind w:left="128" w:right="82" w:hanging="10"/>
            </w:pPr>
            <w:r w:rsidRPr="00B500E4">
              <w:t>Substances, mixtures and articles not meeting the criteria for Sub-categories 2B or 2C.</w:t>
            </w:r>
          </w:p>
        </w:tc>
        <w:tc>
          <w:tcPr>
            <w:tcW w:w="4306" w:type="dxa"/>
          </w:tcPr>
          <w:p w14:paraId="66B201B7" w14:textId="1B36E766" w:rsidR="004F0339" w:rsidRPr="00B500E4" w:rsidRDefault="004F0339" w:rsidP="00CE23AC">
            <w:pPr>
              <w:pStyle w:val="Body"/>
              <w:pBdr>
                <w:top w:val="none" w:sz="0" w:space="0" w:color="auto"/>
                <w:left w:val="none" w:sz="0" w:space="0" w:color="auto"/>
                <w:bottom w:val="none" w:sz="0" w:space="0" w:color="auto"/>
                <w:right w:val="none" w:sz="0" w:space="0" w:color="auto"/>
                <w:between w:val="none" w:sz="0" w:space="0" w:color="auto"/>
                <w:bar w:val="none" w:sz="0" w:color="auto"/>
              </w:pBdr>
              <w:ind w:left="132" w:right="139" w:hanging="8"/>
              <w:rPr>
                <w:rFonts w:ascii="Times New Roman" w:hAnsi="Times New Roman" w:cs="Times New Roman"/>
                <w:sz w:val="20"/>
                <w:szCs w:val="20"/>
                <w:lang w:val="en-GB"/>
              </w:rPr>
            </w:pPr>
            <w:r w:rsidRPr="00B500E4">
              <w:rPr>
                <w:rFonts w:ascii="Times New Roman" w:hAnsi="Times New Roman" w:cs="Times New Roman"/>
                <w:sz w:val="20"/>
                <w:szCs w:val="20"/>
                <w:lang w:val="en-GB"/>
              </w:rPr>
              <w:t>Substances, mixtures and articles meeting the criteria for Division 1.4, Compatibility group</w:t>
            </w:r>
            <w:r w:rsidR="001757CE" w:rsidRPr="001757CE">
              <w:rPr>
                <w:rFonts w:ascii="Times New Roman" w:hAnsi="Times New Roman" w:cs="Times New Roman"/>
                <w:sz w:val="20"/>
                <w:szCs w:val="20"/>
                <w:vertAlign w:val="superscript"/>
                <w:lang w:val="en-GB"/>
              </w:rPr>
              <w:t>*</w:t>
            </w:r>
            <w:r w:rsidR="00044EB7">
              <w:rPr>
                <w:rFonts w:ascii="Times New Roman" w:hAnsi="Times New Roman" w:cs="Times New Roman"/>
                <w:sz w:val="20"/>
                <w:szCs w:val="20"/>
                <w:lang w:val="en-GB"/>
              </w:rPr>
              <w:t xml:space="preserve"> C or G, according to the</w:t>
            </w:r>
            <w:r w:rsidRPr="00B500E4">
              <w:rPr>
                <w:rFonts w:ascii="Times New Roman" w:hAnsi="Times New Roman" w:cs="Times New Roman"/>
                <w:sz w:val="20"/>
                <w:szCs w:val="20"/>
                <w:lang w:val="en-GB"/>
              </w:rPr>
              <w:t xml:space="preserve"> Model Regulations</w:t>
            </w:r>
            <w:r>
              <w:rPr>
                <w:rFonts w:ascii="Times New Roman" w:hAnsi="Times New Roman" w:cs="Times New Roman"/>
                <w:sz w:val="20"/>
                <w:szCs w:val="20"/>
                <w:lang w:val="en-GB"/>
              </w:rPr>
              <w:t xml:space="preserve"> and where</w:t>
            </w:r>
            <w:r w:rsidRPr="00B500E4">
              <w:rPr>
                <w:rFonts w:ascii="Times New Roman" w:hAnsi="Times New Roman" w:cs="Times New Roman"/>
                <w:sz w:val="20"/>
                <w:szCs w:val="20"/>
                <w:lang w:val="en-GB"/>
              </w:rPr>
              <w:t>:</w:t>
            </w:r>
          </w:p>
          <w:p w14:paraId="55F8B873" w14:textId="00DFEF5C" w:rsidR="004F0339" w:rsidRPr="00B500E4" w:rsidRDefault="004F0339" w:rsidP="00CE23A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70"/>
              </w:tabs>
              <w:ind w:left="274" w:right="139" w:hanging="142"/>
              <w:rPr>
                <w:rFonts w:ascii="Times New Roman" w:hAnsi="Times New Roman" w:cs="Times New Roman"/>
                <w:sz w:val="20"/>
                <w:szCs w:val="20"/>
                <w:lang w:val="en-GB"/>
              </w:rPr>
            </w:pPr>
            <w:r w:rsidRPr="00B500E4">
              <w:rPr>
                <w:rFonts w:ascii="Times New Roman" w:hAnsi="Times New Roman" w:cs="Times New Roman"/>
                <w:sz w:val="20"/>
                <w:szCs w:val="20"/>
                <w:lang w:val="en-GB"/>
              </w:rPr>
              <w:t>-</w:t>
            </w:r>
            <w:r w:rsidRPr="00B500E4">
              <w:rPr>
                <w:rFonts w:ascii="Times New Roman" w:hAnsi="Times New Roman" w:cs="Times New Roman"/>
                <w:sz w:val="20"/>
                <w:szCs w:val="20"/>
                <w:lang w:val="en-GB"/>
              </w:rPr>
              <w:tab/>
              <w:t>there is no indication that the packaging is designed such that the hazard is reduced, e.g. n</w:t>
            </w:r>
            <w:r w:rsidR="00D9466B">
              <w:rPr>
                <w:rFonts w:ascii="Times New Roman" w:hAnsi="Times New Roman" w:cs="Times New Roman"/>
                <w:sz w:val="20"/>
                <w:szCs w:val="20"/>
                <w:lang w:val="en-GB"/>
              </w:rPr>
              <w:t>o special packing instructions/</w:t>
            </w:r>
            <w:r w:rsidRPr="00B500E4">
              <w:rPr>
                <w:rFonts w:ascii="Times New Roman" w:hAnsi="Times New Roman" w:cs="Times New Roman"/>
                <w:sz w:val="20"/>
                <w:szCs w:val="20"/>
                <w:lang w:val="en-GB"/>
              </w:rPr>
              <w:t>criteria required, and no special orientation or dividers required to pass T</w:t>
            </w:r>
            <w:r>
              <w:rPr>
                <w:rFonts w:ascii="Times New Roman" w:hAnsi="Times New Roman" w:cs="Times New Roman"/>
                <w:sz w:val="20"/>
                <w:szCs w:val="20"/>
                <w:lang w:val="en-GB"/>
              </w:rPr>
              <w:t>est series</w:t>
            </w:r>
            <w:r w:rsidRPr="00B500E4">
              <w:rPr>
                <w:rFonts w:ascii="Times New Roman" w:hAnsi="Times New Roman" w:cs="Times New Roman"/>
                <w:sz w:val="20"/>
                <w:szCs w:val="20"/>
                <w:lang w:val="en-GB"/>
              </w:rPr>
              <w:t xml:space="preserve"> 6 as Div</w:t>
            </w:r>
            <w:r>
              <w:rPr>
                <w:rFonts w:ascii="Times New Roman" w:hAnsi="Times New Roman" w:cs="Times New Roman"/>
                <w:sz w:val="20"/>
                <w:szCs w:val="20"/>
                <w:lang w:val="en-GB"/>
              </w:rPr>
              <w:t>ision</w:t>
            </w:r>
            <w:r w:rsidRPr="00B500E4">
              <w:rPr>
                <w:rFonts w:ascii="Times New Roman" w:hAnsi="Times New Roman" w:cs="Times New Roman"/>
                <w:sz w:val="20"/>
                <w:szCs w:val="20"/>
                <w:lang w:val="en-GB"/>
              </w:rPr>
              <w:t xml:space="preserve"> 1.4; and</w:t>
            </w:r>
          </w:p>
          <w:p w14:paraId="41C8EDFE" w14:textId="77777777" w:rsidR="004F0339" w:rsidRPr="00B500E4" w:rsidRDefault="004F0339" w:rsidP="00CE23A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70"/>
              </w:tabs>
              <w:ind w:left="274" w:right="139" w:hanging="142"/>
              <w:rPr>
                <w:rFonts w:ascii="Times New Roman" w:hAnsi="Times New Roman" w:cs="Times New Roman"/>
                <w:color w:val="auto"/>
                <w:sz w:val="20"/>
                <w:szCs w:val="20"/>
                <w:lang w:val="en-GB"/>
              </w:rPr>
            </w:pPr>
            <w:r w:rsidRPr="00B500E4">
              <w:rPr>
                <w:rFonts w:ascii="Times New Roman" w:hAnsi="Times New Roman" w:cs="Times New Roman"/>
                <w:sz w:val="20"/>
                <w:szCs w:val="20"/>
                <w:lang w:val="en-GB"/>
              </w:rPr>
              <w:t>-</w:t>
            </w:r>
            <w:r w:rsidRPr="00B500E4">
              <w:rPr>
                <w:rFonts w:ascii="Times New Roman" w:hAnsi="Times New Roman" w:cs="Times New Roman"/>
                <w:sz w:val="20"/>
                <w:szCs w:val="20"/>
                <w:lang w:val="en-GB"/>
              </w:rPr>
              <w:tab/>
              <w:t xml:space="preserve">there is no violent reaction in Test 6a or 6b without mass explosion; </w:t>
            </w:r>
            <w:r w:rsidRPr="00B500E4">
              <w:rPr>
                <w:rFonts w:ascii="Times New Roman" w:hAnsi="Times New Roman" w:cs="Times New Roman"/>
                <w:color w:val="auto"/>
                <w:sz w:val="20"/>
                <w:szCs w:val="20"/>
                <w:lang w:val="en-GB"/>
              </w:rPr>
              <w:t>and</w:t>
            </w:r>
          </w:p>
          <w:p w14:paraId="545EF76C" w14:textId="77777777" w:rsidR="004F0339" w:rsidRPr="00B500E4" w:rsidRDefault="004F0339" w:rsidP="00CE23AC">
            <w:pPr>
              <w:pStyle w:val="Body"/>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70"/>
              </w:tabs>
              <w:ind w:left="274" w:right="139" w:hanging="142"/>
              <w:rPr>
                <w:rFonts w:ascii="Times New Roman" w:hAnsi="Times New Roman" w:cs="Times New Roman"/>
                <w:color w:val="auto"/>
                <w:sz w:val="20"/>
                <w:szCs w:val="20"/>
                <w:lang w:val="en-GB"/>
              </w:rPr>
            </w:pPr>
            <w:r w:rsidRPr="00B500E4">
              <w:rPr>
                <w:rFonts w:ascii="Times New Roman" w:hAnsi="Times New Roman" w:cs="Times New Roman"/>
                <w:color w:val="auto"/>
                <w:sz w:val="20"/>
                <w:szCs w:val="20"/>
                <w:lang w:val="en-GB"/>
              </w:rPr>
              <w:t>[for unintentional explosives possible further criteria based on data from other tests.]</w:t>
            </w:r>
          </w:p>
        </w:tc>
        <w:tc>
          <w:tcPr>
            <w:tcW w:w="6129" w:type="dxa"/>
          </w:tcPr>
          <w:p w14:paraId="5A46D561" w14:textId="3B2586C9" w:rsidR="004F0339" w:rsidRPr="00B500E4" w:rsidRDefault="004F0339" w:rsidP="00CE23AC">
            <w:pPr>
              <w:pStyle w:val="Body"/>
              <w:pBdr>
                <w:top w:val="none" w:sz="0" w:space="0" w:color="auto"/>
                <w:left w:val="none" w:sz="0" w:space="0" w:color="auto"/>
                <w:bottom w:val="none" w:sz="0" w:space="0" w:color="auto"/>
                <w:right w:val="none" w:sz="0" w:space="0" w:color="auto"/>
                <w:between w:val="none" w:sz="0" w:space="0" w:color="auto"/>
                <w:bar w:val="none" w:sz="0" w:color="auto"/>
              </w:pBdr>
              <w:ind w:left="74"/>
              <w:rPr>
                <w:rFonts w:ascii="Times New Roman" w:hAnsi="Times New Roman" w:cs="Times New Roman"/>
                <w:sz w:val="20"/>
                <w:szCs w:val="20"/>
                <w:lang w:val="en-GB"/>
              </w:rPr>
            </w:pPr>
            <w:r w:rsidRPr="00B500E4">
              <w:rPr>
                <w:rFonts w:ascii="Times New Roman" w:hAnsi="Times New Roman" w:cs="Times New Roman"/>
                <w:sz w:val="20"/>
                <w:szCs w:val="20"/>
                <w:lang w:val="en-GB"/>
              </w:rPr>
              <w:t>Substances, mixtures and articles meeting the criteria for Division 1.4, Compatibility group</w:t>
            </w:r>
            <w:r w:rsidR="001757CE" w:rsidRPr="001757CE">
              <w:rPr>
                <w:rFonts w:ascii="Times New Roman" w:hAnsi="Times New Roman" w:cs="Times New Roman"/>
                <w:sz w:val="20"/>
                <w:szCs w:val="20"/>
                <w:vertAlign w:val="superscript"/>
                <w:lang w:val="en-GB"/>
              </w:rPr>
              <w:t>*</w:t>
            </w:r>
            <w:r w:rsidRPr="00B500E4">
              <w:rPr>
                <w:rFonts w:ascii="Times New Roman" w:hAnsi="Times New Roman" w:cs="Times New Roman"/>
                <w:sz w:val="20"/>
                <w:szCs w:val="20"/>
                <w:lang w:val="en-GB"/>
              </w:rPr>
              <w:t xml:space="preserve"> S, according to the</w:t>
            </w:r>
            <w:r w:rsidR="00044EB7">
              <w:rPr>
                <w:rFonts w:ascii="Times New Roman" w:hAnsi="Times New Roman" w:cs="Times New Roman"/>
                <w:sz w:val="20"/>
                <w:szCs w:val="20"/>
                <w:lang w:val="en-GB"/>
              </w:rPr>
              <w:t xml:space="preserve"> </w:t>
            </w:r>
            <w:r w:rsidR="001757CE">
              <w:rPr>
                <w:rFonts w:ascii="Times New Roman" w:hAnsi="Times New Roman" w:cs="Times New Roman"/>
                <w:sz w:val="20"/>
                <w:szCs w:val="20"/>
                <w:lang w:val="en-GB"/>
              </w:rPr>
              <w:t>Model Regulations and where</w:t>
            </w:r>
            <w:r w:rsidRPr="00B500E4">
              <w:rPr>
                <w:rFonts w:ascii="Times New Roman" w:hAnsi="Times New Roman" w:cs="Times New Roman"/>
                <w:sz w:val="20"/>
                <w:szCs w:val="20"/>
                <w:lang w:val="en-GB"/>
              </w:rPr>
              <w:t>:</w:t>
            </w:r>
          </w:p>
          <w:p w14:paraId="6A74E0B3" w14:textId="52AAFB7B" w:rsidR="004F0339" w:rsidRPr="00B500E4" w:rsidRDefault="004F0339" w:rsidP="00CE23AC">
            <w:pPr>
              <w:pStyle w:val="Body"/>
              <w:pBdr>
                <w:top w:val="none" w:sz="0" w:space="0" w:color="auto"/>
                <w:left w:val="none" w:sz="0" w:space="0" w:color="auto"/>
                <w:bottom w:val="none" w:sz="0" w:space="0" w:color="auto"/>
                <w:right w:val="none" w:sz="0" w:space="0" w:color="auto"/>
                <w:between w:val="none" w:sz="0" w:space="0" w:color="auto"/>
                <w:bar w:val="none" w:sz="0" w:color="auto"/>
              </w:pBdr>
              <w:ind w:left="216" w:right="102" w:hanging="142"/>
              <w:rPr>
                <w:rFonts w:ascii="Times New Roman" w:hAnsi="Times New Roman" w:cs="Times New Roman"/>
                <w:sz w:val="20"/>
                <w:szCs w:val="20"/>
                <w:lang w:val="en-GB"/>
              </w:rPr>
            </w:pPr>
            <w:r w:rsidRPr="00B500E4">
              <w:rPr>
                <w:rFonts w:ascii="Times New Roman" w:hAnsi="Times New Roman" w:cs="Times New Roman"/>
                <w:sz w:val="20"/>
                <w:szCs w:val="20"/>
                <w:lang w:val="en-GB"/>
              </w:rPr>
              <w:t>-</w:t>
            </w:r>
            <w:r w:rsidRPr="00B500E4">
              <w:rPr>
                <w:rFonts w:ascii="Times New Roman" w:hAnsi="Times New Roman" w:cs="Times New Roman"/>
                <w:sz w:val="20"/>
                <w:szCs w:val="20"/>
                <w:lang w:val="en-GB"/>
              </w:rPr>
              <w:tab/>
              <w:t>there is no indication that the packaging is designed such that the hazard is reduced, e.g. no special packing instructions/criteria required, and no special orientation or dividers required to pass Test Series 6 as Division 1.4, Compatibility group</w:t>
            </w:r>
            <w:r w:rsidR="001757CE" w:rsidRPr="001757CE">
              <w:rPr>
                <w:rFonts w:ascii="Times New Roman" w:hAnsi="Times New Roman" w:cs="Times New Roman"/>
                <w:sz w:val="20"/>
                <w:szCs w:val="20"/>
                <w:vertAlign w:val="superscript"/>
                <w:lang w:val="en-GB"/>
              </w:rPr>
              <w:t>*</w:t>
            </w:r>
            <w:r>
              <w:rPr>
                <w:rFonts w:ascii="Times New Roman" w:hAnsi="Times New Roman" w:cs="Times New Roman"/>
                <w:sz w:val="20"/>
                <w:szCs w:val="20"/>
                <w:lang w:val="en-GB"/>
              </w:rPr>
              <w:t xml:space="preserve"> S; </w:t>
            </w:r>
            <w:r w:rsidRPr="00B500E4">
              <w:rPr>
                <w:rFonts w:ascii="Times New Roman" w:hAnsi="Times New Roman" w:cs="Times New Roman"/>
                <w:sz w:val="20"/>
                <w:szCs w:val="20"/>
                <w:lang w:val="en-GB"/>
              </w:rPr>
              <w:t>and</w:t>
            </w:r>
          </w:p>
          <w:p w14:paraId="20DD138A" w14:textId="6B944410" w:rsidR="004F0339" w:rsidRPr="00B500E4" w:rsidRDefault="004F0339" w:rsidP="00CE23AC">
            <w:pPr>
              <w:pStyle w:val="Body"/>
              <w:pBdr>
                <w:top w:val="none" w:sz="0" w:space="0" w:color="auto"/>
                <w:left w:val="none" w:sz="0" w:space="0" w:color="auto"/>
                <w:bottom w:val="none" w:sz="0" w:space="0" w:color="auto"/>
                <w:right w:val="none" w:sz="0" w:space="0" w:color="auto"/>
                <w:between w:val="none" w:sz="0" w:space="0" w:color="auto"/>
                <w:bar w:val="none" w:sz="0" w:color="auto"/>
              </w:pBdr>
              <w:ind w:left="216" w:hanging="142"/>
              <w:rPr>
                <w:rFonts w:ascii="Times New Roman" w:hAnsi="Times New Roman" w:cs="Times New Roman"/>
                <w:sz w:val="20"/>
                <w:szCs w:val="20"/>
                <w:lang w:val="en-GB"/>
              </w:rPr>
            </w:pPr>
            <w:r w:rsidRPr="00B500E4">
              <w:rPr>
                <w:rFonts w:ascii="Times New Roman" w:hAnsi="Times New Roman" w:cs="Times New Roman"/>
                <w:sz w:val="20"/>
                <w:szCs w:val="20"/>
                <w:lang w:val="en-GB"/>
              </w:rPr>
              <w:t>-</w:t>
            </w:r>
            <w:r w:rsidRPr="00B500E4">
              <w:rPr>
                <w:rFonts w:ascii="Times New Roman" w:hAnsi="Times New Roman" w:cs="Times New Roman"/>
                <w:sz w:val="20"/>
                <w:szCs w:val="20"/>
                <w:lang w:val="en-GB"/>
              </w:rPr>
              <w:tab/>
              <w:t>there is no violent reaction in Test 6a</w:t>
            </w:r>
            <w:r w:rsidR="00571FF4">
              <w:rPr>
                <w:rFonts w:ascii="Times New Roman" w:hAnsi="Times New Roman" w:cs="Times New Roman"/>
                <w:sz w:val="20"/>
                <w:szCs w:val="20"/>
                <w:lang w:val="en-GB"/>
              </w:rPr>
              <w:t xml:space="preserve"> or 6b without mass explosion; </w:t>
            </w:r>
            <w:r w:rsidRPr="00B500E4">
              <w:rPr>
                <w:rFonts w:ascii="Times New Roman" w:hAnsi="Times New Roman" w:cs="Times New Roman"/>
                <w:sz w:val="20"/>
                <w:szCs w:val="20"/>
                <w:lang w:val="en-GB"/>
              </w:rPr>
              <w:t>and</w:t>
            </w:r>
          </w:p>
          <w:p w14:paraId="5C4346CF" w14:textId="431E0F33" w:rsidR="004F0339" w:rsidRPr="00B500E4" w:rsidRDefault="004F0339" w:rsidP="00CE23AC">
            <w:pPr>
              <w:pStyle w:val="Body"/>
              <w:pBdr>
                <w:top w:val="none" w:sz="0" w:space="0" w:color="auto"/>
                <w:left w:val="none" w:sz="0" w:space="0" w:color="auto"/>
                <w:bottom w:val="none" w:sz="0" w:space="0" w:color="auto"/>
                <w:right w:val="none" w:sz="0" w:space="0" w:color="auto"/>
                <w:between w:val="none" w:sz="0" w:space="0" w:color="auto"/>
                <w:bar w:val="none" w:sz="0" w:color="auto"/>
              </w:pBdr>
              <w:ind w:left="216" w:hanging="142"/>
              <w:rPr>
                <w:rFonts w:ascii="Times New Roman" w:hAnsi="Times New Roman" w:cs="Times New Roman"/>
                <w:sz w:val="20"/>
                <w:szCs w:val="20"/>
                <w:lang w:val="en-GB"/>
              </w:rPr>
            </w:pPr>
            <w:r w:rsidRPr="00B500E4">
              <w:rPr>
                <w:rFonts w:ascii="Times New Roman" w:hAnsi="Times New Roman" w:cs="Times New Roman"/>
                <w:sz w:val="20"/>
                <w:szCs w:val="20"/>
                <w:lang w:val="en-GB"/>
              </w:rPr>
              <w:t>-</w:t>
            </w:r>
            <w:r w:rsidRPr="00B500E4">
              <w:rPr>
                <w:rFonts w:ascii="Times New Roman" w:hAnsi="Times New Roman" w:cs="Times New Roman"/>
                <w:sz w:val="20"/>
                <w:szCs w:val="20"/>
                <w:lang w:val="en-GB"/>
              </w:rPr>
              <w:tab/>
              <w:t>[for articles, the individual article or the smallest inner packaging unit fulfils the criteria of Division 1.4, Compatibility group</w:t>
            </w:r>
            <w:r w:rsidR="001757CE" w:rsidRPr="001757CE">
              <w:rPr>
                <w:rFonts w:ascii="Times New Roman" w:hAnsi="Times New Roman" w:cs="Times New Roman"/>
                <w:sz w:val="20"/>
                <w:szCs w:val="20"/>
                <w:vertAlign w:val="superscript"/>
                <w:lang w:val="en-GB"/>
              </w:rPr>
              <w:t>*</w:t>
            </w:r>
            <w:r w:rsidRPr="00B500E4">
              <w:rPr>
                <w:rFonts w:ascii="Times New Roman" w:hAnsi="Times New Roman" w:cs="Times New Roman"/>
                <w:sz w:val="20"/>
                <w:szCs w:val="20"/>
                <w:lang w:val="en-GB"/>
              </w:rPr>
              <w:t xml:space="preserve"> S, according to Test 6(d); and]</w:t>
            </w:r>
          </w:p>
          <w:p w14:paraId="1C005D73" w14:textId="77777777" w:rsidR="004F0339" w:rsidRPr="00B500E4" w:rsidRDefault="004F0339" w:rsidP="00CE23AC">
            <w:pPr>
              <w:pStyle w:val="Body"/>
              <w:pBdr>
                <w:top w:val="none" w:sz="0" w:space="0" w:color="auto"/>
                <w:left w:val="none" w:sz="0" w:space="0" w:color="auto"/>
                <w:bottom w:val="none" w:sz="0" w:space="0" w:color="auto"/>
                <w:right w:val="none" w:sz="0" w:space="0" w:color="auto"/>
                <w:between w:val="none" w:sz="0" w:space="0" w:color="auto"/>
                <w:bar w:val="none" w:sz="0" w:color="auto"/>
              </w:pBdr>
              <w:ind w:left="216" w:hanging="142"/>
              <w:rPr>
                <w:rFonts w:ascii="Times New Roman" w:hAnsi="Times New Roman" w:cs="Times New Roman"/>
                <w:color w:val="auto"/>
                <w:sz w:val="20"/>
                <w:szCs w:val="20"/>
                <w:lang w:val="en-GB"/>
              </w:rPr>
            </w:pPr>
            <w:r w:rsidRPr="00B500E4">
              <w:rPr>
                <w:rFonts w:ascii="Times New Roman" w:hAnsi="Times New Roman" w:cs="Times New Roman"/>
                <w:sz w:val="20"/>
                <w:szCs w:val="20"/>
                <w:lang w:val="en-GB"/>
              </w:rPr>
              <w:t>-</w:t>
            </w:r>
            <w:r w:rsidRPr="00B500E4">
              <w:rPr>
                <w:rFonts w:ascii="Times New Roman" w:hAnsi="Times New Roman" w:cs="Times New Roman"/>
                <w:sz w:val="20"/>
                <w:szCs w:val="20"/>
                <w:lang w:val="en-GB"/>
              </w:rPr>
              <w:tab/>
            </w:r>
            <w:r w:rsidRPr="00B500E4">
              <w:rPr>
                <w:rFonts w:ascii="Times New Roman" w:hAnsi="Times New Roman" w:cs="Times New Roman"/>
                <w:color w:val="auto"/>
                <w:sz w:val="20"/>
                <w:szCs w:val="20"/>
                <w:lang w:val="en-GB"/>
              </w:rPr>
              <w:t xml:space="preserve">[for unintentional explosives possible further criteria based on data from other tests; </w:t>
            </w:r>
            <w:r w:rsidRPr="009C7464">
              <w:rPr>
                <w:rFonts w:ascii="Times New Roman" w:hAnsi="Times New Roman" w:cs="Times New Roman"/>
                <w:color w:val="auto"/>
                <w:sz w:val="20"/>
                <w:szCs w:val="20"/>
                <w:lang w:val="en-GB"/>
              </w:rPr>
              <w:t>and</w:t>
            </w:r>
            <w:r w:rsidRPr="00B500E4">
              <w:rPr>
                <w:rFonts w:ascii="Times New Roman" w:hAnsi="Times New Roman" w:cs="Times New Roman"/>
                <w:color w:val="auto"/>
                <w:sz w:val="20"/>
                <w:szCs w:val="20"/>
                <w:lang w:val="en-GB"/>
              </w:rPr>
              <w:t>]</w:t>
            </w:r>
          </w:p>
          <w:p w14:paraId="550DCDFB" w14:textId="7A959A1E" w:rsidR="004F0339" w:rsidRPr="00B500E4" w:rsidRDefault="004F0339" w:rsidP="00CE23AC">
            <w:pPr>
              <w:pStyle w:val="ListParagraph"/>
              <w:numPr>
                <w:ilvl w:val="0"/>
                <w:numId w:val="42"/>
              </w:numPr>
              <w:suppressAutoHyphens w:val="0"/>
              <w:spacing w:after="160" w:line="259" w:lineRule="auto"/>
              <w:ind w:left="216" w:hanging="142"/>
            </w:pPr>
            <w:r w:rsidRPr="00B500E4">
              <w:rPr>
                <w:i/>
              </w:rPr>
              <w:t>[the explosive is C</w:t>
            </w:r>
            <w:r>
              <w:rPr>
                <w:i/>
              </w:rPr>
              <w:t xml:space="preserve">ompatibility </w:t>
            </w:r>
            <w:r w:rsidRPr="00B500E4">
              <w:rPr>
                <w:i/>
              </w:rPr>
              <w:t>g</w:t>
            </w:r>
            <w:r>
              <w:rPr>
                <w:i/>
              </w:rPr>
              <w:t>roup</w:t>
            </w:r>
            <w:r w:rsidR="001757CE" w:rsidRPr="001757CE">
              <w:rPr>
                <w:i/>
                <w:vertAlign w:val="superscript"/>
              </w:rPr>
              <w:t>*</w:t>
            </w:r>
            <w:r w:rsidRPr="00B500E4">
              <w:rPr>
                <w:i/>
              </w:rPr>
              <w:t xml:space="preserve"> C or G outside of the packaging.]</w:t>
            </w:r>
          </w:p>
        </w:tc>
      </w:tr>
    </w:tbl>
    <w:p w14:paraId="121DAA3B" w14:textId="19E4EDC9" w:rsidR="00415093" w:rsidRPr="00415093" w:rsidRDefault="00B85BD2" w:rsidP="00415093">
      <w:pPr>
        <w:rPr>
          <w:sz w:val="18"/>
        </w:rPr>
      </w:pPr>
      <w:r>
        <w:rPr>
          <w:noProof/>
        </w:rPr>
        <mc:AlternateContent>
          <mc:Choice Requires="wps">
            <w:drawing>
              <wp:anchor distT="45720" distB="45720" distL="114300" distR="114300" simplePos="0" relativeHeight="251663360" behindDoc="0" locked="0" layoutInCell="1" allowOverlap="1" wp14:anchorId="5C390C7D" wp14:editId="32175413">
                <wp:simplePos x="0" y="0"/>
                <wp:positionH relativeFrom="column">
                  <wp:posOffset>-788145</wp:posOffset>
                </wp:positionH>
                <wp:positionV relativeFrom="paragraph">
                  <wp:posOffset>-121340</wp:posOffset>
                </wp:positionV>
                <wp:extent cx="2360930" cy="325755"/>
                <wp:effectExtent l="0" t="0" r="17780"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5755"/>
                        </a:xfrm>
                        <a:prstGeom prst="rect">
                          <a:avLst/>
                        </a:prstGeom>
                        <a:solidFill>
                          <a:srgbClr val="FFFFFF"/>
                        </a:solidFill>
                        <a:ln w="9525">
                          <a:solidFill>
                            <a:schemeClr val="bg1"/>
                          </a:solidFill>
                          <a:miter lim="800000"/>
                          <a:headEnd/>
                          <a:tailEnd/>
                        </a:ln>
                      </wps:spPr>
                      <wps:txbx>
                        <w:txbxContent>
                          <w:p w14:paraId="1E6EF6AC" w14:textId="1E1B507E" w:rsidR="00B85BD2" w:rsidRPr="00B85BD2" w:rsidRDefault="00B85BD2">
                            <w:pPr>
                              <w:rPr>
                                <w:b/>
                                <w:bCs/>
                              </w:rPr>
                            </w:pPr>
                            <w:r w:rsidRPr="00B85BD2">
                              <w:rPr>
                                <w:b/>
                                <w:bCs/>
                              </w:rPr>
                              <w:t>5</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5C390C7D" id="_x0000_s1027" type="#_x0000_t202" style="position:absolute;margin-left:-62.05pt;margin-top:-9.55pt;width:185.9pt;height:25.6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" strokecolor="white [3212]">
                <v:textbox style="layout-flow:vertical-ideographic;mso-fit-shape-to-text:t">
                  <w:txbxContent>
                    <w:p w14:paraId="1E6EF6AC" w14:textId="1E1B507E" w:rsidR="00B85BD2" w:rsidRPr="00B85BD2" w:rsidRDefault="00B85BD2">
                      <w:pPr>
                        <w:rPr>
                          <w:b/>
                          <w:bCs/>
                        </w:rPr>
                      </w:pPr>
                      <w:r w:rsidRPr="00B85BD2">
                        <w:rPr>
                          <w:b/>
                          <w:bCs/>
                        </w:rPr>
                        <w:t>5</w:t>
                      </w:r>
                    </w:p>
                  </w:txbxContent>
                </v:textbox>
                <w10:wrap type="square"/>
              </v:shape>
            </w:pict>
          </mc:Fallback>
        </mc:AlternateContent>
      </w:r>
      <w:r w:rsidR="00415093" w:rsidRPr="00415093">
        <w:rPr>
          <w:noProof/>
          <w:sz w:val="18"/>
        </w:rPr>
        <mc:AlternateContent>
          <mc:Choice Requires="wps">
            <w:drawing>
              <wp:anchor distT="45720" distB="45720" distL="114300" distR="114300" simplePos="0" relativeHeight="251659264" behindDoc="0" locked="0" layoutInCell="1" allowOverlap="1" wp14:anchorId="7633F107" wp14:editId="5AAAB63D">
                <wp:simplePos x="0" y="0"/>
                <wp:positionH relativeFrom="column">
                  <wp:posOffset>3519170</wp:posOffset>
                </wp:positionH>
                <wp:positionV relativeFrom="page">
                  <wp:posOffset>6927850</wp:posOffset>
                </wp:positionV>
                <wp:extent cx="1200150" cy="2527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2730"/>
                        </a:xfrm>
                        <a:prstGeom prst="rect">
                          <a:avLst/>
                        </a:prstGeom>
                        <a:solidFill>
                          <a:srgbClr val="FFFFFF"/>
                        </a:solidFill>
                        <a:ln w="9525">
                          <a:solidFill>
                            <a:schemeClr val="bg1"/>
                          </a:solidFill>
                          <a:miter lim="800000"/>
                          <a:headEnd/>
                          <a:tailEnd/>
                        </a:ln>
                      </wps:spPr>
                      <wps:txbx>
                        <w:txbxContent>
                          <w:p w14:paraId="7920D1AE" w14:textId="4C1674BA" w:rsidR="00415093" w:rsidRDefault="00415093">
                            <w:r>
                              <w:t>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3F107" id="_x0000_s1028" type="#_x0000_t202" style="position:absolute;margin-left:277.1pt;margin-top:545.5pt;width:94.5pt;height:1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" strokecolor="white [3212]">
                <v:textbox style="mso-fit-shape-to-text:t">
                  <w:txbxContent>
                    <w:p w14:paraId="7920D1AE" w14:textId="4C1674BA" w:rsidR="00415093" w:rsidRDefault="00415093">
                      <w:r>
                        <w:t>_______________</w:t>
                      </w:r>
                    </w:p>
                  </w:txbxContent>
                </v:textbox>
                <w10:wrap type="square" anchory="page"/>
              </v:shape>
            </w:pict>
          </mc:Fallback>
        </mc:AlternateContent>
      </w:r>
      <w:r w:rsidR="001757CE" w:rsidRPr="001E796B">
        <w:rPr>
          <w:sz w:val="18"/>
        </w:rPr>
        <w:t xml:space="preserve">* Compatibility groups are </w:t>
      </w:r>
      <w:r w:rsidR="006B5AC8" w:rsidRPr="001E796B">
        <w:rPr>
          <w:sz w:val="18"/>
        </w:rPr>
        <w:t>defined</w:t>
      </w:r>
      <w:r w:rsidR="001757CE" w:rsidRPr="001E796B">
        <w:rPr>
          <w:sz w:val="18"/>
        </w:rPr>
        <w:t xml:space="preserve"> in Chapter 2.1, section 2.1.2, of the Model Regulations.</w:t>
      </w:r>
    </w:p>
    <w:sectPr w:rsidR="00415093" w:rsidRPr="00415093" w:rsidSect="000729A1">
      <w:headerReference w:type="even" r:id="rId13"/>
      <w:headerReference w:type="first" r:id="rId14"/>
      <w:endnotePr>
        <w:numFmt w:val="decimal"/>
      </w:endnotePr>
      <w:pgSz w:w="16840" w:h="11907" w:orient="landscape" w:code="9"/>
      <w:pgMar w:top="1134" w:right="1701" w:bottom="993" w:left="2268"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0B673" w14:textId="77777777" w:rsidR="00D11B8B" w:rsidRDefault="00D11B8B"/>
  </w:endnote>
  <w:endnote w:type="continuationSeparator" w:id="0">
    <w:p w14:paraId="75A06CCB" w14:textId="77777777" w:rsidR="00D11B8B" w:rsidRDefault="00D11B8B"/>
  </w:endnote>
  <w:endnote w:type="continuationNotice" w:id="1">
    <w:p w14:paraId="4B337F78" w14:textId="77777777" w:rsidR="00D11B8B" w:rsidRDefault="00D11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0B70" w14:textId="011A2A9E" w:rsidR="00184FCD" w:rsidRPr="0095385C" w:rsidRDefault="00184FCD" w:rsidP="0095385C">
    <w:pPr>
      <w:pStyle w:val="Footer"/>
      <w:tabs>
        <w:tab w:val="right" w:pos="9638"/>
      </w:tabs>
      <w:rPr>
        <w:sz w:val="18"/>
      </w:rPr>
    </w:pPr>
    <w:r w:rsidRPr="0095385C">
      <w:rPr>
        <w:b/>
        <w:sz w:val="18"/>
      </w:rPr>
      <w:fldChar w:fldCharType="begin"/>
    </w:r>
    <w:r w:rsidRPr="0095385C">
      <w:rPr>
        <w:b/>
        <w:sz w:val="18"/>
      </w:rPr>
      <w:instrText xml:space="preserve"> PAGE  \* MERGEFORMAT </w:instrText>
    </w:r>
    <w:r w:rsidRPr="0095385C">
      <w:rPr>
        <w:b/>
        <w:sz w:val="18"/>
      </w:rPr>
      <w:fldChar w:fldCharType="separate"/>
    </w:r>
    <w:r w:rsidR="007512DE">
      <w:rPr>
        <w:b/>
        <w:noProof/>
        <w:sz w:val="18"/>
      </w:rPr>
      <w:t>4</w:t>
    </w:r>
    <w:r w:rsidRPr="0095385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BC77" w14:textId="3C305728" w:rsidR="00184FCD" w:rsidRPr="0095385C" w:rsidRDefault="00184FCD" w:rsidP="0095385C">
    <w:pPr>
      <w:pStyle w:val="Footer"/>
      <w:tabs>
        <w:tab w:val="right" w:pos="9638"/>
      </w:tabs>
      <w:rPr>
        <w:b/>
        <w:sz w:val="18"/>
      </w:rPr>
    </w:pPr>
    <w:r>
      <w:tab/>
    </w:r>
    <w:r w:rsidRPr="0095385C">
      <w:rPr>
        <w:b/>
        <w:sz w:val="18"/>
      </w:rPr>
      <w:fldChar w:fldCharType="begin"/>
    </w:r>
    <w:r w:rsidRPr="0095385C">
      <w:rPr>
        <w:b/>
        <w:sz w:val="18"/>
      </w:rPr>
      <w:instrText xml:space="preserve"> PAGE  \* MERGEFORMAT </w:instrText>
    </w:r>
    <w:r w:rsidRPr="0095385C">
      <w:rPr>
        <w:b/>
        <w:sz w:val="18"/>
      </w:rPr>
      <w:fldChar w:fldCharType="separate"/>
    </w:r>
    <w:r w:rsidR="007512DE">
      <w:rPr>
        <w:b/>
        <w:noProof/>
        <w:sz w:val="18"/>
      </w:rPr>
      <w:t>3</w:t>
    </w:r>
    <w:r w:rsidRPr="0095385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4E0DF" w14:textId="77777777" w:rsidR="00D11B8B" w:rsidRPr="000B175B" w:rsidRDefault="00D11B8B" w:rsidP="000B175B">
      <w:pPr>
        <w:tabs>
          <w:tab w:val="right" w:pos="2155"/>
        </w:tabs>
        <w:spacing w:after="80"/>
        <w:ind w:left="680"/>
        <w:rPr>
          <w:u w:val="single"/>
        </w:rPr>
      </w:pPr>
      <w:r>
        <w:rPr>
          <w:u w:val="single"/>
        </w:rPr>
        <w:tab/>
      </w:r>
    </w:p>
  </w:footnote>
  <w:footnote w:type="continuationSeparator" w:id="0">
    <w:p w14:paraId="69239059" w14:textId="77777777" w:rsidR="00D11B8B" w:rsidRPr="00FC68B7" w:rsidRDefault="00D11B8B" w:rsidP="00FC68B7">
      <w:pPr>
        <w:tabs>
          <w:tab w:val="left" w:pos="2155"/>
        </w:tabs>
        <w:spacing w:after="80"/>
        <w:ind w:left="680"/>
        <w:rPr>
          <w:u w:val="single"/>
        </w:rPr>
      </w:pPr>
      <w:r>
        <w:rPr>
          <w:u w:val="single"/>
        </w:rPr>
        <w:tab/>
      </w:r>
    </w:p>
  </w:footnote>
  <w:footnote w:type="continuationNotice" w:id="1">
    <w:p w14:paraId="182904AC" w14:textId="77777777" w:rsidR="00D11B8B" w:rsidRDefault="00D11B8B"/>
  </w:footnote>
  <w:footnote w:id="2">
    <w:p w14:paraId="7F681350" w14:textId="28DDA725" w:rsidR="00FF62DA" w:rsidRPr="00FF62DA" w:rsidRDefault="00FF62DA" w:rsidP="00D107C8">
      <w:pPr>
        <w:pStyle w:val="FootnoteText"/>
        <w:tabs>
          <w:tab w:val="left" w:pos="1418"/>
        </w:tabs>
        <w:ind w:firstLine="0"/>
        <w:rPr>
          <w:lang w:val="fr-CH"/>
        </w:rPr>
      </w:pPr>
      <w:r>
        <w:rPr>
          <w:rStyle w:val="FootnoteReference"/>
        </w:rPr>
        <w:t>*</w:t>
      </w:r>
      <w:r w:rsidR="00D107C8">
        <w:tab/>
      </w:r>
      <w:r w:rsidRPr="00AB3462">
        <w:rPr>
          <w:szCs w:val="18"/>
        </w:rPr>
        <w:t>In accordance with the programme of work of the S</w:t>
      </w:r>
      <w:r>
        <w:rPr>
          <w:szCs w:val="18"/>
        </w:rPr>
        <w:t xml:space="preserve">CEGHS </w:t>
      </w:r>
      <w:r w:rsidRPr="00AB3462">
        <w:rPr>
          <w:szCs w:val="18"/>
        </w:rPr>
        <w:t>for 2017–2018 approved by the Committee at its eighth session (</w:t>
      </w:r>
      <w:r w:rsidRPr="009445DA">
        <w:rPr>
          <w:szCs w:val="18"/>
        </w:rPr>
        <w:t>ST/SG/AC.10/C.4/64</w:t>
      </w:r>
      <w:r>
        <w:rPr>
          <w:szCs w:val="18"/>
        </w:rPr>
        <w:t xml:space="preserve">, paragraph 67, and </w:t>
      </w:r>
      <w:r w:rsidRPr="00AB3462">
        <w:rPr>
          <w:szCs w:val="18"/>
        </w:rPr>
        <w:t>ST/SG/AC.10/44, paragraph 14).</w:t>
      </w:r>
    </w:p>
  </w:footnote>
  <w:footnote w:id="3">
    <w:p w14:paraId="4B6CDA52" w14:textId="791D48A4" w:rsidR="00FF62DA" w:rsidRPr="00FF62DA" w:rsidRDefault="00FF62DA" w:rsidP="00D107C8">
      <w:pPr>
        <w:pStyle w:val="FootnoteText"/>
        <w:tabs>
          <w:tab w:val="left" w:pos="1418"/>
        </w:tabs>
        <w:ind w:firstLine="0"/>
        <w:rPr>
          <w:lang w:val="fr-CH"/>
        </w:rPr>
      </w:pPr>
      <w:r>
        <w:rPr>
          <w:rStyle w:val="FootnoteReference"/>
        </w:rPr>
        <w:t>1</w:t>
      </w:r>
      <w:r>
        <w:t xml:space="preserve"> </w:t>
      </w:r>
      <w:r w:rsidR="00D107C8">
        <w:tab/>
      </w:r>
      <w:r>
        <w:rPr>
          <w:szCs w:val="18"/>
        </w:rPr>
        <w:t xml:space="preserve">See </w:t>
      </w:r>
      <w:r w:rsidRPr="00AB3462">
        <w:rPr>
          <w:szCs w:val="18"/>
        </w:rPr>
        <w:t>section III</w:t>
      </w:r>
      <w:r>
        <w:rPr>
          <w:szCs w:val="18"/>
        </w:rPr>
        <w:t>,</w:t>
      </w:r>
      <w:r w:rsidRPr="00AB3462">
        <w:rPr>
          <w:szCs w:val="18"/>
        </w:rPr>
        <w:t xml:space="preserve"> sub-section A</w:t>
      </w:r>
      <w:r>
        <w:rPr>
          <w:szCs w:val="18"/>
        </w:rPr>
        <w:t>,</w:t>
      </w:r>
      <w:r w:rsidRPr="00AB3462">
        <w:rPr>
          <w:szCs w:val="18"/>
        </w:rPr>
        <w:t xml:space="preserve"> of the report</w:t>
      </w:r>
      <w:r>
        <w:rPr>
          <w:szCs w:val="18"/>
        </w:rPr>
        <w:t xml:space="preserve"> from the </w:t>
      </w:r>
      <w:r w:rsidR="00D107C8">
        <w:rPr>
          <w:szCs w:val="18"/>
        </w:rPr>
        <w:t>twenty-ninth</w:t>
      </w:r>
      <w:r>
        <w:rPr>
          <w:szCs w:val="18"/>
        </w:rPr>
        <w:t xml:space="preserve"> session of the </w:t>
      </w:r>
      <w:r w:rsidR="00D107C8">
        <w:rPr>
          <w:szCs w:val="18"/>
        </w:rPr>
        <w:t xml:space="preserve">Sub-Committee of Experts on the Globally Harmonized </w:t>
      </w:r>
      <w:r w:rsidR="00D107C8" w:rsidRPr="00D107C8">
        <w:rPr>
          <w:rStyle w:val="SingleTxtGChar"/>
        </w:rPr>
        <w:t>System of Classification and Labelling of Chemicals</w:t>
      </w:r>
      <w:r w:rsidRPr="00D107C8">
        <w:rPr>
          <w:rStyle w:val="SingleTxtGChar"/>
        </w:rPr>
        <w:t>,</w:t>
      </w:r>
      <w:r w:rsidRPr="00AB3462">
        <w:rPr>
          <w:szCs w:val="18"/>
        </w:rPr>
        <w:t xml:space="preserve"> ST/SG/AC.10/C.4/58</w:t>
      </w:r>
      <w:r w:rsidR="00D107C8">
        <w:rPr>
          <w:szCs w:val="18"/>
        </w:rPr>
        <w:t>.</w:t>
      </w:r>
    </w:p>
  </w:footnote>
  <w:footnote w:id="4">
    <w:p w14:paraId="5418579A" w14:textId="7B77A1D1" w:rsidR="00FF62DA" w:rsidRPr="00FF62DA" w:rsidRDefault="00FF62DA" w:rsidP="00D107C8">
      <w:pPr>
        <w:pStyle w:val="FootnoteText"/>
        <w:tabs>
          <w:tab w:val="left" w:pos="1418"/>
        </w:tabs>
        <w:ind w:firstLine="0"/>
        <w:rPr>
          <w:lang w:val="fr-CH"/>
        </w:rPr>
      </w:pPr>
      <w:r>
        <w:rPr>
          <w:rStyle w:val="FootnoteReference"/>
        </w:rPr>
        <w:t>2</w:t>
      </w:r>
      <w:r>
        <w:t xml:space="preserve"> </w:t>
      </w:r>
      <w:r w:rsidR="00D107C8">
        <w:tab/>
      </w:r>
      <w:r w:rsidRPr="00AB3462">
        <w:rPr>
          <w:szCs w:val="18"/>
        </w:rPr>
        <w:t xml:space="preserve">See </w:t>
      </w:r>
      <w:r w:rsidR="00D107C8">
        <w:rPr>
          <w:szCs w:val="18"/>
        </w:rPr>
        <w:t xml:space="preserve">informal documents </w:t>
      </w:r>
      <w:r w:rsidRPr="00AB3462">
        <w:rPr>
          <w:szCs w:val="18"/>
        </w:rPr>
        <w:t>INF.10</w:t>
      </w:r>
      <w:r w:rsidR="00D107C8">
        <w:rPr>
          <w:szCs w:val="18"/>
        </w:rPr>
        <w:t xml:space="preserve"> (GHS, thirty-fourth session)</w:t>
      </w:r>
      <w:r w:rsidRPr="00AB3462">
        <w:rPr>
          <w:szCs w:val="18"/>
        </w:rPr>
        <w:t xml:space="preserve"> -</w:t>
      </w:r>
      <w:r w:rsidR="00D107C8">
        <w:rPr>
          <w:szCs w:val="18"/>
        </w:rPr>
        <w:t xml:space="preserve"> </w:t>
      </w:r>
      <w:r w:rsidR="007512DE">
        <w:rPr>
          <w:szCs w:val="18"/>
        </w:rPr>
        <w:t>INF20</w:t>
      </w:r>
      <w:r w:rsidRPr="00AB3462">
        <w:rPr>
          <w:szCs w:val="18"/>
        </w:rPr>
        <w:t xml:space="preserve"> </w:t>
      </w:r>
      <w:r w:rsidR="00D107C8">
        <w:rPr>
          <w:szCs w:val="18"/>
        </w:rPr>
        <w:t>(TDG, fifty-second session)</w:t>
      </w:r>
      <w:r w:rsidR="007512DE">
        <w:rPr>
          <w:szCs w:val="18"/>
        </w:rPr>
        <w:t>,</w:t>
      </w:r>
      <w:r w:rsidR="00D107C8">
        <w:rPr>
          <w:szCs w:val="18"/>
        </w:rPr>
        <w:t xml:space="preserve"> </w:t>
      </w:r>
      <w:r w:rsidRPr="00AB3462">
        <w:rPr>
          <w:szCs w:val="18"/>
        </w:rPr>
        <w:t xml:space="preserve">INF.7 </w:t>
      </w:r>
      <w:r w:rsidR="00D107C8">
        <w:rPr>
          <w:szCs w:val="18"/>
        </w:rPr>
        <w:t xml:space="preserve">(GHS, thirty-third session) </w:t>
      </w:r>
      <w:r w:rsidRPr="00AB3462">
        <w:rPr>
          <w:szCs w:val="18"/>
        </w:rPr>
        <w:t>- INF.15</w:t>
      </w:r>
      <w:r w:rsidR="00D107C8">
        <w:rPr>
          <w:szCs w:val="18"/>
        </w:rPr>
        <w:t xml:space="preserve"> (TDG, fifty-first session)</w:t>
      </w:r>
      <w:r w:rsidR="007512DE">
        <w:rPr>
          <w:szCs w:val="18"/>
        </w:rPr>
        <w:t>,</w:t>
      </w:r>
      <w:r w:rsidR="00D107C8">
        <w:rPr>
          <w:szCs w:val="18"/>
        </w:rPr>
        <w:t xml:space="preserve"> </w:t>
      </w:r>
      <w:r w:rsidRPr="00AB3462">
        <w:rPr>
          <w:szCs w:val="18"/>
        </w:rPr>
        <w:t xml:space="preserve">INF.8 </w:t>
      </w:r>
      <w:r w:rsidR="00D107C8">
        <w:rPr>
          <w:szCs w:val="18"/>
        </w:rPr>
        <w:t xml:space="preserve">(GHS, thirty-second session) </w:t>
      </w:r>
      <w:r w:rsidRPr="00AB3462">
        <w:rPr>
          <w:szCs w:val="18"/>
        </w:rPr>
        <w:t>- INF.11</w:t>
      </w:r>
      <w:r w:rsidR="00D107C8">
        <w:rPr>
          <w:szCs w:val="18"/>
        </w:rPr>
        <w:t xml:space="preserve"> (TDG, fiftieth session)</w:t>
      </w:r>
      <w:r w:rsidR="007512DE">
        <w:rPr>
          <w:szCs w:val="18"/>
        </w:rPr>
        <w:t>,</w:t>
      </w:r>
      <w:r w:rsidR="00D107C8">
        <w:rPr>
          <w:szCs w:val="18"/>
        </w:rPr>
        <w:t xml:space="preserve"> </w:t>
      </w:r>
      <w:r w:rsidRPr="00AB3462">
        <w:rPr>
          <w:szCs w:val="18"/>
        </w:rPr>
        <w:t>INF.10</w:t>
      </w:r>
      <w:r w:rsidR="00D107C8">
        <w:rPr>
          <w:szCs w:val="18"/>
        </w:rPr>
        <w:t xml:space="preserve"> (GHS, thirty-first session) </w:t>
      </w:r>
      <w:r w:rsidRPr="00AB3462">
        <w:rPr>
          <w:szCs w:val="18"/>
        </w:rPr>
        <w:t>- INF.37</w:t>
      </w:r>
      <w:r w:rsidR="00D107C8">
        <w:rPr>
          <w:szCs w:val="18"/>
        </w:rPr>
        <w:t>(TDG, forty-ninth session)</w:t>
      </w:r>
      <w:r w:rsidR="007512DE">
        <w:rPr>
          <w:szCs w:val="18"/>
        </w:rPr>
        <w:t>,</w:t>
      </w:r>
      <w:r w:rsidR="00D107C8">
        <w:rPr>
          <w:szCs w:val="18"/>
        </w:rPr>
        <w:t xml:space="preserve"> </w:t>
      </w:r>
      <w:r w:rsidRPr="00AB3462">
        <w:rPr>
          <w:szCs w:val="18"/>
        </w:rPr>
        <w:t>INF.9</w:t>
      </w:r>
      <w:r w:rsidR="00D107C8">
        <w:rPr>
          <w:szCs w:val="18"/>
        </w:rPr>
        <w:t xml:space="preserve"> (GHS, thirtieth session) </w:t>
      </w:r>
      <w:r w:rsidR="007512DE">
        <w:rPr>
          <w:szCs w:val="18"/>
        </w:rPr>
        <w:t xml:space="preserve">- </w:t>
      </w:r>
      <w:r w:rsidRPr="00AB3462">
        <w:rPr>
          <w:szCs w:val="18"/>
        </w:rPr>
        <w:t>INF.32</w:t>
      </w:r>
      <w:r w:rsidR="00D107C8">
        <w:rPr>
          <w:szCs w:val="18"/>
        </w:rPr>
        <w:t xml:space="preserve"> (TDG, forty-eighth session).</w:t>
      </w:r>
    </w:p>
  </w:footnote>
  <w:footnote w:id="5">
    <w:p w14:paraId="445D7413" w14:textId="1BE56DB7" w:rsidR="00FF62DA" w:rsidRPr="00FF62DA" w:rsidRDefault="00FF62DA" w:rsidP="00D107C8">
      <w:pPr>
        <w:pStyle w:val="FootnoteText"/>
        <w:tabs>
          <w:tab w:val="left" w:pos="1418"/>
        </w:tabs>
        <w:ind w:firstLine="0"/>
        <w:rPr>
          <w:lang w:val="fr-CH"/>
        </w:rPr>
      </w:pPr>
      <w:r>
        <w:rPr>
          <w:rStyle w:val="FootnoteReference"/>
        </w:rPr>
        <w:t>3</w:t>
      </w:r>
      <w:r>
        <w:t xml:space="preserve"> </w:t>
      </w:r>
      <w:r w:rsidR="00D107C8">
        <w:tab/>
      </w:r>
      <w:r w:rsidRPr="00AB3462">
        <w:rPr>
          <w:szCs w:val="18"/>
        </w:rPr>
        <w:t xml:space="preserve">See </w:t>
      </w:r>
      <w:r w:rsidR="00D107C8">
        <w:rPr>
          <w:szCs w:val="18"/>
        </w:rPr>
        <w:t>informal document</w:t>
      </w:r>
      <w:r w:rsidR="00261F53">
        <w:rPr>
          <w:szCs w:val="18"/>
        </w:rPr>
        <w:t xml:space="preserve"> </w:t>
      </w:r>
      <w:r w:rsidRPr="00AB3462">
        <w:rPr>
          <w:szCs w:val="18"/>
        </w:rPr>
        <w:t xml:space="preserve">INF.13 </w:t>
      </w:r>
      <w:r w:rsidR="00261F53">
        <w:rPr>
          <w:szCs w:val="18"/>
        </w:rPr>
        <w:t xml:space="preserve">(GHS, thirty-third session) </w:t>
      </w:r>
      <w:r w:rsidR="007512DE">
        <w:rPr>
          <w:szCs w:val="18"/>
        </w:rPr>
        <w:t>-</w:t>
      </w:r>
      <w:r w:rsidRPr="00AB3462">
        <w:rPr>
          <w:szCs w:val="18"/>
        </w:rPr>
        <w:t xml:space="preserve"> INF.44 </w:t>
      </w:r>
      <w:r w:rsidR="00261F53">
        <w:rPr>
          <w:szCs w:val="18"/>
        </w:rPr>
        <w:t xml:space="preserve">(TDG, fifty-first session) </w:t>
      </w:r>
      <w:r w:rsidRPr="00AB3462">
        <w:rPr>
          <w:szCs w:val="18"/>
        </w:rPr>
        <w:t>and section III, sub-sect</w:t>
      </w:r>
      <w:r>
        <w:rPr>
          <w:szCs w:val="18"/>
        </w:rPr>
        <w:t xml:space="preserve">ion B of the report from the </w:t>
      </w:r>
      <w:r w:rsidR="00261F53">
        <w:rPr>
          <w:szCs w:val="18"/>
        </w:rPr>
        <w:t>thirty-third</w:t>
      </w:r>
      <w:r w:rsidRPr="00AB3462">
        <w:rPr>
          <w:szCs w:val="18"/>
        </w:rPr>
        <w:t xml:space="preserve"> session of the SCEGHS, ST/SG/AC.10/C.4/66</w:t>
      </w:r>
      <w:r w:rsidR="00261F53">
        <w:rPr>
          <w:szCs w:val="18"/>
        </w:rPr>
        <w:t>.</w:t>
      </w:r>
    </w:p>
  </w:footnote>
  <w:footnote w:id="6">
    <w:p w14:paraId="6C226E28" w14:textId="6368017D" w:rsidR="00FF62DA" w:rsidRPr="00FF62DA" w:rsidRDefault="00FF62DA" w:rsidP="00261F53">
      <w:pPr>
        <w:pStyle w:val="FootnoteText"/>
        <w:tabs>
          <w:tab w:val="left" w:pos="1418"/>
        </w:tabs>
        <w:ind w:firstLine="0"/>
        <w:rPr>
          <w:lang w:val="fr-CH"/>
        </w:rPr>
      </w:pPr>
      <w:r>
        <w:rPr>
          <w:rStyle w:val="FootnoteReference"/>
        </w:rPr>
        <w:t>4</w:t>
      </w:r>
      <w:r>
        <w:t xml:space="preserve"> </w:t>
      </w:r>
      <w:r w:rsidR="00261F53">
        <w:tab/>
        <w:t xml:space="preserve">Informal document </w:t>
      </w:r>
      <w:r w:rsidRPr="00783BA9">
        <w:rPr>
          <w:lang w:val="en-US"/>
        </w:rPr>
        <w:t xml:space="preserve">INF.10 </w:t>
      </w:r>
      <w:r w:rsidR="00261F53">
        <w:rPr>
          <w:lang w:val="en-US"/>
        </w:rPr>
        <w:t xml:space="preserve">(GHS, thirty-fourth session) </w:t>
      </w:r>
      <w:r w:rsidRPr="00783BA9">
        <w:rPr>
          <w:lang w:val="en-US"/>
        </w:rPr>
        <w:t>- INF20</w:t>
      </w:r>
      <w:r w:rsidR="00261F53">
        <w:rPr>
          <w:lang w:val="en-US"/>
        </w:rPr>
        <w:t xml:space="preserve"> (TDG, fifty-second session).</w:t>
      </w:r>
    </w:p>
  </w:footnote>
  <w:footnote w:id="7">
    <w:p w14:paraId="58F17802" w14:textId="76C27F15" w:rsidR="00FF62DA" w:rsidRPr="00FF62DA" w:rsidRDefault="00FF62DA" w:rsidP="00261F53">
      <w:pPr>
        <w:pStyle w:val="FootnoteText"/>
        <w:tabs>
          <w:tab w:val="left" w:pos="1418"/>
        </w:tabs>
        <w:ind w:firstLine="0"/>
        <w:rPr>
          <w:lang w:val="fr-CH"/>
        </w:rPr>
      </w:pPr>
      <w:r>
        <w:rPr>
          <w:rStyle w:val="FootnoteReference"/>
        </w:rPr>
        <w:t>5</w:t>
      </w:r>
      <w:r>
        <w:t xml:space="preserve"> </w:t>
      </w:r>
      <w:r w:rsidR="00261F53">
        <w:tab/>
      </w:r>
      <w:r w:rsidRPr="008E424C">
        <w:t xml:space="preserve">See </w:t>
      </w:r>
      <w:r>
        <w:t xml:space="preserve">also </w:t>
      </w:r>
      <w:r w:rsidRPr="008E424C">
        <w:t>the initiating paper from the expert from Australia, ST/SG/AC.10/C.3/2014/79−ST/SG/AC.10/C.4/2014/15</w:t>
      </w:r>
      <w:r w:rsidR="007512DE">
        <w:t>.</w:t>
      </w:r>
    </w:p>
  </w:footnote>
  <w:footnote w:id="8">
    <w:p w14:paraId="48A982C9" w14:textId="0BC7418C" w:rsidR="00571FF4" w:rsidRPr="00571FF4" w:rsidRDefault="00571FF4" w:rsidP="00261F53">
      <w:pPr>
        <w:pStyle w:val="FootnoteText"/>
        <w:tabs>
          <w:tab w:val="left" w:pos="1418"/>
        </w:tabs>
        <w:ind w:firstLine="0"/>
        <w:rPr>
          <w:lang w:val="fr-CH"/>
        </w:rPr>
      </w:pPr>
      <w:r>
        <w:rPr>
          <w:rStyle w:val="FootnoteReference"/>
        </w:rPr>
        <w:t>6</w:t>
      </w:r>
      <w:r>
        <w:t xml:space="preserve"> </w:t>
      </w:r>
      <w:r w:rsidR="00261F53">
        <w:tab/>
        <w:t>See informal document INF.20 (GHS, thirty-fourth session) – INF.57 (TDG, fifty-seventh session).</w:t>
      </w:r>
    </w:p>
  </w:footnote>
  <w:footnote w:id="9">
    <w:p w14:paraId="4BAF2592" w14:textId="12775368" w:rsidR="00571FF4" w:rsidRPr="00571FF4" w:rsidRDefault="00571FF4" w:rsidP="007512DE">
      <w:pPr>
        <w:pStyle w:val="FootnoteText"/>
        <w:tabs>
          <w:tab w:val="left" w:pos="1418"/>
        </w:tabs>
        <w:ind w:firstLine="0"/>
        <w:rPr>
          <w:lang w:val="fr-CH"/>
        </w:rPr>
      </w:pPr>
      <w:r>
        <w:rPr>
          <w:rStyle w:val="FootnoteReference"/>
        </w:rPr>
        <w:t>7</w:t>
      </w:r>
      <w:r w:rsidR="007512DE">
        <w:tab/>
      </w:r>
      <w:r>
        <w:t>Views are divided within the ICG on whether a Division in principle can also be assigned in other situations than in the transport packaging or configuration.</w:t>
      </w:r>
    </w:p>
  </w:footnote>
  <w:footnote w:id="10">
    <w:p w14:paraId="49F1D3BD" w14:textId="723B1113" w:rsidR="00571FF4" w:rsidRPr="00571FF4" w:rsidRDefault="00571FF4" w:rsidP="007512DE">
      <w:pPr>
        <w:pStyle w:val="FootnoteText"/>
        <w:tabs>
          <w:tab w:val="left" w:pos="1418"/>
        </w:tabs>
        <w:ind w:firstLine="0"/>
        <w:rPr>
          <w:lang w:val="fr-CH"/>
        </w:rPr>
      </w:pPr>
      <w:r>
        <w:rPr>
          <w:rStyle w:val="FootnoteReference"/>
        </w:rPr>
        <w:t>8</w:t>
      </w:r>
      <w:r>
        <w:t xml:space="preserve"> </w:t>
      </w:r>
      <w:r w:rsidR="007512DE">
        <w:tab/>
      </w:r>
      <w:bookmarkStart w:id="0" w:name="_GoBack"/>
      <w:bookmarkEnd w:id="0"/>
      <w:r w:rsidRPr="00A931E6">
        <w:t>It is recognised that other symbols are used for Divisions 1.4, 1.5 and 1.6 for transport, according to the Model Regulations. No changes to these are intended.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2F85" w14:textId="226EF271" w:rsidR="00184FCD" w:rsidRPr="0095385C" w:rsidRDefault="00184FCD">
    <w:pPr>
      <w:pStyle w:val="Header"/>
    </w:pPr>
    <w:r>
      <w:t>ST/SG/AC.10/C.3/2018/</w:t>
    </w:r>
    <w:r w:rsidR="00FF62DA">
      <w:t>33</w:t>
    </w:r>
    <w:r w:rsidR="006C1858">
      <w:br/>
      <w:t>ST/SG/AC.10/C.4/2018/</w:t>
    </w:r>
    <w:r w:rsidR="00FF62DA">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18AE" w14:textId="47633241" w:rsidR="00184FCD" w:rsidRPr="0095385C" w:rsidRDefault="00184FCD" w:rsidP="0095385C">
    <w:pPr>
      <w:pStyle w:val="Header"/>
      <w:jc w:val="right"/>
    </w:pPr>
    <w:r>
      <w:t>ST/SG/AC.10/C.3/2018/</w:t>
    </w:r>
    <w:r w:rsidR="00415093">
      <w:t>33</w:t>
    </w:r>
    <w:r>
      <w:br/>
      <w:t>ST/SG/AC.10/C.4/2018/</w:t>
    </w:r>
    <w:r w:rsidR="00415093">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0EE4" w14:textId="77777777" w:rsidR="00415093" w:rsidRPr="0095385C" w:rsidRDefault="00415093">
    <w:pPr>
      <w:pStyle w:val="Header"/>
    </w:pPr>
    <w:r>
      <w:t>ST/SG/AC.10/C.3/2018/33</w:t>
    </w:r>
    <w:r>
      <w:br/>
      <w:t>ST/SG/AC.10/C.4/2018/7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BC34A" w14:textId="77777777" w:rsidR="00415093" w:rsidRDefault="00415093" w:rsidP="004F18C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A27473"/>
    <w:multiLevelType w:val="hybridMultilevel"/>
    <w:tmpl w:val="4A8C65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C3949EA"/>
    <w:multiLevelType w:val="hybridMultilevel"/>
    <w:tmpl w:val="7F9046A6"/>
    <w:lvl w:ilvl="0" w:tplc="932A557A">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3725E8E"/>
    <w:multiLevelType w:val="hybridMultilevel"/>
    <w:tmpl w:val="50123052"/>
    <w:lvl w:ilvl="0" w:tplc="932A557A">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D34A7B"/>
    <w:multiLevelType w:val="multilevel"/>
    <w:tmpl w:val="297C0080"/>
    <w:lvl w:ilvl="0">
      <w:start w:val="26"/>
      <w:numFmt w:val="decimal"/>
      <w:lvlText w:val="%1"/>
      <w:lvlJc w:val="left"/>
      <w:pPr>
        <w:tabs>
          <w:tab w:val="num" w:pos="1140"/>
        </w:tabs>
        <w:ind w:left="1140" w:hanging="1140"/>
      </w:pPr>
      <w:rPr>
        <w:rFonts w:hint="default"/>
        <w:i w:val="0"/>
      </w:rPr>
    </w:lvl>
    <w:lvl w:ilvl="1">
      <w:start w:val="4"/>
      <w:numFmt w:val="decimal"/>
      <w:lvlText w:val="%1.%2"/>
      <w:lvlJc w:val="left"/>
      <w:pPr>
        <w:tabs>
          <w:tab w:val="num" w:pos="1140"/>
        </w:tabs>
        <w:ind w:left="1140" w:hanging="1140"/>
      </w:pPr>
      <w:rPr>
        <w:rFonts w:hint="default"/>
        <w:i w:val="0"/>
      </w:rPr>
    </w:lvl>
    <w:lvl w:ilvl="2">
      <w:start w:val="4"/>
      <w:numFmt w:val="decimal"/>
      <w:lvlText w:val="%1.%2.%3"/>
      <w:lvlJc w:val="left"/>
      <w:pPr>
        <w:tabs>
          <w:tab w:val="num" w:pos="1140"/>
        </w:tabs>
        <w:ind w:left="1140" w:hanging="1140"/>
      </w:pPr>
      <w:rPr>
        <w:rFonts w:hint="default"/>
        <w:i w:val="0"/>
      </w:rPr>
    </w:lvl>
    <w:lvl w:ilvl="3">
      <w:start w:val="5"/>
      <w:numFmt w:val="decimal"/>
      <w:lvlText w:val="%1.%2.%3.%4"/>
      <w:lvlJc w:val="left"/>
      <w:pPr>
        <w:tabs>
          <w:tab w:val="num" w:pos="1140"/>
        </w:tabs>
        <w:ind w:left="1140" w:hanging="1140"/>
      </w:pPr>
      <w:rPr>
        <w:rFonts w:hint="default"/>
        <w:i w:val="0"/>
      </w:rPr>
    </w:lvl>
    <w:lvl w:ilvl="4">
      <w:start w:val="1"/>
      <w:numFmt w:val="decimal"/>
      <w:lvlText w:val="%1.%2.%3.%4.%5"/>
      <w:lvlJc w:val="left"/>
      <w:pPr>
        <w:tabs>
          <w:tab w:val="num" w:pos="1140"/>
        </w:tabs>
        <w:ind w:left="1140" w:hanging="1140"/>
      </w:pPr>
      <w:rPr>
        <w:rFonts w:hint="default"/>
        <w:i w:val="0"/>
      </w:rPr>
    </w:lvl>
    <w:lvl w:ilvl="5">
      <w:start w:val="1"/>
      <w:numFmt w:val="decimal"/>
      <w:lvlText w:val="%1.%2.%3.%4.%5.%6"/>
      <w:lvlJc w:val="left"/>
      <w:pPr>
        <w:tabs>
          <w:tab w:val="num" w:pos="1140"/>
        </w:tabs>
        <w:ind w:left="1140" w:hanging="11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0"/>
  </w:num>
  <w:num w:numId="14">
    <w:abstractNumId w:val="16"/>
  </w:num>
  <w:num w:numId="15">
    <w:abstractNumId w:val="17"/>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1"/>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8"/>
  </w:num>
  <w:num w:numId="41">
    <w:abstractNumId w:val="13"/>
  </w:num>
  <w:num w:numId="4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5C"/>
    <w:rsid w:val="00002487"/>
    <w:rsid w:val="00005982"/>
    <w:rsid w:val="00015809"/>
    <w:rsid w:val="000222F9"/>
    <w:rsid w:val="00023DBC"/>
    <w:rsid w:val="0002739F"/>
    <w:rsid w:val="00035656"/>
    <w:rsid w:val="00042E5C"/>
    <w:rsid w:val="00044C7A"/>
    <w:rsid w:val="00044EB7"/>
    <w:rsid w:val="0005042C"/>
    <w:rsid w:val="000504CE"/>
    <w:rsid w:val="00050F6B"/>
    <w:rsid w:val="00052A23"/>
    <w:rsid w:val="000672E1"/>
    <w:rsid w:val="0007037A"/>
    <w:rsid w:val="000729A1"/>
    <w:rsid w:val="00072C8C"/>
    <w:rsid w:val="00074D4E"/>
    <w:rsid w:val="00085AFC"/>
    <w:rsid w:val="00087CE1"/>
    <w:rsid w:val="00091419"/>
    <w:rsid w:val="000931C0"/>
    <w:rsid w:val="00097EA0"/>
    <w:rsid w:val="000A004E"/>
    <w:rsid w:val="000A43BC"/>
    <w:rsid w:val="000A71D4"/>
    <w:rsid w:val="000B158D"/>
    <w:rsid w:val="000B175B"/>
    <w:rsid w:val="000B1B3B"/>
    <w:rsid w:val="000B28A5"/>
    <w:rsid w:val="000B2FC0"/>
    <w:rsid w:val="000B374C"/>
    <w:rsid w:val="000B3A0F"/>
    <w:rsid w:val="000C5E7A"/>
    <w:rsid w:val="000C735D"/>
    <w:rsid w:val="000D0A97"/>
    <w:rsid w:val="000D3E84"/>
    <w:rsid w:val="000D5982"/>
    <w:rsid w:val="000D6B4A"/>
    <w:rsid w:val="000D6C67"/>
    <w:rsid w:val="000E0415"/>
    <w:rsid w:val="000E64F9"/>
    <w:rsid w:val="00103BFC"/>
    <w:rsid w:val="001102E5"/>
    <w:rsid w:val="00111978"/>
    <w:rsid w:val="00115E7C"/>
    <w:rsid w:val="00117787"/>
    <w:rsid w:val="00120C46"/>
    <w:rsid w:val="00122EBB"/>
    <w:rsid w:val="00131B20"/>
    <w:rsid w:val="00131D42"/>
    <w:rsid w:val="001344B8"/>
    <w:rsid w:val="001348A5"/>
    <w:rsid w:val="00141242"/>
    <w:rsid w:val="001413D1"/>
    <w:rsid w:val="001437D3"/>
    <w:rsid w:val="0015128C"/>
    <w:rsid w:val="00151F5B"/>
    <w:rsid w:val="00153CDD"/>
    <w:rsid w:val="00156502"/>
    <w:rsid w:val="00161772"/>
    <w:rsid w:val="00162164"/>
    <w:rsid w:val="00162F4A"/>
    <w:rsid w:val="001633FB"/>
    <w:rsid w:val="00167293"/>
    <w:rsid w:val="00167786"/>
    <w:rsid w:val="001732AD"/>
    <w:rsid w:val="001757C5"/>
    <w:rsid w:val="001757CE"/>
    <w:rsid w:val="00175C80"/>
    <w:rsid w:val="00184821"/>
    <w:rsid w:val="00184FCD"/>
    <w:rsid w:val="00187190"/>
    <w:rsid w:val="00191DE4"/>
    <w:rsid w:val="00193CE3"/>
    <w:rsid w:val="00195244"/>
    <w:rsid w:val="00196E35"/>
    <w:rsid w:val="001A30A7"/>
    <w:rsid w:val="001A3561"/>
    <w:rsid w:val="001A4F32"/>
    <w:rsid w:val="001A7069"/>
    <w:rsid w:val="001B038E"/>
    <w:rsid w:val="001B372A"/>
    <w:rsid w:val="001B4B04"/>
    <w:rsid w:val="001C106A"/>
    <w:rsid w:val="001C3170"/>
    <w:rsid w:val="001C6663"/>
    <w:rsid w:val="001C6C85"/>
    <w:rsid w:val="001C7895"/>
    <w:rsid w:val="001D1A40"/>
    <w:rsid w:val="001D23B4"/>
    <w:rsid w:val="001D26DF"/>
    <w:rsid w:val="001D2FDC"/>
    <w:rsid w:val="001D4354"/>
    <w:rsid w:val="001D50B0"/>
    <w:rsid w:val="001E0F45"/>
    <w:rsid w:val="001E4475"/>
    <w:rsid w:val="001E796B"/>
    <w:rsid w:val="001F0FE4"/>
    <w:rsid w:val="001F6726"/>
    <w:rsid w:val="001F7CF4"/>
    <w:rsid w:val="00202134"/>
    <w:rsid w:val="00211DE3"/>
    <w:rsid w:val="00211E0B"/>
    <w:rsid w:val="00212394"/>
    <w:rsid w:val="0021321D"/>
    <w:rsid w:val="00213641"/>
    <w:rsid w:val="0021553B"/>
    <w:rsid w:val="00220264"/>
    <w:rsid w:val="00221C03"/>
    <w:rsid w:val="002228EB"/>
    <w:rsid w:val="002309A7"/>
    <w:rsid w:val="00237406"/>
    <w:rsid w:val="00237785"/>
    <w:rsid w:val="00241466"/>
    <w:rsid w:val="00252AF4"/>
    <w:rsid w:val="0025304C"/>
    <w:rsid w:val="0025405A"/>
    <w:rsid w:val="00255D32"/>
    <w:rsid w:val="00256E52"/>
    <w:rsid w:val="00257360"/>
    <w:rsid w:val="002615F4"/>
    <w:rsid w:val="00261F53"/>
    <w:rsid w:val="00262447"/>
    <w:rsid w:val="00264A94"/>
    <w:rsid w:val="00265E8D"/>
    <w:rsid w:val="00267017"/>
    <w:rsid w:val="00267C9C"/>
    <w:rsid w:val="00270B8F"/>
    <w:rsid w:val="002725CA"/>
    <w:rsid w:val="00275393"/>
    <w:rsid w:val="00275C6E"/>
    <w:rsid w:val="00280EB7"/>
    <w:rsid w:val="00284946"/>
    <w:rsid w:val="00291986"/>
    <w:rsid w:val="00291A8F"/>
    <w:rsid w:val="00294148"/>
    <w:rsid w:val="00295958"/>
    <w:rsid w:val="00297A67"/>
    <w:rsid w:val="002A1B21"/>
    <w:rsid w:val="002A3CA8"/>
    <w:rsid w:val="002A3EEC"/>
    <w:rsid w:val="002A46AC"/>
    <w:rsid w:val="002A591C"/>
    <w:rsid w:val="002B10FC"/>
    <w:rsid w:val="002B1CDA"/>
    <w:rsid w:val="002B3EC6"/>
    <w:rsid w:val="002B4976"/>
    <w:rsid w:val="002B66A3"/>
    <w:rsid w:val="002C34B2"/>
    <w:rsid w:val="002C3DE6"/>
    <w:rsid w:val="002C54FE"/>
    <w:rsid w:val="002C5B87"/>
    <w:rsid w:val="002C65AC"/>
    <w:rsid w:val="002C67F8"/>
    <w:rsid w:val="002D21BA"/>
    <w:rsid w:val="002E7D51"/>
    <w:rsid w:val="002F16E1"/>
    <w:rsid w:val="00305238"/>
    <w:rsid w:val="003107FA"/>
    <w:rsid w:val="00314FCD"/>
    <w:rsid w:val="003229D8"/>
    <w:rsid w:val="00324304"/>
    <w:rsid w:val="0033029B"/>
    <w:rsid w:val="00337674"/>
    <w:rsid w:val="00337FD0"/>
    <w:rsid w:val="00345F2F"/>
    <w:rsid w:val="0037333E"/>
    <w:rsid w:val="00374FAA"/>
    <w:rsid w:val="00375F43"/>
    <w:rsid w:val="00385D07"/>
    <w:rsid w:val="00387914"/>
    <w:rsid w:val="00391E40"/>
    <w:rsid w:val="0039277A"/>
    <w:rsid w:val="00392BEC"/>
    <w:rsid w:val="003972E0"/>
    <w:rsid w:val="003A0282"/>
    <w:rsid w:val="003A0940"/>
    <w:rsid w:val="003A5D8F"/>
    <w:rsid w:val="003A63DE"/>
    <w:rsid w:val="003A6FE2"/>
    <w:rsid w:val="003B1924"/>
    <w:rsid w:val="003B3B04"/>
    <w:rsid w:val="003B5BC9"/>
    <w:rsid w:val="003C2CC4"/>
    <w:rsid w:val="003D4B23"/>
    <w:rsid w:val="003D60F7"/>
    <w:rsid w:val="003D782C"/>
    <w:rsid w:val="003E2E5D"/>
    <w:rsid w:val="003E6CCC"/>
    <w:rsid w:val="003F167F"/>
    <w:rsid w:val="004041D0"/>
    <w:rsid w:val="004057FC"/>
    <w:rsid w:val="00407C26"/>
    <w:rsid w:val="00415093"/>
    <w:rsid w:val="00417C54"/>
    <w:rsid w:val="00421173"/>
    <w:rsid w:val="00421A95"/>
    <w:rsid w:val="00432447"/>
    <w:rsid w:val="004325CB"/>
    <w:rsid w:val="00437846"/>
    <w:rsid w:val="00437F3F"/>
    <w:rsid w:val="00444EA3"/>
    <w:rsid w:val="00446DE4"/>
    <w:rsid w:val="004513F0"/>
    <w:rsid w:val="00454036"/>
    <w:rsid w:val="00454F71"/>
    <w:rsid w:val="00455F63"/>
    <w:rsid w:val="004570D1"/>
    <w:rsid w:val="004729D1"/>
    <w:rsid w:val="004820A6"/>
    <w:rsid w:val="00484509"/>
    <w:rsid w:val="004875F2"/>
    <w:rsid w:val="00490A7A"/>
    <w:rsid w:val="00492614"/>
    <w:rsid w:val="00493F79"/>
    <w:rsid w:val="004960E6"/>
    <w:rsid w:val="004974AF"/>
    <w:rsid w:val="004A077A"/>
    <w:rsid w:val="004A3F20"/>
    <w:rsid w:val="004A641A"/>
    <w:rsid w:val="004A7228"/>
    <w:rsid w:val="004B05A7"/>
    <w:rsid w:val="004B0BB9"/>
    <w:rsid w:val="004B2C9D"/>
    <w:rsid w:val="004B7395"/>
    <w:rsid w:val="004C05DA"/>
    <w:rsid w:val="004C1ADF"/>
    <w:rsid w:val="004C6109"/>
    <w:rsid w:val="004C6B89"/>
    <w:rsid w:val="004D15D3"/>
    <w:rsid w:val="004D22F3"/>
    <w:rsid w:val="004D244B"/>
    <w:rsid w:val="004D6346"/>
    <w:rsid w:val="004D676A"/>
    <w:rsid w:val="004E394C"/>
    <w:rsid w:val="004F0339"/>
    <w:rsid w:val="004F18C3"/>
    <w:rsid w:val="004F3FCB"/>
    <w:rsid w:val="00504EC8"/>
    <w:rsid w:val="0051448B"/>
    <w:rsid w:val="005160F8"/>
    <w:rsid w:val="00522A8A"/>
    <w:rsid w:val="00527910"/>
    <w:rsid w:val="00530BBD"/>
    <w:rsid w:val="00532163"/>
    <w:rsid w:val="005401B2"/>
    <w:rsid w:val="005420F2"/>
    <w:rsid w:val="0054320C"/>
    <w:rsid w:val="00544B88"/>
    <w:rsid w:val="00545A68"/>
    <w:rsid w:val="00546C67"/>
    <w:rsid w:val="00555059"/>
    <w:rsid w:val="005576A2"/>
    <w:rsid w:val="005618E1"/>
    <w:rsid w:val="00563EB6"/>
    <w:rsid w:val="00565275"/>
    <w:rsid w:val="005664A9"/>
    <w:rsid w:val="00571352"/>
    <w:rsid w:val="00571FF4"/>
    <w:rsid w:val="0058023E"/>
    <w:rsid w:val="00582E93"/>
    <w:rsid w:val="00584654"/>
    <w:rsid w:val="00590144"/>
    <w:rsid w:val="00597297"/>
    <w:rsid w:val="005A770B"/>
    <w:rsid w:val="005B3DB3"/>
    <w:rsid w:val="005B621F"/>
    <w:rsid w:val="005C149F"/>
    <w:rsid w:val="005F1E8A"/>
    <w:rsid w:val="005F5804"/>
    <w:rsid w:val="0060091E"/>
    <w:rsid w:val="006017C9"/>
    <w:rsid w:val="00606441"/>
    <w:rsid w:val="0060700C"/>
    <w:rsid w:val="00611FC4"/>
    <w:rsid w:val="00615113"/>
    <w:rsid w:val="006176FB"/>
    <w:rsid w:val="00624A0E"/>
    <w:rsid w:val="006324AC"/>
    <w:rsid w:val="00633405"/>
    <w:rsid w:val="0063419C"/>
    <w:rsid w:val="00634C2F"/>
    <w:rsid w:val="00635CF4"/>
    <w:rsid w:val="00640B26"/>
    <w:rsid w:val="006418B9"/>
    <w:rsid w:val="00644CC0"/>
    <w:rsid w:val="006500BA"/>
    <w:rsid w:val="00650C47"/>
    <w:rsid w:val="00652D15"/>
    <w:rsid w:val="006564B0"/>
    <w:rsid w:val="00657F62"/>
    <w:rsid w:val="00660383"/>
    <w:rsid w:val="0066279A"/>
    <w:rsid w:val="00663EFB"/>
    <w:rsid w:val="00664979"/>
    <w:rsid w:val="00670E29"/>
    <w:rsid w:val="00672767"/>
    <w:rsid w:val="006737C7"/>
    <w:rsid w:val="006744B2"/>
    <w:rsid w:val="00683F99"/>
    <w:rsid w:val="00684879"/>
    <w:rsid w:val="00694C02"/>
    <w:rsid w:val="006A025B"/>
    <w:rsid w:val="006A389C"/>
    <w:rsid w:val="006A7392"/>
    <w:rsid w:val="006A7B01"/>
    <w:rsid w:val="006B04F7"/>
    <w:rsid w:val="006B1156"/>
    <w:rsid w:val="006B157F"/>
    <w:rsid w:val="006B38D1"/>
    <w:rsid w:val="006B46FE"/>
    <w:rsid w:val="006B5AC8"/>
    <w:rsid w:val="006C0D34"/>
    <w:rsid w:val="006C14BE"/>
    <w:rsid w:val="006C1858"/>
    <w:rsid w:val="006C329D"/>
    <w:rsid w:val="006C6056"/>
    <w:rsid w:val="006C6884"/>
    <w:rsid w:val="006D12D5"/>
    <w:rsid w:val="006D3366"/>
    <w:rsid w:val="006D5225"/>
    <w:rsid w:val="006E42A8"/>
    <w:rsid w:val="006E4493"/>
    <w:rsid w:val="006E564B"/>
    <w:rsid w:val="006E5C33"/>
    <w:rsid w:val="006F2724"/>
    <w:rsid w:val="006F71FB"/>
    <w:rsid w:val="00704622"/>
    <w:rsid w:val="00704DBF"/>
    <w:rsid w:val="007078C6"/>
    <w:rsid w:val="0071126D"/>
    <w:rsid w:val="00712144"/>
    <w:rsid w:val="0071739D"/>
    <w:rsid w:val="00725476"/>
    <w:rsid w:val="0072593B"/>
    <w:rsid w:val="0072632A"/>
    <w:rsid w:val="0073276F"/>
    <w:rsid w:val="00735B34"/>
    <w:rsid w:val="007367D6"/>
    <w:rsid w:val="00741191"/>
    <w:rsid w:val="00741499"/>
    <w:rsid w:val="00745209"/>
    <w:rsid w:val="007512DE"/>
    <w:rsid w:val="00753114"/>
    <w:rsid w:val="007575F5"/>
    <w:rsid w:val="00763522"/>
    <w:rsid w:val="00763C09"/>
    <w:rsid w:val="0076405E"/>
    <w:rsid w:val="00764E9E"/>
    <w:rsid w:val="00765DDF"/>
    <w:rsid w:val="00766298"/>
    <w:rsid w:val="00766AD2"/>
    <w:rsid w:val="00770E6F"/>
    <w:rsid w:val="00771C45"/>
    <w:rsid w:val="007759E8"/>
    <w:rsid w:val="00776BB6"/>
    <w:rsid w:val="007778B4"/>
    <w:rsid w:val="00784A9F"/>
    <w:rsid w:val="00790791"/>
    <w:rsid w:val="007A6FFA"/>
    <w:rsid w:val="007B1A7E"/>
    <w:rsid w:val="007B342D"/>
    <w:rsid w:val="007B6BA5"/>
    <w:rsid w:val="007C3390"/>
    <w:rsid w:val="007C38EB"/>
    <w:rsid w:val="007C4F4B"/>
    <w:rsid w:val="007D2AB7"/>
    <w:rsid w:val="007D43B1"/>
    <w:rsid w:val="007E1454"/>
    <w:rsid w:val="007E4FD4"/>
    <w:rsid w:val="007E5A31"/>
    <w:rsid w:val="007F0FB3"/>
    <w:rsid w:val="007F1C6D"/>
    <w:rsid w:val="007F22B0"/>
    <w:rsid w:val="007F438A"/>
    <w:rsid w:val="007F5B49"/>
    <w:rsid w:val="007F6611"/>
    <w:rsid w:val="00800E15"/>
    <w:rsid w:val="00800F48"/>
    <w:rsid w:val="00801182"/>
    <w:rsid w:val="008056FA"/>
    <w:rsid w:val="00811B81"/>
    <w:rsid w:val="00815A2F"/>
    <w:rsid w:val="00815FD5"/>
    <w:rsid w:val="008175E9"/>
    <w:rsid w:val="00821459"/>
    <w:rsid w:val="00821672"/>
    <w:rsid w:val="00821A3E"/>
    <w:rsid w:val="008242D7"/>
    <w:rsid w:val="0082677B"/>
    <w:rsid w:val="008315FD"/>
    <w:rsid w:val="00834AC8"/>
    <w:rsid w:val="0083561E"/>
    <w:rsid w:val="00837F38"/>
    <w:rsid w:val="00842149"/>
    <w:rsid w:val="0084240A"/>
    <w:rsid w:val="008454BF"/>
    <w:rsid w:val="008474D0"/>
    <w:rsid w:val="00847E99"/>
    <w:rsid w:val="008540B7"/>
    <w:rsid w:val="0086261F"/>
    <w:rsid w:val="00865234"/>
    <w:rsid w:val="00866C98"/>
    <w:rsid w:val="00871FD5"/>
    <w:rsid w:val="00872970"/>
    <w:rsid w:val="00872DD0"/>
    <w:rsid w:val="00881FA0"/>
    <w:rsid w:val="0088217A"/>
    <w:rsid w:val="00882B88"/>
    <w:rsid w:val="008904B8"/>
    <w:rsid w:val="00892AB6"/>
    <w:rsid w:val="00893711"/>
    <w:rsid w:val="008979B1"/>
    <w:rsid w:val="008A4A53"/>
    <w:rsid w:val="008A6B25"/>
    <w:rsid w:val="008A6C4F"/>
    <w:rsid w:val="008B2404"/>
    <w:rsid w:val="008B6E2D"/>
    <w:rsid w:val="008C761D"/>
    <w:rsid w:val="008D27AF"/>
    <w:rsid w:val="008D2EEF"/>
    <w:rsid w:val="008D37D5"/>
    <w:rsid w:val="008E0E46"/>
    <w:rsid w:val="008E3B43"/>
    <w:rsid w:val="008E58AF"/>
    <w:rsid w:val="008E7948"/>
    <w:rsid w:val="008F14D9"/>
    <w:rsid w:val="008F1AE5"/>
    <w:rsid w:val="008F446D"/>
    <w:rsid w:val="00901E50"/>
    <w:rsid w:val="00903E44"/>
    <w:rsid w:val="0090743F"/>
    <w:rsid w:val="00913EAD"/>
    <w:rsid w:val="0091681F"/>
    <w:rsid w:val="00925F6E"/>
    <w:rsid w:val="00935FA4"/>
    <w:rsid w:val="00936DD8"/>
    <w:rsid w:val="009376F4"/>
    <w:rsid w:val="009445DA"/>
    <w:rsid w:val="00945A5D"/>
    <w:rsid w:val="0095385C"/>
    <w:rsid w:val="009606CB"/>
    <w:rsid w:val="00960887"/>
    <w:rsid w:val="00963CBA"/>
    <w:rsid w:val="00966D12"/>
    <w:rsid w:val="009737F8"/>
    <w:rsid w:val="009771BA"/>
    <w:rsid w:val="00977A48"/>
    <w:rsid w:val="00980CA7"/>
    <w:rsid w:val="00981FD3"/>
    <w:rsid w:val="009867FC"/>
    <w:rsid w:val="0099124E"/>
    <w:rsid w:val="00991261"/>
    <w:rsid w:val="009934A8"/>
    <w:rsid w:val="0099569F"/>
    <w:rsid w:val="00997B22"/>
    <w:rsid w:val="009A51DA"/>
    <w:rsid w:val="009B2A64"/>
    <w:rsid w:val="009B4FAB"/>
    <w:rsid w:val="009B5C48"/>
    <w:rsid w:val="009C1BC1"/>
    <w:rsid w:val="009D1290"/>
    <w:rsid w:val="009D1AAE"/>
    <w:rsid w:val="009D31D8"/>
    <w:rsid w:val="009D3F94"/>
    <w:rsid w:val="009D60F6"/>
    <w:rsid w:val="009D7B47"/>
    <w:rsid w:val="009E671E"/>
    <w:rsid w:val="009F058B"/>
    <w:rsid w:val="009F0F06"/>
    <w:rsid w:val="009F4303"/>
    <w:rsid w:val="009F7667"/>
    <w:rsid w:val="00A01DFE"/>
    <w:rsid w:val="00A10575"/>
    <w:rsid w:val="00A1427D"/>
    <w:rsid w:val="00A14DBD"/>
    <w:rsid w:val="00A23ED9"/>
    <w:rsid w:val="00A248E3"/>
    <w:rsid w:val="00A2716D"/>
    <w:rsid w:val="00A30E3C"/>
    <w:rsid w:val="00A32E35"/>
    <w:rsid w:val="00A34433"/>
    <w:rsid w:val="00A3666C"/>
    <w:rsid w:val="00A42EA2"/>
    <w:rsid w:val="00A43587"/>
    <w:rsid w:val="00A47B0C"/>
    <w:rsid w:val="00A56184"/>
    <w:rsid w:val="00A63A87"/>
    <w:rsid w:val="00A66D48"/>
    <w:rsid w:val="00A70EC5"/>
    <w:rsid w:val="00A72F22"/>
    <w:rsid w:val="00A748A6"/>
    <w:rsid w:val="00A75EC9"/>
    <w:rsid w:val="00A84085"/>
    <w:rsid w:val="00A8523D"/>
    <w:rsid w:val="00A879A4"/>
    <w:rsid w:val="00A931E6"/>
    <w:rsid w:val="00AA5227"/>
    <w:rsid w:val="00AA6228"/>
    <w:rsid w:val="00AB33D9"/>
    <w:rsid w:val="00AB3462"/>
    <w:rsid w:val="00AB571F"/>
    <w:rsid w:val="00AB5AA7"/>
    <w:rsid w:val="00AB77B0"/>
    <w:rsid w:val="00AC241E"/>
    <w:rsid w:val="00AC36DB"/>
    <w:rsid w:val="00AC3BB9"/>
    <w:rsid w:val="00AE47DB"/>
    <w:rsid w:val="00AE4A6A"/>
    <w:rsid w:val="00AE4C73"/>
    <w:rsid w:val="00AE764E"/>
    <w:rsid w:val="00AF59BB"/>
    <w:rsid w:val="00AF73CE"/>
    <w:rsid w:val="00B102ED"/>
    <w:rsid w:val="00B10592"/>
    <w:rsid w:val="00B14140"/>
    <w:rsid w:val="00B20035"/>
    <w:rsid w:val="00B201C5"/>
    <w:rsid w:val="00B20ECC"/>
    <w:rsid w:val="00B21C6C"/>
    <w:rsid w:val="00B30179"/>
    <w:rsid w:val="00B30250"/>
    <w:rsid w:val="00B3317B"/>
    <w:rsid w:val="00B410AD"/>
    <w:rsid w:val="00B43846"/>
    <w:rsid w:val="00B44820"/>
    <w:rsid w:val="00B45EC3"/>
    <w:rsid w:val="00B51A01"/>
    <w:rsid w:val="00B53F26"/>
    <w:rsid w:val="00B556BF"/>
    <w:rsid w:val="00B56B78"/>
    <w:rsid w:val="00B60932"/>
    <w:rsid w:val="00B6512A"/>
    <w:rsid w:val="00B706C0"/>
    <w:rsid w:val="00B72283"/>
    <w:rsid w:val="00B81E12"/>
    <w:rsid w:val="00B84094"/>
    <w:rsid w:val="00B84232"/>
    <w:rsid w:val="00B84A6A"/>
    <w:rsid w:val="00B85BD2"/>
    <w:rsid w:val="00B85D7E"/>
    <w:rsid w:val="00B93068"/>
    <w:rsid w:val="00B9787B"/>
    <w:rsid w:val="00BA5991"/>
    <w:rsid w:val="00BB0AD1"/>
    <w:rsid w:val="00BB176D"/>
    <w:rsid w:val="00BC17B5"/>
    <w:rsid w:val="00BC219E"/>
    <w:rsid w:val="00BC5492"/>
    <w:rsid w:val="00BC74E9"/>
    <w:rsid w:val="00BD1B81"/>
    <w:rsid w:val="00BD2BF0"/>
    <w:rsid w:val="00BD52ED"/>
    <w:rsid w:val="00BD5B57"/>
    <w:rsid w:val="00BE2710"/>
    <w:rsid w:val="00BE5222"/>
    <w:rsid w:val="00BE618E"/>
    <w:rsid w:val="00BE6EEE"/>
    <w:rsid w:val="00BE716B"/>
    <w:rsid w:val="00BF0E8B"/>
    <w:rsid w:val="00BF1367"/>
    <w:rsid w:val="00BF143A"/>
    <w:rsid w:val="00C00F60"/>
    <w:rsid w:val="00C01EC5"/>
    <w:rsid w:val="00C0342D"/>
    <w:rsid w:val="00C07FCE"/>
    <w:rsid w:val="00C1402C"/>
    <w:rsid w:val="00C14B84"/>
    <w:rsid w:val="00C20131"/>
    <w:rsid w:val="00C22CE1"/>
    <w:rsid w:val="00C269BC"/>
    <w:rsid w:val="00C34242"/>
    <w:rsid w:val="00C34784"/>
    <w:rsid w:val="00C36422"/>
    <w:rsid w:val="00C37780"/>
    <w:rsid w:val="00C463DD"/>
    <w:rsid w:val="00C62F76"/>
    <w:rsid w:val="00C662C6"/>
    <w:rsid w:val="00C66BC5"/>
    <w:rsid w:val="00C70DA8"/>
    <w:rsid w:val="00C718B4"/>
    <w:rsid w:val="00C734C1"/>
    <w:rsid w:val="00C745C3"/>
    <w:rsid w:val="00C77598"/>
    <w:rsid w:val="00C91469"/>
    <w:rsid w:val="00C924F2"/>
    <w:rsid w:val="00C92EC4"/>
    <w:rsid w:val="00CA66C1"/>
    <w:rsid w:val="00CC4E48"/>
    <w:rsid w:val="00CD3225"/>
    <w:rsid w:val="00CD4AA2"/>
    <w:rsid w:val="00CD5E8C"/>
    <w:rsid w:val="00CE23AC"/>
    <w:rsid w:val="00CE2CC5"/>
    <w:rsid w:val="00CE46BA"/>
    <w:rsid w:val="00CE4A8F"/>
    <w:rsid w:val="00CE60CD"/>
    <w:rsid w:val="00CE7080"/>
    <w:rsid w:val="00CF73A5"/>
    <w:rsid w:val="00CF7514"/>
    <w:rsid w:val="00D107C8"/>
    <w:rsid w:val="00D11B8B"/>
    <w:rsid w:val="00D2031B"/>
    <w:rsid w:val="00D228CA"/>
    <w:rsid w:val="00D234E4"/>
    <w:rsid w:val="00D2531E"/>
    <w:rsid w:val="00D25FE2"/>
    <w:rsid w:val="00D302B3"/>
    <w:rsid w:val="00D30A99"/>
    <w:rsid w:val="00D374BD"/>
    <w:rsid w:val="00D43252"/>
    <w:rsid w:val="00D4529D"/>
    <w:rsid w:val="00D46231"/>
    <w:rsid w:val="00D511CA"/>
    <w:rsid w:val="00D53910"/>
    <w:rsid w:val="00D6615E"/>
    <w:rsid w:val="00D66780"/>
    <w:rsid w:val="00D70ED0"/>
    <w:rsid w:val="00D753D8"/>
    <w:rsid w:val="00D85F26"/>
    <w:rsid w:val="00D9020D"/>
    <w:rsid w:val="00D9466B"/>
    <w:rsid w:val="00D96CC5"/>
    <w:rsid w:val="00D96F6B"/>
    <w:rsid w:val="00D978C6"/>
    <w:rsid w:val="00DA051C"/>
    <w:rsid w:val="00DA15E0"/>
    <w:rsid w:val="00DA42D4"/>
    <w:rsid w:val="00DA57CC"/>
    <w:rsid w:val="00DA67AD"/>
    <w:rsid w:val="00DB063B"/>
    <w:rsid w:val="00DB3594"/>
    <w:rsid w:val="00DB6BA1"/>
    <w:rsid w:val="00DC0A7B"/>
    <w:rsid w:val="00DD4FE9"/>
    <w:rsid w:val="00DE02F7"/>
    <w:rsid w:val="00DE5786"/>
    <w:rsid w:val="00DE5863"/>
    <w:rsid w:val="00DE6FB3"/>
    <w:rsid w:val="00DE7071"/>
    <w:rsid w:val="00DF1D71"/>
    <w:rsid w:val="00DF54DA"/>
    <w:rsid w:val="00DF6C0A"/>
    <w:rsid w:val="00E116BE"/>
    <w:rsid w:val="00E130AB"/>
    <w:rsid w:val="00E145C4"/>
    <w:rsid w:val="00E1679E"/>
    <w:rsid w:val="00E21C2A"/>
    <w:rsid w:val="00E21F98"/>
    <w:rsid w:val="00E30FBD"/>
    <w:rsid w:val="00E312B0"/>
    <w:rsid w:val="00E34355"/>
    <w:rsid w:val="00E37BD1"/>
    <w:rsid w:val="00E409C8"/>
    <w:rsid w:val="00E429CD"/>
    <w:rsid w:val="00E479C9"/>
    <w:rsid w:val="00E52830"/>
    <w:rsid w:val="00E53EC7"/>
    <w:rsid w:val="00E55C1E"/>
    <w:rsid w:val="00E5644E"/>
    <w:rsid w:val="00E608E2"/>
    <w:rsid w:val="00E60928"/>
    <w:rsid w:val="00E62CA1"/>
    <w:rsid w:val="00E649FA"/>
    <w:rsid w:val="00E66779"/>
    <w:rsid w:val="00E7260F"/>
    <w:rsid w:val="00E761B7"/>
    <w:rsid w:val="00E81230"/>
    <w:rsid w:val="00E8535A"/>
    <w:rsid w:val="00E878CF"/>
    <w:rsid w:val="00E91ACF"/>
    <w:rsid w:val="00E947C8"/>
    <w:rsid w:val="00E96630"/>
    <w:rsid w:val="00E96FCD"/>
    <w:rsid w:val="00EA0882"/>
    <w:rsid w:val="00EA33BC"/>
    <w:rsid w:val="00EA4C3D"/>
    <w:rsid w:val="00EA772F"/>
    <w:rsid w:val="00EB14AA"/>
    <w:rsid w:val="00EB1776"/>
    <w:rsid w:val="00EB6832"/>
    <w:rsid w:val="00EB6F20"/>
    <w:rsid w:val="00EC271A"/>
    <w:rsid w:val="00EC40DB"/>
    <w:rsid w:val="00ED7A2A"/>
    <w:rsid w:val="00EE16B4"/>
    <w:rsid w:val="00EE56AB"/>
    <w:rsid w:val="00EF1D7F"/>
    <w:rsid w:val="00EF28C5"/>
    <w:rsid w:val="00EF301A"/>
    <w:rsid w:val="00EF7197"/>
    <w:rsid w:val="00F000EB"/>
    <w:rsid w:val="00F0038E"/>
    <w:rsid w:val="00F045FC"/>
    <w:rsid w:val="00F05798"/>
    <w:rsid w:val="00F1592A"/>
    <w:rsid w:val="00F169CD"/>
    <w:rsid w:val="00F2344F"/>
    <w:rsid w:val="00F23EFD"/>
    <w:rsid w:val="00F261C2"/>
    <w:rsid w:val="00F341CB"/>
    <w:rsid w:val="00F400AF"/>
    <w:rsid w:val="00F40E75"/>
    <w:rsid w:val="00F444D8"/>
    <w:rsid w:val="00F47D45"/>
    <w:rsid w:val="00F53328"/>
    <w:rsid w:val="00F54674"/>
    <w:rsid w:val="00F54ED1"/>
    <w:rsid w:val="00F55A88"/>
    <w:rsid w:val="00F61EA9"/>
    <w:rsid w:val="00F64FA8"/>
    <w:rsid w:val="00F76BC9"/>
    <w:rsid w:val="00F80DA9"/>
    <w:rsid w:val="00F97B46"/>
    <w:rsid w:val="00F97C88"/>
    <w:rsid w:val="00FB04FB"/>
    <w:rsid w:val="00FB3781"/>
    <w:rsid w:val="00FC1F36"/>
    <w:rsid w:val="00FC68B7"/>
    <w:rsid w:val="00FD3014"/>
    <w:rsid w:val="00FD446B"/>
    <w:rsid w:val="00FD6B2B"/>
    <w:rsid w:val="00FD7756"/>
    <w:rsid w:val="00FE1B35"/>
    <w:rsid w:val="00FE4DFC"/>
    <w:rsid w:val="00FE70F9"/>
    <w:rsid w:val="00FE7507"/>
    <w:rsid w:val="00FE7827"/>
    <w:rsid w:val="00FF03BB"/>
    <w:rsid w:val="00FF24D6"/>
    <w:rsid w:val="00FF62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4AD85C"/>
  <w15:docId w15:val="{0A4D77E2-8C0D-4C98-BA4D-F6A4574A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basedOn w:val="DefaultParagraphFon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523D"/>
    <w:rPr>
      <w:rFonts w:ascii="Times New Roman" w:hAnsi="Times New Roman"/>
      <w:sz w:val="18"/>
      <w:vertAlign w:val="superscript"/>
    </w:rPr>
  </w:style>
  <w:style w:type="character" w:styleId="FootnoteReference">
    <w:name w:val="footnote reference"/>
    <w:aliases w:val="4_G,Footnote Reference/"/>
    <w:basedOn w:val="DefaultParagraphFont"/>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9538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5385C"/>
    <w:rPr>
      <w:rFonts w:ascii="Tahoma" w:hAnsi="Tahoma" w:cs="Tahoma"/>
      <w:sz w:val="16"/>
      <w:szCs w:val="16"/>
      <w:lang w:eastAsia="en-US"/>
    </w:rPr>
  </w:style>
  <w:style w:type="character" w:customStyle="1" w:styleId="HChGChar">
    <w:name w:val="_ H _Ch_G Char"/>
    <w:link w:val="HChG"/>
    <w:locked/>
    <w:rsid w:val="006A7B01"/>
    <w:rPr>
      <w:b/>
      <w:sz w:val="28"/>
      <w:lang w:eastAsia="en-US"/>
    </w:rPr>
  </w:style>
  <w:style w:type="character" w:customStyle="1" w:styleId="SingleTxtGChar">
    <w:name w:val="_ Single Txt_G Char"/>
    <w:link w:val="SingleTxtG"/>
    <w:locked/>
    <w:rsid w:val="00A30E3C"/>
    <w:rPr>
      <w:lang w:eastAsia="en-US"/>
    </w:rPr>
  </w:style>
  <w:style w:type="character" w:customStyle="1" w:styleId="FootnoteTextChar">
    <w:name w:val="Footnote Text Char"/>
    <w:aliases w:val="5_G Char"/>
    <w:link w:val="FootnoteText"/>
    <w:uiPriority w:val="99"/>
    <w:locked/>
    <w:rsid w:val="00A30E3C"/>
    <w:rPr>
      <w:sz w:val="18"/>
      <w:lang w:eastAsia="en-US"/>
    </w:rPr>
  </w:style>
  <w:style w:type="character" w:customStyle="1" w:styleId="SingleTxtGZchnZchn">
    <w:name w:val="_ Single Txt_G Zchn Zchn"/>
    <w:rsid w:val="0083561E"/>
    <w:rPr>
      <w:lang w:val="en-GB" w:eastAsia="en-US"/>
    </w:rPr>
  </w:style>
  <w:style w:type="character" w:customStyle="1" w:styleId="BodyTextChar">
    <w:name w:val="Body Text Char"/>
    <w:basedOn w:val="DefaultParagraphFont"/>
    <w:link w:val="BodyText"/>
    <w:rsid w:val="002C67F8"/>
    <w:rPr>
      <w:lang w:eastAsia="en-US"/>
    </w:rPr>
  </w:style>
  <w:style w:type="paragraph" w:customStyle="1" w:styleId="ManualHeading2">
    <w:name w:val="Manual Heading 2"/>
    <w:basedOn w:val="Normal"/>
    <w:next w:val="Normal"/>
    <w:rsid w:val="002C67F8"/>
    <w:pPr>
      <w:keepNext/>
      <w:keepLines/>
      <w:numPr>
        <w:ilvl w:val="12"/>
      </w:numPr>
      <w:tabs>
        <w:tab w:val="left" w:pos="1418"/>
      </w:tabs>
      <w:suppressAutoHyphens w:val="0"/>
      <w:autoSpaceDE w:val="0"/>
      <w:autoSpaceDN w:val="0"/>
      <w:adjustRightInd w:val="0"/>
      <w:spacing w:line="240" w:lineRule="auto"/>
      <w:jc w:val="both"/>
    </w:pPr>
    <w:rPr>
      <w:b/>
      <w:sz w:val="22"/>
      <w:szCs w:val="22"/>
      <w:lang w:eastAsia="fr-FR"/>
    </w:rPr>
  </w:style>
  <w:style w:type="paragraph" w:styleId="CommentSubject">
    <w:name w:val="annotation subject"/>
    <w:basedOn w:val="CommentText"/>
    <w:next w:val="CommentText"/>
    <w:link w:val="CommentSubjectChar"/>
    <w:rsid w:val="002C54FE"/>
    <w:pPr>
      <w:spacing w:line="240" w:lineRule="auto"/>
    </w:pPr>
    <w:rPr>
      <w:b/>
      <w:bCs/>
    </w:rPr>
  </w:style>
  <w:style w:type="character" w:customStyle="1" w:styleId="CommentTextChar">
    <w:name w:val="Comment Text Char"/>
    <w:basedOn w:val="DefaultParagraphFont"/>
    <w:link w:val="CommentText"/>
    <w:rsid w:val="002C54FE"/>
    <w:rPr>
      <w:lang w:eastAsia="en-US"/>
    </w:rPr>
  </w:style>
  <w:style w:type="character" w:customStyle="1" w:styleId="CommentSubjectChar">
    <w:name w:val="Comment Subject Char"/>
    <w:basedOn w:val="CommentTextChar"/>
    <w:link w:val="CommentSubject"/>
    <w:rsid w:val="002C54FE"/>
    <w:rPr>
      <w:b/>
      <w:bCs/>
      <w:lang w:eastAsia="en-US"/>
    </w:rPr>
  </w:style>
  <w:style w:type="paragraph" w:styleId="Revision">
    <w:name w:val="Revision"/>
    <w:hidden/>
    <w:uiPriority w:val="99"/>
    <w:semiHidden/>
    <w:rsid w:val="00D374BD"/>
    <w:rPr>
      <w:lang w:eastAsia="en-US"/>
    </w:rPr>
  </w:style>
  <w:style w:type="paragraph" w:styleId="ListParagraph">
    <w:name w:val="List Paragraph"/>
    <w:basedOn w:val="Normal"/>
    <w:uiPriority w:val="34"/>
    <w:qFormat/>
    <w:rsid w:val="00B43846"/>
    <w:pPr>
      <w:ind w:left="720"/>
      <w:contextualSpacing/>
    </w:pPr>
  </w:style>
  <w:style w:type="character" w:customStyle="1" w:styleId="H23GChar">
    <w:name w:val="_ H_2/3_G Char"/>
    <w:link w:val="H23G"/>
    <w:rsid w:val="000B158D"/>
    <w:rPr>
      <w:b/>
      <w:lang w:eastAsia="en-US"/>
    </w:rPr>
  </w:style>
  <w:style w:type="paragraph" w:customStyle="1" w:styleId="ManualBodyText">
    <w:name w:val="Manual Body Text"/>
    <w:basedOn w:val="BodyText"/>
    <w:link w:val="ManualBodyTextChar"/>
    <w:rsid w:val="00B84232"/>
    <w:pPr>
      <w:numPr>
        <w:ilvl w:val="12"/>
      </w:numPr>
      <w:tabs>
        <w:tab w:val="left" w:pos="1418"/>
      </w:tabs>
      <w:suppressAutoHyphens w:val="0"/>
      <w:autoSpaceDE w:val="0"/>
      <w:autoSpaceDN w:val="0"/>
      <w:adjustRightInd w:val="0"/>
      <w:spacing w:line="240" w:lineRule="auto"/>
      <w:jc w:val="both"/>
    </w:pPr>
    <w:rPr>
      <w:rFonts w:eastAsia="SimSun"/>
      <w:sz w:val="22"/>
      <w:szCs w:val="22"/>
      <w:lang w:eastAsia="fr-FR"/>
    </w:rPr>
  </w:style>
  <w:style w:type="character" w:customStyle="1" w:styleId="ManualBodyTextChar">
    <w:name w:val="Manual Body Text Char"/>
    <w:link w:val="ManualBodyText"/>
    <w:rsid w:val="001E0F45"/>
    <w:rPr>
      <w:rFonts w:eastAsia="SimSun"/>
      <w:sz w:val="22"/>
      <w:szCs w:val="22"/>
      <w:lang w:eastAsia="fr-FR"/>
    </w:rPr>
  </w:style>
  <w:style w:type="paragraph" w:customStyle="1" w:styleId="Default">
    <w:name w:val="Default"/>
    <w:rsid w:val="00E145C4"/>
    <w:pPr>
      <w:autoSpaceDE w:val="0"/>
      <w:autoSpaceDN w:val="0"/>
      <w:adjustRightInd w:val="0"/>
    </w:pPr>
    <w:rPr>
      <w:color w:val="000000"/>
      <w:sz w:val="24"/>
      <w:szCs w:val="24"/>
      <w:lang w:val="sv-SE" w:eastAsia="sv-SE"/>
    </w:rPr>
  </w:style>
  <w:style w:type="paragraph" w:customStyle="1" w:styleId="Listenabsatz1">
    <w:name w:val="Listenabsatz1"/>
    <w:basedOn w:val="Normal"/>
    <w:uiPriority w:val="99"/>
    <w:rsid w:val="00E145C4"/>
    <w:pPr>
      <w:suppressAutoHyphens w:val="0"/>
      <w:spacing w:line="240" w:lineRule="auto"/>
      <w:ind w:left="720"/>
      <w:contextualSpacing/>
    </w:pPr>
    <w:rPr>
      <w:sz w:val="24"/>
      <w:szCs w:val="24"/>
      <w:lang w:eastAsia="en-GB"/>
    </w:rPr>
  </w:style>
  <w:style w:type="character" w:customStyle="1" w:styleId="Heading3Char">
    <w:name w:val="Heading 3 Char"/>
    <w:link w:val="Heading3"/>
    <w:rsid w:val="00E145C4"/>
    <w:rPr>
      <w:lang w:eastAsia="en-US"/>
    </w:rPr>
  </w:style>
  <w:style w:type="paragraph" w:customStyle="1" w:styleId="GHSHeading4">
    <w:name w:val="GHSHeading4"/>
    <w:basedOn w:val="Normal"/>
    <w:rsid w:val="00E145C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E145C4"/>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E145C4"/>
    <w:pPr>
      <w:suppressAutoHyphens w:val="0"/>
      <w:spacing w:line="240" w:lineRule="auto"/>
    </w:pPr>
    <w:rPr>
      <w:sz w:val="22"/>
      <w:szCs w:val="24"/>
    </w:rPr>
  </w:style>
  <w:style w:type="paragraph" w:customStyle="1" w:styleId="ManualHeading1">
    <w:name w:val="Manual Heading 1"/>
    <w:basedOn w:val="ManualBodyText"/>
    <w:next w:val="ManualBodyText"/>
    <w:rsid w:val="00E145C4"/>
    <w:pPr>
      <w:keepNext/>
      <w:keepLines/>
      <w:tabs>
        <w:tab w:val="clear" w:pos="1418"/>
      </w:tabs>
      <w:jc w:val="center"/>
    </w:pPr>
    <w:rPr>
      <w:rFonts w:eastAsia="Times New Roman"/>
      <w:b/>
      <w:sz w:val="26"/>
      <w:szCs w:val="26"/>
    </w:rPr>
  </w:style>
  <w:style w:type="paragraph" w:customStyle="1" w:styleId="ManualHeading3">
    <w:name w:val="Manual Heading 3"/>
    <w:basedOn w:val="ManualBodyText"/>
    <w:next w:val="ManualBodyText"/>
    <w:rsid w:val="00E145C4"/>
    <w:pPr>
      <w:keepNext/>
      <w:keepLines/>
    </w:pPr>
    <w:rPr>
      <w:rFonts w:eastAsia="Times New Roman"/>
      <w:b/>
    </w:rPr>
  </w:style>
  <w:style w:type="paragraph" w:customStyle="1" w:styleId="ManualHeading4">
    <w:name w:val="Manual Heading 4"/>
    <w:basedOn w:val="ManualBodyText"/>
    <w:next w:val="ManualBodyText"/>
    <w:rsid w:val="00E145C4"/>
    <w:pPr>
      <w:keepNext/>
      <w:keepLines/>
    </w:pPr>
    <w:rPr>
      <w:rFonts w:eastAsia="Times New Roman"/>
    </w:rPr>
  </w:style>
  <w:style w:type="paragraph" w:customStyle="1" w:styleId="ManualHeading5">
    <w:name w:val="Manual Heading 5"/>
    <w:basedOn w:val="ManualBodyText"/>
    <w:next w:val="ManualBodyText"/>
    <w:rsid w:val="00E145C4"/>
    <w:pPr>
      <w:keepNext/>
      <w:keepLines/>
    </w:pPr>
    <w:rPr>
      <w:rFonts w:eastAsia="Times New Roman"/>
    </w:rPr>
  </w:style>
  <w:style w:type="paragraph" w:customStyle="1" w:styleId="ManualHeading6">
    <w:name w:val="Manual Heading 6"/>
    <w:basedOn w:val="ManualBodyText"/>
    <w:next w:val="ManualBodyText"/>
    <w:rsid w:val="00E145C4"/>
    <w:pPr>
      <w:keepNext/>
      <w:keepLines/>
    </w:pPr>
    <w:rPr>
      <w:rFonts w:eastAsia="Times New Roman"/>
    </w:rPr>
  </w:style>
  <w:style w:type="paragraph" w:customStyle="1" w:styleId="ManualPartEN">
    <w:name w:val="Manual Part EN"/>
    <w:basedOn w:val="ManualHeading1"/>
    <w:next w:val="ManualHeading1"/>
    <w:rsid w:val="00E145C4"/>
    <w:rPr>
      <w:bCs/>
      <w:sz w:val="56"/>
      <w:szCs w:val="44"/>
    </w:rPr>
  </w:style>
  <w:style w:type="character" w:customStyle="1" w:styleId="HTMLPreformattedChar">
    <w:name w:val="HTML Preformatted Char"/>
    <w:link w:val="HTMLPreformatted"/>
    <w:uiPriority w:val="99"/>
    <w:rsid w:val="00E145C4"/>
    <w:rPr>
      <w:rFonts w:ascii="Courier New" w:hAnsi="Courier New" w:cs="Courier New"/>
      <w:lang w:eastAsia="en-US"/>
    </w:rPr>
  </w:style>
  <w:style w:type="character" w:customStyle="1" w:styleId="FooterChar">
    <w:name w:val="Footer Char"/>
    <w:aliases w:val="3_G Char"/>
    <w:link w:val="Footer"/>
    <w:uiPriority w:val="99"/>
    <w:rsid w:val="00E145C4"/>
    <w:rPr>
      <w:sz w:val="16"/>
      <w:lang w:eastAsia="en-US"/>
    </w:rPr>
  </w:style>
  <w:style w:type="character" w:customStyle="1" w:styleId="BodyTextIndentChar">
    <w:name w:val="Body Text Indent Char"/>
    <w:link w:val="BodyTextIndent"/>
    <w:semiHidden/>
    <w:rsid w:val="00E145C4"/>
    <w:rPr>
      <w:lang w:eastAsia="en-US"/>
    </w:rPr>
  </w:style>
  <w:style w:type="character" w:customStyle="1" w:styleId="BodyTextIndent2Char">
    <w:name w:val="Body Text Indent 2 Char"/>
    <w:link w:val="BodyTextIndent2"/>
    <w:semiHidden/>
    <w:rsid w:val="00E145C4"/>
    <w:rPr>
      <w:lang w:eastAsia="en-US"/>
    </w:rPr>
  </w:style>
  <w:style w:type="character" w:customStyle="1" w:styleId="HeaderChar">
    <w:name w:val="Header Char"/>
    <w:aliases w:val="6_G Char"/>
    <w:link w:val="Header"/>
    <w:rsid w:val="00E145C4"/>
    <w:rPr>
      <w:b/>
      <w:sz w:val="18"/>
      <w:lang w:eastAsia="en-US"/>
    </w:rPr>
  </w:style>
  <w:style w:type="character" w:customStyle="1" w:styleId="BodyTextIndent3Char">
    <w:name w:val="Body Text Indent 3 Char"/>
    <w:link w:val="BodyTextIndent3"/>
    <w:semiHidden/>
    <w:rsid w:val="00E145C4"/>
    <w:rPr>
      <w:sz w:val="16"/>
      <w:szCs w:val="16"/>
      <w:lang w:eastAsia="en-US"/>
    </w:rPr>
  </w:style>
  <w:style w:type="character" w:customStyle="1" w:styleId="TitleChar">
    <w:name w:val="Title Char"/>
    <w:link w:val="Title"/>
    <w:rsid w:val="00E145C4"/>
    <w:rPr>
      <w:rFonts w:ascii="Arial" w:hAnsi="Arial" w:cs="Arial"/>
      <w:b/>
      <w:bCs/>
      <w:kern w:val="28"/>
      <w:sz w:val="32"/>
      <w:szCs w:val="32"/>
      <w:lang w:eastAsia="en-US"/>
    </w:rPr>
  </w:style>
  <w:style w:type="character" w:customStyle="1" w:styleId="Heading5Char">
    <w:name w:val="Heading 5 Char"/>
    <w:link w:val="Heading5"/>
    <w:rsid w:val="00E145C4"/>
    <w:rPr>
      <w:lang w:eastAsia="en-US"/>
    </w:rPr>
  </w:style>
  <w:style w:type="character" w:customStyle="1" w:styleId="EndnoteTextChar">
    <w:name w:val="Endnote Text Char"/>
    <w:aliases w:val="2_G Char"/>
    <w:link w:val="EndnoteText"/>
    <w:rsid w:val="00E145C4"/>
    <w:rPr>
      <w:sz w:val="18"/>
      <w:lang w:eastAsia="en-US"/>
    </w:rPr>
  </w:style>
  <w:style w:type="paragraph" w:customStyle="1" w:styleId="a">
    <w:name w:val="–"/>
    <w:semiHidden/>
    <w:rsid w:val="00E145C4"/>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E145C4"/>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145C4"/>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E145C4"/>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145C4"/>
    <w:rPr>
      <w:lang w:eastAsia="en-US"/>
    </w:rPr>
  </w:style>
  <w:style w:type="character" w:styleId="PlaceholderText">
    <w:name w:val="Placeholder Text"/>
    <w:basedOn w:val="DefaultParagraphFont"/>
    <w:uiPriority w:val="99"/>
    <w:semiHidden/>
    <w:rsid w:val="00E145C4"/>
    <w:rPr>
      <w:color w:val="808080"/>
    </w:rPr>
  </w:style>
  <w:style w:type="paragraph" w:customStyle="1" w:styleId="Body">
    <w:name w:val="Body"/>
    <w:rsid w:val="006564B0"/>
    <w:pPr>
      <w:pBdr>
        <w:top w:val="nil"/>
        <w:left w:val="nil"/>
        <w:bottom w:val="nil"/>
        <w:right w:val="nil"/>
        <w:between w:val="nil"/>
        <w:bar w:val="nil"/>
      </w:pBdr>
    </w:pPr>
    <w:rPr>
      <w:rFonts w:ascii="Helvetica" w:eastAsia="Arial Unicode MS" w:hAnsi="Arial Unicode MS" w:cs="Arial Unicode MS"/>
      <w:color w:val="000000"/>
      <w:sz w:val="22"/>
      <w:szCs w:val="22"/>
      <w:bdr w:val="nil"/>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A787-A16E-4C2F-AA87-95D39412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66</TotalTime>
  <Pages>5</Pages>
  <Words>2218</Words>
  <Characters>12649</Characters>
  <Application>Microsoft Office Word</Application>
  <DocSecurity>0</DocSecurity>
  <Lines>105</Lines>
  <Paragraphs>29</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11</cp:revision>
  <cp:lastPrinted>2018-03-29T12:59:00Z</cp:lastPrinted>
  <dcterms:created xsi:type="dcterms:W3CDTF">2018-03-29T12:10:00Z</dcterms:created>
  <dcterms:modified xsi:type="dcterms:W3CDTF">2018-04-09T09:30:00Z</dcterms:modified>
</cp:coreProperties>
</file>