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65717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657179" w:rsidP="00657179">
            <w:pPr>
              <w:jc w:val="right"/>
            </w:pPr>
            <w:r w:rsidRPr="00657179">
              <w:rPr>
                <w:sz w:val="40"/>
              </w:rPr>
              <w:t>ST</w:t>
            </w:r>
            <w:r>
              <w:t>/SG/AC.10/C.3/2018/25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657179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57179" w:rsidRDefault="00657179" w:rsidP="00657179">
            <w:pPr>
              <w:spacing w:line="240" w:lineRule="exact"/>
            </w:pPr>
            <w:r>
              <w:t>3 avril 2018</w:t>
            </w:r>
          </w:p>
          <w:p w:rsidR="00657179" w:rsidRDefault="00657179" w:rsidP="00657179">
            <w:pPr>
              <w:spacing w:line="240" w:lineRule="exact"/>
            </w:pPr>
            <w:r>
              <w:t>Français</w:t>
            </w:r>
          </w:p>
          <w:p w:rsidR="00657179" w:rsidRPr="00DB58B5" w:rsidRDefault="00657179" w:rsidP="00657179">
            <w:pPr>
              <w:spacing w:line="240" w:lineRule="exact"/>
            </w:pPr>
            <w:r>
              <w:t>Original : anglais</w:t>
            </w:r>
          </w:p>
        </w:tc>
      </w:tr>
    </w:tbl>
    <w:p w:rsidR="00657179" w:rsidRPr="00657179" w:rsidRDefault="00657179" w:rsidP="00657179">
      <w:pPr>
        <w:rPr>
          <w:b/>
          <w:sz w:val="24"/>
          <w:szCs w:val="24"/>
        </w:rPr>
      </w:pPr>
      <w:r w:rsidRPr="00657179">
        <w:rPr>
          <w:b/>
          <w:sz w:val="24"/>
          <w:szCs w:val="24"/>
        </w:rPr>
        <w:t xml:space="preserve">Comité d’experts du transport des marchandises dangereuses </w:t>
      </w:r>
      <w:r w:rsidRPr="00657179">
        <w:rPr>
          <w:b/>
          <w:sz w:val="24"/>
          <w:szCs w:val="24"/>
        </w:rPr>
        <w:br/>
        <w:t xml:space="preserve">et du Système général harmonisé de classification </w:t>
      </w:r>
      <w:r w:rsidRPr="00657179">
        <w:rPr>
          <w:b/>
          <w:sz w:val="24"/>
          <w:szCs w:val="24"/>
        </w:rPr>
        <w:br/>
        <w:t>et d’étiquetage des produits chimiques</w:t>
      </w:r>
    </w:p>
    <w:p w:rsidR="00657179" w:rsidRDefault="00657179" w:rsidP="00657179">
      <w:pPr>
        <w:spacing w:before="120"/>
        <w:rPr>
          <w:b/>
          <w:szCs w:val="24"/>
        </w:rPr>
      </w:pPr>
      <w:r w:rsidRPr="007A4B5D">
        <w:rPr>
          <w:b/>
          <w:szCs w:val="24"/>
        </w:rPr>
        <w:t>Sous-Comité d</w:t>
      </w:r>
      <w:r>
        <w:rPr>
          <w:b/>
          <w:szCs w:val="24"/>
        </w:rPr>
        <w:t>’</w:t>
      </w:r>
      <w:r w:rsidRPr="007A4B5D">
        <w:rPr>
          <w:b/>
          <w:szCs w:val="24"/>
        </w:rPr>
        <w:t>experts du transport des marchandises dangereuses</w:t>
      </w:r>
    </w:p>
    <w:p w:rsidR="00657179" w:rsidRDefault="00657179" w:rsidP="00657179">
      <w:pPr>
        <w:spacing w:before="120"/>
        <w:rPr>
          <w:b/>
        </w:rPr>
      </w:pPr>
      <w:r w:rsidRPr="007A4B5D">
        <w:rPr>
          <w:b/>
        </w:rPr>
        <w:t>Cinquante-troisième session</w:t>
      </w:r>
    </w:p>
    <w:p w:rsidR="00657179" w:rsidRPr="007B2B1F" w:rsidRDefault="00657179" w:rsidP="00657179">
      <w:r w:rsidRPr="007B2B1F">
        <w:t>Gen</w:t>
      </w:r>
      <w:r>
        <w:t>ève</w:t>
      </w:r>
      <w:r w:rsidRPr="007B2B1F">
        <w:t xml:space="preserve">, </w:t>
      </w:r>
      <w:r>
        <w:t>25 juin-4 juillet 2018</w:t>
      </w:r>
    </w:p>
    <w:p w:rsidR="00657179" w:rsidRDefault="00657179" w:rsidP="00657179">
      <w:pPr>
        <w:rPr>
          <w:b/>
        </w:rPr>
      </w:pPr>
      <w:r>
        <w:t>Point </w:t>
      </w:r>
      <w:r w:rsidRPr="007A4B5D">
        <w:t>3 de l</w:t>
      </w:r>
      <w:r>
        <w:t>’</w:t>
      </w:r>
      <w:r w:rsidRPr="007A4B5D">
        <w:t>ordre du jour provisoire</w:t>
      </w:r>
      <w:r w:rsidRPr="007B2B1F">
        <w:rPr>
          <w:b/>
        </w:rPr>
        <w:br/>
      </w:r>
      <w:r w:rsidRPr="007A4B5D">
        <w:rPr>
          <w:b/>
        </w:rPr>
        <w:t>Inscription, classement et emballage</w:t>
      </w:r>
    </w:p>
    <w:p w:rsidR="00657179" w:rsidRPr="00891B16" w:rsidRDefault="00657179" w:rsidP="00657179">
      <w:pPr>
        <w:pStyle w:val="HChG"/>
      </w:pPr>
      <w:r w:rsidRPr="005E2CE0">
        <w:tab/>
      </w:r>
      <w:r w:rsidRPr="005E2CE0">
        <w:tab/>
        <w:t>Clarification des prescriptions relatives à l</w:t>
      </w:r>
      <w:r>
        <w:t>’</w:t>
      </w:r>
      <w:r w:rsidRPr="005E2CE0">
        <w:t xml:space="preserve">épreuve </w:t>
      </w:r>
      <w:r>
        <w:br/>
      </w:r>
      <w:r w:rsidRPr="005E2CE0">
        <w:t xml:space="preserve">de résistance des emballages de matières infectieuses </w:t>
      </w:r>
      <w:r>
        <w:br/>
      </w:r>
      <w:proofErr w:type="gramStart"/>
      <w:r w:rsidR="00F80CBF">
        <w:t>du</w:t>
      </w:r>
      <w:proofErr w:type="gramEnd"/>
      <w:r w:rsidR="00F80CBF">
        <w:t xml:space="preserve"> </w:t>
      </w:r>
      <w:r w:rsidR="00EA19C9">
        <w:t>c</w:t>
      </w:r>
      <w:r w:rsidR="00F80CBF">
        <w:t>hapitre </w:t>
      </w:r>
      <w:r w:rsidRPr="005E2CE0">
        <w:t>6.3</w:t>
      </w:r>
    </w:p>
    <w:p w:rsidR="00657179" w:rsidRPr="00891B16" w:rsidRDefault="00657179" w:rsidP="00657179">
      <w:pPr>
        <w:pStyle w:val="H1G"/>
      </w:pPr>
      <w:r w:rsidRPr="00891B16">
        <w:tab/>
      </w:r>
      <w:r w:rsidRPr="00891B16">
        <w:tab/>
      </w:r>
      <w:r w:rsidRPr="007A4B5D">
        <w:t>Communication de l</w:t>
      </w:r>
      <w:r>
        <w:t>’</w:t>
      </w:r>
      <w:r w:rsidRPr="007A4B5D">
        <w:t>expert du Canada</w:t>
      </w:r>
      <w:r w:rsidRPr="0065717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57179" w:rsidRPr="00453028" w:rsidRDefault="00657179" w:rsidP="00657179">
      <w:pPr>
        <w:pStyle w:val="HChG"/>
      </w:pPr>
      <w:r>
        <w:tab/>
      </w:r>
      <w:r>
        <w:tab/>
      </w:r>
      <w:r w:rsidR="0076692F">
        <w:t>Introduction</w:t>
      </w:r>
    </w:p>
    <w:p w:rsidR="00657179" w:rsidRDefault="00657179" w:rsidP="00657179">
      <w:pPr>
        <w:pStyle w:val="SingleTxtG"/>
      </w:pPr>
      <w:r>
        <w:t>1.</w:t>
      </w:r>
      <w:r>
        <w:tab/>
        <w:t>Le présent document contient des propositions de modifications à apporter au c</w:t>
      </w:r>
      <w:r w:rsidRPr="0016457B">
        <w:t>hapitre 6.3</w:t>
      </w:r>
      <w:r>
        <w:t xml:space="preserve"> du </w:t>
      </w:r>
      <w:r w:rsidRPr="007A4B5D">
        <w:t xml:space="preserve">Règlement type </w:t>
      </w:r>
      <w:r>
        <w:t>afin de</w:t>
      </w:r>
      <w:r w:rsidRPr="007A4B5D">
        <w:t xml:space="preserve"> clarifier les prescriptions </w:t>
      </w:r>
      <w:r>
        <w:t>relatives à</w:t>
      </w:r>
      <w:r w:rsidRPr="007A4B5D">
        <w:t xml:space="preserve"> l</w:t>
      </w:r>
      <w:r>
        <w:t>’</w:t>
      </w:r>
      <w:r w:rsidRPr="007A4B5D">
        <w:t xml:space="preserve">épreuve de résistance des emballages de matières infectieuses </w:t>
      </w:r>
      <w:r>
        <w:t>exposées</w:t>
      </w:r>
      <w:r w:rsidRPr="00EE5C28">
        <w:t>.</w:t>
      </w:r>
    </w:p>
    <w:p w:rsidR="00657179" w:rsidRDefault="00657179" w:rsidP="00DA69EC">
      <w:pPr>
        <w:pStyle w:val="SingleTxtG"/>
        <w:tabs>
          <w:tab w:val="left" w:pos="1701"/>
        </w:tabs>
      </w:pPr>
      <w:r>
        <w:t>2.</w:t>
      </w:r>
      <w:r>
        <w:tab/>
      </w:r>
      <w:r w:rsidRPr="007A4B5D">
        <w:t xml:space="preserve">Le tableau </w:t>
      </w:r>
      <w:r>
        <w:t>présenté au</w:t>
      </w:r>
      <w:r w:rsidRPr="007A4B5D">
        <w:t xml:space="preserve"> </w:t>
      </w:r>
      <w:r>
        <w:t xml:space="preserve">paragraphe </w:t>
      </w:r>
      <w:r w:rsidRPr="007A4B5D">
        <w:t>6.3.5.2.2, intitulé «</w:t>
      </w:r>
      <w:r>
        <w:t> </w:t>
      </w:r>
      <w:r w:rsidRPr="007A4B5D">
        <w:t>Épreuves prescrites pour les types d</w:t>
      </w:r>
      <w:r>
        <w:t>’</w:t>
      </w:r>
      <w:r w:rsidRPr="007A4B5D">
        <w:t>emballage</w:t>
      </w:r>
      <w:r>
        <w:t> </w:t>
      </w:r>
      <w:r w:rsidRPr="007A4B5D">
        <w:t xml:space="preserve">» </w:t>
      </w:r>
      <w:r>
        <w:t>décrit</w:t>
      </w:r>
      <w:r w:rsidRPr="007A4B5D">
        <w:t xml:space="preserve"> les épreuves et le nombre d</w:t>
      </w:r>
      <w:r>
        <w:t>’</w:t>
      </w:r>
      <w:r w:rsidRPr="007A4B5D">
        <w:t>échantillons prescrits pour l</w:t>
      </w:r>
      <w:r>
        <w:t>’</w:t>
      </w:r>
      <w:r w:rsidRPr="007A4B5D">
        <w:t xml:space="preserve">épreuve de résistance des emballages </w:t>
      </w:r>
      <w:r>
        <w:t>destinés au</w:t>
      </w:r>
      <w:r w:rsidRPr="007A4B5D">
        <w:t xml:space="preserve"> transport de matières infectieuses. Dans </w:t>
      </w:r>
      <w:r>
        <w:t xml:space="preserve">ce </w:t>
      </w:r>
      <w:r w:rsidRPr="007A4B5D">
        <w:t>tableau, la colonne intitulée «</w:t>
      </w:r>
      <w:r>
        <w:t> </w:t>
      </w:r>
      <w:r w:rsidRPr="007A4B5D">
        <w:t>Chute supplémentaire 6.3.5.3.6.3</w:t>
      </w:r>
      <w:r>
        <w:t> </w:t>
      </w:r>
      <w:r w:rsidRPr="007A4B5D">
        <w:t xml:space="preserve">» </w:t>
      </w:r>
      <w:r>
        <w:t xml:space="preserve">prévoit </w:t>
      </w:r>
      <w:r w:rsidRPr="007A4B5D">
        <w:t xml:space="preserve">un </w:t>
      </w:r>
      <w:r>
        <w:t xml:space="preserve">essai </w:t>
      </w:r>
      <w:r w:rsidRPr="007A4B5D">
        <w:t>de chute supplémentaire lorsque l</w:t>
      </w:r>
      <w:r>
        <w:t>’</w:t>
      </w:r>
      <w:r w:rsidRPr="007A4B5D">
        <w:t>emballage est destiné à conteni</w:t>
      </w:r>
      <w:r>
        <w:t>r de la neige carbonique. Des « </w:t>
      </w:r>
      <w:r w:rsidR="00992EAA">
        <w:t>E</w:t>
      </w:r>
      <w:r w:rsidRPr="007A4B5D">
        <w:t>xplications concernant l</w:t>
      </w:r>
      <w:r>
        <w:t>’utilisation du tableau </w:t>
      </w:r>
      <w:r w:rsidRPr="007A4B5D">
        <w:t>» sont données en</w:t>
      </w:r>
      <w:r w:rsidR="00992EAA">
        <w:t xml:space="preserve"> </w:t>
      </w:r>
      <w:r w:rsidRPr="007A4B5D">
        <w:t xml:space="preserve">dessous </w:t>
      </w:r>
      <w:r>
        <w:t>de ce même tableau. Il y est indiqué que « </w:t>
      </w:r>
      <w:r w:rsidRPr="007A4B5D">
        <w:t>si l</w:t>
      </w:r>
      <w:r>
        <w:t>’</w:t>
      </w:r>
      <w:r w:rsidRPr="007A4B5D">
        <w:t xml:space="preserve">emballage est destiné à contenir de la neige carbonique, un seul échantillon supplémentaire doit subir cinq essais de chute après conditionnement conformément </w:t>
      </w:r>
      <w:r>
        <w:t>au</w:t>
      </w:r>
      <w:r w:rsidRPr="007A4B5D">
        <w:t xml:space="preserve"> </w:t>
      </w:r>
      <w:r>
        <w:t>paragraphe 6.3.5.3.6.3 </w:t>
      </w:r>
      <w:r w:rsidRPr="007A4B5D">
        <w:t>».</w:t>
      </w:r>
    </w:p>
    <w:p w:rsidR="0076692F" w:rsidRPr="002E7FA7" w:rsidRDefault="002E03F3" w:rsidP="00DA69EC">
      <w:pPr>
        <w:pStyle w:val="SingleTxtG"/>
        <w:ind w:left="1701"/>
      </w:pPr>
      <w:r>
        <w:br w:type="page"/>
      </w:r>
      <w:r>
        <w:lastRenderedPageBreak/>
        <w:t>« </w:t>
      </w:r>
      <w:r w:rsidR="0076692F" w:rsidRPr="006070E6">
        <w:rPr>
          <w:i/>
        </w:rPr>
        <w:t>6.3.5.2.2</w:t>
      </w:r>
      <w:r w:rsidR="0076692F" w:rsidRPr="006070E6">
        <w:rPr>
          <w:i/>
        </w:rPr>
        <w:tab/>
        <w:t>Épreuves et nombre d’échantillons prescrits</w:t>
      </w:r>
    </w:p>
    <w:p w:rsidR="0076692F" w:rsidRDefault="00A12BF0" w:rsidP="002E03F3">
      <w:pPr>
        <w:pStyle w:val="H23G"/>
        <w:rPr>
          <w:sz w:val="18"/>
        </w:rPr>
      </w:pPr>
      <w:r>
        <w:tab/>
      </w:r>
      <w:r w:rsidR="0076692F" w:rsidRPr="007A4B5D">
        <w:t>Épreuves prescrites pour les types d</w:t>
      </w:r>
      <w:r w:rsidR="0076692F">
        <w:t>’</w:t>
      </w:r>
      <w:r w:rsidR="0076692F" w:rsidRPr="007A4B5D">
        <w:t>emballage</w:t>
      </w: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868"/>
        <w:gridCol w:w="622"/>
        <w:gridCol w:w="1145"/>
        <w:gridCol w:w="1331"/>
        <w:gridCol w:w="1129"/>
        <w:gridCol w:w="1264"/>
        <w:gridCol w:w="1148"/>
        <w:gridCol w:w="946"/>
      </w:tblGrid>
      <w:tr w:rsidR="002E03F3" w:rsidRPr="002E03F3" w:rsidTr="001B6531">
        <w:trPr>
          <w:tblHeader/>
          <w:jc w:val="center"/>
        </w:trPr>
        <w:tc>
          <w:tcPr>
            <w:tcW w:w="26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2E03F3">
              <w:rPr>
                <w:i/>
                <w:sz w:val="16"/>
              </w:rPr>
              <w:t>Type d’</w:t>
            </w:r>
            <w:proofErr w:type="spellStart"/>
            <w:r w:rsidR="002E03F3">
              <w:rPr>
                <w:i/>
                <w:sz w:val="16"/>
              </w:rPr>
              <w:t>emballage</w:t>
            </w:r>
            <w:r w:rsidRPr="002E03F3">
              <w:rPr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2E03F3">
              <w:rPr>
                <w:i/>
                <w:sz w:val="16"/>
              </w:rPr>
              <w:t>Épreuves prescrites</w:t>
            </w:r>
          </w:p>
        </w:tc>
      </w:tr>
      <w:tr w:rsidR="00D2391B" w:rsidRPr="002E03F3" w:rsidTr="001B6531">
        <w:trPr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692F" w:rsidRPr="00D57F70" w:rsidRDefault="0076692F" w:rsidP="002E03F3">
            <w:pPr>
              <w:suppressAutoHyphens w:val="0"/>
              <w:spacing w:before="40" w:after="40" w:line="220" w:lineRule="exact"/>
              <w:ind w:left="57" w:right="57"/>
              <w:rPr>
                <w:i/>
                <w:sz w:val="18"/>
              </w:rPr>
            </w:pPr>
            <w:r w:rsidRPr="00D57F70">
              <w:rPr>
                <w:i/>
                <w:sz w:val="18"/>
              </w:rPr>
              <w:t xml:space="preserve">Emballage extérieur </w:t>
            </w:r>
            <w:r w:rsidR="002E03F3" w:rsidRPr="00D57F70">
              <w:rPr>
                <w:i/>
                <w:sz w:val="18"/>
              </w:rPr>
              <w:br/>
            </w:r>
            <w:r w:rsidRPr="00D57F70">
              <w:rPr>
                <w:i/>
                <w:sz w:val="18"/>
              </w:rPr>
              <w:t>rigide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692F" w:rsidRPr="00D57F70" w:rsidRDefault="0076692F" w:rsidP="002E03F3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</w:rPr>
            </w:pPr>
            <w:r w:rsidRPr="00D57F70">
              <w:rPr>
                <w:i/>
                <w:sz w:val="18"/>
              </w:rPr>
              <w:t>Récipient primaire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92F" w:rsidRPr="00D57F70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</w:rPr>
            </w:pPr>
            <w:r w:rsidRPr="00D57F70">
              <w:rPr>
                <w:i/>
                <w:sz w:val="18"/>
              </w:rPr>
              <w:t>Aspersion d’eau 6.3.5.3.6.1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92F" w:rsidRPr="001B6531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pacing w:val="-2"/>
                <w:sz w:val="18"/>
              </w:rPr>
            </w:pPr>
            <w:r w:rsidRPr="001B6531">
              <w:rPr>
                <w:i/>
                <w:spacing w:val="-2"/>
                <w:sz w:val="18"/>
              </w:rPr>
              <w:t xml:space="preserve">Conditionnement au froid </w:t>
            </w:r>
            <w:r w:rsidR="00D2391B" w:rsidRPr="001B6531">
              <w:rPr>
                <w:i/>
                <w:spacing w:val="-2"/>
                <w:sz w:val="18"/>
              </w:rPr>
              <w:br/>
            </w:r>
            <w:r w:rsidRPr="001B6531">
              <w:rPr>
                <w:i/>
                <w:spacing w:val="-2"/>
                <w:sz w:val="18"/>
              </w:rPr>
              <w:t>6.3.5.3.6.2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92F" w:rsidRPr="00D57F70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</w:rPr>
            </w:pPr>
            <w:r w:rsidRPr="00D57F70">
              <w:rPr>
                <w:i/>
                <w:sz w:val="18"/>
              </w:rPr>
              <w:t xml:space="preserve">Chute </w:t>
            </w:r>
            <w:r w:rsidR="001B6531">
              <w:rPr>
                <w:i/>
                <w:sz w:val="18"/>
              </w:rPr>
              <w:br/>
            </w:r>
            <w:r w:rsidRPr="00D57F70">
              <w:rPr>
                <w:i/>
                <w:sz w:val="18"/>
              </w:rPr>
              <w:t>6.3.5.3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92F" w:rsidRPr="00D57F70" w:rsidRDefault="003F0B05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</w:rPr>
            </w:pPr>
            <w:r w:rsidRPr="002E03F3">
              <w:rPr>
                <w:noProof/>
                <w:sz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CC75F9" wp14:editId="6DD6B9A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-5715</wp:posOffset>
                      </wp:positionV>
                      <wp:extent cx="779145" cy="3203575"/>
                      <wp:effectExtent l="19050" t="19050" r="20955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45" cy="32035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E7090" id="Rectangle 4" o:spid="_x0000_s1026" style="position:absolute;margin-left:.85pt;margin-top:-.45pt;width:61.35pt;height:2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" filled="f" strokecolor="red" strokeweight="3pt"/>
                  </w:pict>
                </mc:Fallback>
              </mc:AlternateContent>
            </w:r>
            <w:r w:rsidR="0076692F" w:rsidRPr="00D57F70">
              <w:rPr>
                <w:i/>
                <w:noProof/>
                <w:sz w:val="18"/>
                <w:lang w:eastAsia="fr-CH"/>
              </w:rPr>
              <w:t>Chute supplémentaire</w:t>
            </w:r>
            <w:r w:rsidR="0076692F" w:rsidRPr="00D57F70">
              <w:rPr>
                <w:i/>
                <w:sz w:val="18"/>
              </w:rPr>
              <w:t xml:space="preserve"> 6.3.5.3.6.3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92F" w:rsidRPr="00D57F70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</w:rPr>
            </w:pPr>
            <w:r w:rsidRPr="00D57F70">
              <w:rPr>
                <w:i/>
                <w:sz w:val="18"/>
              </w:rPr>
              <w:t>Perforation 6.3.5.4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92F" w:rsidRPr="00D57F70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</w:rPr>
            </w:pPr>
            <w:r w:rsidRPr="00D57F70">
              <w:rPr>
                <w:i/>
                <w:sz w:val="18"/>
              </w:rPr>
              <w:t>Gerbage 6.1.5.6</w:t>
            </w:r>
          </w:p>
        </w:tc>
      </w:tr>
      <w:tr w:rsidR="00D2391B" w:rsidRPr="002E03F3" w:rsidTr="001B6531">
        <w:trPr>
          <w:jc w:val="center"/>
        </w:trPr>
        <w:tc>
          <w:tcPr>
            <w:tcW w:w="118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6692F" w:rsidRPr="00D57F70" w:rsidRDefault="0076692F" w:rsidP="002E03F3">
            <w:pPr>
              <w:suppressAutoHyphens w:val="0"/>
              <w:spacing w:before="40" w:after="40" w:line="220" w:lineRule="exact"/>
              <w:ind w:left="57" w:right="57"/>
              <w:rPr>
                <w:i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692F" w:rsidRPr="00D57F70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</w:rPr>
            </w:pPr>
            <w:r w:rsidRPr="00D57F70">
              <w:rPr>
                <w:i/>
                <w:sz w:val="18"/>
              </w:rPr>
              <w:t>Matière plastique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692F" w:rsidRPr="00D57F70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</w:rPr>
            </w:pPr>
            <w:r w:rsidRPr="00D57F70">
              <w:rPr>
                <w:i/>
                <w:sz w:val="18"/>
              </w:rPr>
              <w:t>Autre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6692F" w:rsidRPr="001B6531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pacing w:val="-2"/>
                <w:sz w:val="18"/>
              </w:rPr>
            </w:pPr>
            <w:r w:rsidRPr="001B6531">
              <w:rPr>
                <w:i/>
                <w:spacing w:val="-2"/>
                <w:sz w:val="18"/>
              </w:rPr>
              <w:t>Nombre d’échantillons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6692F" w:rsidRPr="001B6531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pacing w:val="-2"/>
                <w:sz w:val="18"/>
              </w:rPr>
            </w:pPr>
            <w:r w:rsidRPr="001B6531">
              <w:rPr>
                <w:i/>
                <w:spacing w:val="-2"/>
                <w:sz w:val="18"/>
              </w:rPr>
              <w:t>Nombre d’échantillons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6692F" w:rsidRPr="001B6531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pacing w:val="-2"/>
                <w:sz w:val="18"/>
              </w:rPr>
            </w:pPr>
            <w:r w:rsidRPr="001B6531">
              <w:rPr>
                <w:i/>
                <w:spacing w:val="-2"/>
                <w:sz w:val="18"/>
              </w:rPr>
              <w:t>Nombre d’échantillons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6692F" w:rsidRPr="00D57F70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</w:rPr>
            </w:pPr>
            <w:r w:rsidRPr="00D57F70">
              <w:rPr>
                <w:i/>
                <w:sz w:val="18"/>
              </w:rPr>
              <w:t>Nombre d’échantillons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6692F" w:rsidRPr="00D57F70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i/>
                <w:sz w:val="18"/>
              </w:rPr>
            </w:pPr>
            <w:r w:rsidRPr="00D57F70">
              <w:rPr>
                <w:i/>
                <w:sz w:val="18"/>
              </w:rPr>
              <w:t>Nombre d’échantillons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6692F" w:rsidRPr="00D57F70" w:rsidRDefault="0076692F" w:rsidP="002E03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i/>
                <w:sz w:val="18"/>
              </w:rPr>
            </w:pPr>
          </w:p>
        </w:tc>
      </w:tr>
      <w:tr w:rsidR="00D2391B" w:rsidRPr="002E03F3" w:rsidTr="001B6531">
        <w:trPr>
          <w:jc w:val="center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2E03F3">
              <w:rPr>
                <w:sz w:val="18"/>
              </w:rPr>
              <w:t>Caisse en carton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proofErr w:type="gramStart"/>
            <w:r w:rsidRPr="002E03F3">
              <w:rPr>
                <w:sz w:val="18"/>
              </w:rPr>
              <w:t>x</w:t>
            </w:r>
            <w:proofErr w:type="gramEnd"/>
          </w:p>
        </w:tc>
        <w:tc>
          <w:tcPr>
            <w:tcW w:w="622" w:type="dxa"/>
            <w:tcBorders>
              <w:top w:val="single" w:sz="12" w:space="0" w:color="auto"/>
            </w:tcBorders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5</w:t>
            </w:r>
          </w:p>
        </w:tc>
        <w:tc>
          <w:tcPr>
            <w:tcW w:w="13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5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10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92F" w:rsidRPr="002E03F3" w:rsidRDefault="0076692F" w:rsidP="001B6531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Prescrite pour un écha</w:t>
            </w:r>
            <w:r w:rsidR="001B6531">
              <w:rPr>
                <w:sz w:val="18"/>
              </w:rPr>
              <w:t>ntillon lorsque l’emballage est </w:t>
            </w:r>
            <w:r w:rsidRPr="002E03F3">
              <w:rPr>
                <w:sz w:val="18"/>
              </w:rPr>
              <w:t>destiné</w:t>
            </w:r>
            <w:r w:rsidR="00D2391B">
              <w:rPr>
                <w:sz w:val="18"/>
              </w:rPr>
              <w:t xml:space="preserve"> </w:t>
            </w:r>
            <w:r w:rsidR="001B6531">
              <w:rPr>
                <w:sz w:val="18"/>
              </w:rPr>
              <w:t>à contenir de la </w:t>
            </w:r>
            <w:r w:rsidRPr="002E03F3">
              <w:rPr>
                <w:sz w:val="18"/>
              </w:rPr>
              <w:t>neige carbonique</w:t>
            </w:r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2</w:t>
            </w:r>
          </w:p>
        </w:tc>
        <w:tc>
          <w:tcPr>
            <w:tcW w:w="9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92F" w:rsidRPr="001B6531" w:rsidRDefault="0076692F" w:rsidP="00D2391B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pacing w:val="-2"/>
                <w:sz w:val="18"/>
              </w:rPr>
            </w:pPr>
            <w:r w:rsidRPr="001B6531">
              <w:rPr>
                <w:spacing w:val="-2"/>
                <w:sz w:val="18"/>
              </w:rPr>
              <w:t xml:space="preserve">Prescrite pour trois </w:t>
            </w:r>
            <w:r w:rsidRPr="001B6531">
              <w:rPr>
                <w:spacing w:val="-4"/>
                <w:sz w:val="18"/>
              </w:rPr>
              <w:t xml:space="preserve">échantillons </w:t>
            </w:r>
            <w:r w:rsidRPr="001B6531">
              <w:rPr>
                <w:spacing w:val="-2"/>
                <w:sz w:val="18"/>
              </w:rPr>
              <w:t>lors de l’épreuve d’un</w:t>
            </w:r>
            <w:r w:rsidR="002E03F3" w:rsidRPr="001B6531">
              <w:rPr>
                <w:spacing w:val="-2"/>
                <w:sz w:val="18"/>
              </w:rPr>
              <w:t xml:space="preserve"> </w:t>
            </w:r>
            <w:r w:rsidR="00A6459B">
              <w:rPr>
                <w:spacing w:val="-2"/>
                <w:sz w:val="18"/>
              </w:rPr>
              <w:t xml:space="preserve">emballage marqué de la lettre “U” </w:t>
            </w:r>
            <w:r w:rsidRPr="001B6531">
              <w:rPr>
                <w:spacing w:val="-2"/>
                <w:sz w:val="18"/>
              </w:rPr>
              <w:t>comme prévu au 6.3.5.1.6</w:t>
            </w:r>
            <w:r w:rsidR="002E03F3" w:rsidRPr="001B6531">
              <w:rPr>
                <w:spacing w:val="-2"/>
                <w:sz w:val="18"/>
              </w:rPr>
              <w:t xml:space="preserve"> </w:t>
            </w:r>
            <w:r w:rsidRPr="001B6531">
              <w:rPr>
                <w:spacing w:val="-2"/>
                <w:sz w:val="18"/>
              </w:rPr>
              <w:t xml:space="preserve">pour les </w:t>
            </w:r>
            <w:r w:rsidRPr="001B6531">
              <w:rPr>
                <w:spacing w:val="-4"/>
                <w:sz w:val="18"/>
              </w:rPr>
              <w:t>dispositions</w:t>
            </w:r>
            <w:r w:rsidRPr="001B6531">
              <w:rPr>
                <w:spacing w:val="-2"/>
                <w:sz w:val="18"/>
              </w:rPr>
              <w:t xml:space="preserve"> </w:t>
            </w:r>
            <w:r w:rsidRPr="001B6531">
              <w:rPr>
                <w:spacing w:val="-5"/>
                <w:sz w:val="18"/>
              </w:rPr>
              <w:t>particulières</w:t>
            </w:r>
          </w:p>
        </w:tc>
      </w:tr>
      <w:tr w:rsidR="001B6531" w:rsidRPr="002E03F3" w:rsidTr="001B6531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622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proofErr w:type="gramStart"/>
            <w:r w:rsidRPr="002E03F3">
              <w:rPr>
                <w:sz w:val="18"/>
              </w:rPr>
              <w:t>x</w:t>
            </w:r>
            <w:proofErr w:type="gramEnd"/>
          </w:p>
        </w:tc>
        <w:tc>
          <w:tcPr>
            <w:tcW w:w="1145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5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5</w:t>
            </w:r>
          </w:p>
        </w:tc>
        <w:tc>
          <w:tcPr>
            <w:tcW w:w="1264" w:type="dxa"/>
            <w:vMerge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2</w:t>
            </w:r>
          </w:p>
        </w:tc>
        <w:tc>
          <w:tcPr>
            <w:tcW w:w="946" w:type="dxa"/>
            <w:vMerge/>
            <w:shd w:val="clear" w:color="auto" w:fill="auto"/>
            <w:vAlign w:val="bottom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1B6531" w:rsidRPr="002E03F3" w:rsidTr="001B6531">
        <w:trPr>
          <w:jc w:val="center"/>
        </w:trPr>
        <w:tc>
          <w:tcPr>
            <w:tcW w:w="1188" w:type="dxa"/>
            <w:vMerge w:val="restart"/>
            <w:shd w:val="clear" w:color="auto" w:fill="auto"/>
          </w:tcPr>
          <w:p w:rsidR="0076692F" w:rsidRPr="002E03F3" w:rsidRDefault="0076692F" w:rsidP="00D2391B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2E03F3">
              <w:rPr>
                <w:sz w:val="18"/>
              </w:rPr>
              <w:t>Fût en carton</w:t>
            </w:r>
          </w:p>
        </w:tc>
        <w:tc>
          <w:tcPr>
            <w:tcW w:w="868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proofErr w:type="gramStart"/>
            <w:r w:rsidRPr="002E03F3">
              <w:rPr>
                <w:sz w:val="18"/>
              </w:rPr>
              <w:t>x</w:t>
            </w:r>
            <w:proofErr w:type="gramEnd"/>
          </w:p>
        </w:tc>
        <w:tc>
          <w:tcPr>
            <w:tcW w:w="622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3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3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6</w:t>
            </w:r>
          </w:p>
        </w:tc>
        <w:tc>
          <w:tcPr>
            <w:tcW w:w="1264" w:type="dxa"/>
            <w:vMerge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2</w:t>
            </w:r>
          </w:p>
        </w:tc>
        <w:tc>
          <w:tcPr>
            <w:tcW w:w="946" w:type="dxa"/>
            <w:vMerge/>
            <w:shd w:val="clear" w:color="auto" w:fill="auto"/>
            <w:vAlign w:val="bottom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1B6531" w:rsidRPr="002E03F3" w:rsidTr="001B6531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622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proofErr w:type="gramStart"/>
            <w:r w:rsidRPr="002E03F3">
              <w:rPr>
                <w:sz w:val="18"/>
              </w:rPr>
              <w:t>x</w:t>
            </w:r>
            <w:proofErr w:type="gramEnd"/>
          </w:p>
        </w:tc>
        <w:tc>
          <w:tcPr>
            <w:tcW w:w="1145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3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3</w:t>
            </w:r>
          </w:p>
        </w:tc>
        <w:tc>
          <w:tcPr>
            <w:tcW w:w="1264" w:type="dxa"/>
            <w:vMerge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2</w:t>
            </w:r>
          </w:p>
        </w:tc>
        <w:tc>
          <w:tcPr>
            <w:tcW w:w="946" w:type="dxa"/>
            <w:vMerge/>
            <w:shd w:val="clear" w:color="auto" w:fill="auto"/>
            <w:vAlign w:val="bottom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1B6531" w:rsidRPr="002E03F3" w:rsidTr="001B6531">
        <w:trPr>
          <w:jc w:val="center"/>
        </w:trPr>
        <w:tc>
          <w:tcPr>
            <w:tcW w:w="1188" w:type="dxa"/>
            <w:vMerge w:val="restart"/>
            <w:shd w:val="clear" w:color="auto" w:fill="auto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2E03F3">
              <w:rPr>
                <w:sz w:val="18"/>
              </w:rPr>
              <w:t>Caisse en plastique</w:t>
            </w:r>
          </w:p>
        </w:tc>
        <w:tc>
          <w:tcPr>
            <w:tcW w:w="868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proofErr w:type="gramStart"/>
            <w:r w:rsidRPr="002E03F3">
              <w:rPr>
                <w:sz w:val="18"/>
              </w:rPr>
              <w:t>x</w:t>
            </w:r>
            <w:proofErr w:type="gramEnd"/>
          </w:p>
        </w:tc>
        <w:tc>
          <w:tcPr>
            <w:tcW w:w="622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5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5</w:t>
            </w:r>
          </w:p>
        </w:tc>
        <w:tc>
          <w:tcPr>
            <w:tcW w:w="1264" w:type="dxa"/>
            <w:vMerge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2</w:t>
            </w:r>
          </w:p>
        </w:tc>
        <w:tc>
          <w:tcPr>
            <w:tcW w:w="946" w:type="dxa"/>
            <w:vMerge/>
            <w:shd w:val="clear" w:color="auto" w:fill="auto"/>
            <w:vAlign w:val="bottom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1B6531" w:rsidRPr="002E03F3" w:rsidTr="001B6531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622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proofErr w:type="gramStart"/>
            <w:r w:rsidRPr="002E03F3">
              <w:rPr>
                <w:sz w:val="18"/>
              </w:rPr>
              <w:t>x</w:t>
            </w:r>
            <w:proofErr w:type="gramEnd"/>
          </w:p>
        </w:tc>
        <w:tc>
          <w:tcPr>
            <w:tcW w:w="1145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5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5</w:t>
            </w:r>
          </w:p>
        </w:tc>
        <w:tc>
          <w:tcPr>
            <w:tcW w:w="1264" w:type="dxa"/>
            <w:vMerge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2</w:t>
            </w:r>
          </w:p>
        </w:tc>
        <w:tc>
          <w:tcPr>
            <w:tcW w:w="946" w:type="dxa"/>
            <w:vMerge/>
            <w:shd w:val="clear" w:color="auto" w:fill="auto"/>
            <w:vAlign w:val="bottom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1B6531" w:rsidRPr="002E03F3" w:rsidTr="001B6531">
        <w:trPr>
          <w:jc w:val="center"/>
        </w:trPr>
        <w:tc>
          <w:tcPr>
            <w:tcW w:w="1188" w:type="dxa"/>
            <w:vMerge w:val="restart"/>
            <w:shd w:val="clear" w:color="auto" w:fill="auto"/>
          </w:tcPr>
          <w:p w:rsidR="0076692F" w:rsidRPr="002E03F3" w:rsidRDefault="0076692F" w:rsidP="00787924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2E03F3">
              <w:rPr>
                <w:sz w:val="18"/>
              </w:rPr>
              <w:t>Fût/jerricane en</w:t>
            </w:r>
            <w:r w:rsidR="00787924">
              <w:rPr>
                <w:sz w:val="18"/>
              </w:rPr>
              <w:t> </w:t>
            </w:r>
            <w:r w:rsidRPr="002E03F3">
              <w:rPr>
                <w:sz w:val="18"/>
              </w:rPr>
              <w:t>plastique</w:t>
            </w:r>
          </w:p>
        </w:tc>
        <w:tc>
          <w:tcPr>
            <w:tcW w:w="868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proofErr w:type="gramStart"/>
            <w:r w:rsidRPr="002E03F3">
              <w:rPr>
                <w:sz w:val="18"/>
              </w:rPr>
              <w:t>x</w:t>
            </w:r>
            <w:proofErr w:type="gramEnd"/>
          </w:p>
        </w:tc>
        <w:tc>
          <w:tcPr>
            <w:tcW w:w="622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3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3</w:t>
            </w:r>
          </w:p>
        </w:tc>
        <w:tc>
          <w:tcPr>
            <w:tcW w:w="1264" w:type="dxa"/>
            <w:vMerge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2</w:t>
            </w:r>
          </w:p>
        </w:tc>
        <w:tc>
          <w:tcPr>
            <w:tcW w:w="946" w:type="dxa"/>
            <w:vMerge/>
            <w:shd w:val="clear" w:color="auto" w:fill="auto"/>
            <w:vAlign w:val="bottom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1B6531" w:rsidRPr="002E03F3" w:rsidTr="001B6531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622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proofErr w:type="gramStart"/>
            <w:r w:rsidRPr="002E03F3">
              <w:rPr>
                <w:sz w:val="18"/>
              </w:rPr>
              <w:t>x</w:t>
            </w:r>
            <w:proofErr w:type="gramEnd"/>
          </w:p>
        </w:tc>
        <w:tc>
          <w:tcPr>
            <w:tcW w:w="1145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3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3</w:t>
            </w:r>
          </w:p>
        </w:tc>
        <w:tc>
          <w:tcPr>
            <w:tcW w:w="1264" w:type="dxa"/>
            <w:vMerge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2</w:t>
            </w:r>
          </w:p>
        </w:tc>
        <w:tc>
          <w:tcPr>
            <w:tcW w:w="946" w:type="dxa"/>
            <w:vMerge/>
            <w:shd w:val="clear" w:color="auto" w:fill="auto"/>
            <w:vAlign w:val="bottom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1B6531" w:rsidRPr="002E03F3" w:rsidTr="001B6531">
        <w:trPr>
          <w:jc w:val="center"/>
        </w:trPr>
        <w:tc>
          <w:tcPr>
            <w:tcW w:w="1188" w:type="dxa"/>
            <w:vMerge w:val="restart"/>
            <w:shd w:val="clear" w:color="auto" w:fill="auto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2E03F3">
              <w:rPr>
                <w:sz w:val="18"/>
              </w:rPr>
              <w:t xml:space="preserve">Caisse en un </w:t>
            </w:r>
            <w:r w:rsidRPr="002E03F3">
              <w:rPr>
                <w:spacing w:val="-2"/>
                <w:sz w:val="18"/>
              </w:rPr>
              <w:t>autre matériau</w:t>
            </w:r>
          </w:p>
        </w:tc>
        <w:tc>
          <w:tcPr>
            <w:tcW w:w="868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proofErr w:type="gramStart"/>
            <w:r w:rsidRPr="002E03F3">
              <w:rPr>
                <w:sz w:val="18"/>
              </w:rPr>
              <w:t>x</w:t>
            </w:r>
            <w:proofErr w:type="gramEnd"/>
          </w:p>
        </w:tc>
        <w:tc>
          <w:tcPr>
            <w:tcW w:w="622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5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5</w:t>
            </w:r>
          </w:p>
        </w:tc>
        <w:tc>
          <w:tcPr>
            <w:tcW w:w="1264" w:type="dxa"/>
            <w:vMerge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2</w:t>
            </w:r>
          </w:p>
        </w:tc>
        <w:tc>
          <w:tcPr>
            <w:tcW w:w="946" w:type="dxa"/>
            <w:vMerge/>
            <w:shd w:val="clear" w:color="auto" w:fill="auto"/>
            <w:vAlign w:val="bottom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1B6531" w:rsidRPr="002E03F3" w:rsidTr="001B6531">
        <w:trPr>
          <w:jc w:val="center"/>
        </w:trPr>
        <w:tc>
          <w:tcPr>
            <w:tcW w:w="1188" w:type="dxa"/>
            <w:vMerge/>
            <w:shd w:val="clear" w:color="auto" w:fill="auto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</w:p>
        </w:tc>
        <w:tc>
          <w:tcPr>
            <w:tcW w:w="868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622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proofErr w:type="gramStart"/>
            <w:r w:rsidRPr="002E03F3">
              <w:rPr>
                <w:sz w:val="18"/>
              </w:rPr>
              <w:t>x</w:t>
            </w:r>
            <w:proofErr w:type="gramEnd"/>
          </w:p>
        </w:tc>
        <w:tc>
          <w:tcPr>
            <w:tcW w:w="1145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0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5</w:t>
            </w:r>
          </w:p>
        </w:tc>
        <w:tc>
          <w:tcPr>
            <w:tcW w:w="1264" w:type="dxa"/>
            <w:vMerge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2</w:t>
            </w:r>
          </w:p>
        </w:tc>
        <w:tc>
          <w:tcPr>
            <w:tcW w:w="946" w:type="dxa"/>
            <w:vMerge/>
            <w:shd w:val="clear" w:color="auto" w:fill="auto"/>
            <w:vAlign w:val="bottom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1B6531" w:rsidRPr="002E03F3" w:rsidTr="001B6531">
        <w:trPr>
          <w:jc w:val="center"/>
        </w:trPr>
        <w:tc>
          <w:tcPr>
            <w:tcW w:w="1188" w:type="dxa"/>
            <w:vMerge w:val="restart"/>
            <w:shd w:val="clear" w:color="auto" w:fill="auto"/>
          </w:tcPr>
          <w:p w:rsidR="0076692F" w:rsidRPr="002E03F3" w:rsidRDefault="0076692F" w:rsidP="00D2391B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  <w:r w:rsidRPr="002E03F3">
              <w:rPr>
                <w:sz w:val="18"/>
              </w:rPr>
              <w:t>Fût/jerricane en</w:t>
            </w:r>
            <w:r w:rsidR="00D2391B">
              <w:rPr>
                <w:sz w:val="18"/>
              </w:rPr>
              <w:t xml:space="preserve"> </w:t>
            </w:r>
            <w:r w:rsidRPr="002E03F3">
              <w:rPr>
                <w:sz w:val="18"/>
              </w:rPr>
              <w:t>un autre matériau</w:t>
            </w:r>
          </w:p>
        </w:tc>
        <w:tc>
          <w:tcPr>
            <w:tcW w:w="868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proofErr w:type="gramStart"/>
            <w:r w:rsidRPr="002E03F3">
              <w:rPr>
                <w:sz w:val="18"/>
              </w:rPr>
              <w:t>x</w:t>
            </w:r>
            <w:proofErr w:type="gramEnd"/>
          </w:p>
        </w:tc>
        <w:tc>
          <w:tcPr>
            <w:tcW w:w="622" w:type="dxa"/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5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3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3</w:t>
            </w:r>
          </w:p>
        </w:tc>
        <w:tc>
          <w:tcPr>
            <w:tcW w:w="1264" w:type="dxa"/>
            <w:vMerge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2</w:t>
            </w:r>
          </w:p>
        </w:tc>
        <w:tc>
          <w:tcPr>
            <w:tcW w:w="946" w:type="dxa"/>
            <w:vMerge/>
            <w:shd w:val="clear" w:color="auto" w:fill="auto"/>
            <w:vAlign w:val="bottom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1B6531" w:rsidRPr="002E03F3" w:rsidTr="001B6531">
        <w:trPr>
          <w:jc w:val="center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proofErr w:type="gramStart"/>
            <w:r w:rsidRPr="002E03F3">
              <w:rPr>
                <w:sz w:val="18"/>
              </w:rPr>
              <w:t>x</w:t>
            </w:r>
            <w:proofErr w:type="gramEnd"/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3</w:t>
            </w:r>
          </w:p>
        </w:tc>
        <w:tc>
          <w:tcPr>
            <w:tcW w:w="126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92F" w:rsidRPr="002E03F3" w:rsidRDefault="0076692F" w:rsidP="00A12BF0">
            <w:pPr>
              <w:suppressAutoHyphens w:val="0"/>
              <w:spacing w:before="40" w:after="40" w:line="220" w:lineRule="exact"/>
              <w:ind w:left="57" w:right="57"/>
              <w:jc w:val="center"/>
              <w:rPr>
                <w:sz w:val="18"/>
              </w:rPr>
            </w:pPr>
            <w:r w:rsidRPr="002E03F3">
              <w:rPr>
                <w:sz w:val="18"/>
              </w:rPr>
              <w:t>2</w:t>
            </w:r>
          </w:p>
        </w:tc>
        <w:tc>
          <w:tcPr>
            <w:tcW w:w="94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692F" w:rsidRPr="002E03F3" w:rsidRDefault="0076692F" w:rsidP="002E03F3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</w:rPr>
            </w:pPr>
          </w:p>
        </w:tc>
      </w:tr>
    </w:tbl>
    <w:p w:rsidR="0076692F" w:rsidRPr="00A12BF0" w:rsidRDefault="0076692F" w:rsidP="00A12BF0">
      <w:pPr>
        <w:pStyle w:val="SingleTxtG"/>
        <w:spacing w:before="120" w:after="240"/>
        <w:ind w:left="0" w:right="0" w:firstLine="170"/>
        <w:rPr>
          <w:sz w:val="18"/>
          <w:szCs w:val="18"/>
        </w:rPr>
      </w:pPr>
      <w:proofErr w:type="gramStart"/>
      <w:r w:rsidRPr="00A12BF0">
        <w:rPr>
          <w:i/>
          <w:sz w:val="18"/>
          <w:szCs w:val="18"/>
          <w:vertAlign w:val="superscript"/>
        </w:rPr>
        <w:t>a</w:t>
      </w:r>
      <w:r w:rsidR="00F80CBF" w:rsidRPr="00A12BF0">
        <w:rPr>
          <w:sz w:val="18"/>
          <w:szCs w:val="18"/>
        </w:rPr>
        <w:t xml:space="preserve">  “</w:t>
      </w:r>
      <w:proofErr w:type="gramEnd"/>
      <w:r w:rsidRPr="00A12BF0">
        <w:rPr>
          <w:sz w:val="18"/>
          <w:szCs w:val="18"/>
        </w:rPr>
        <w:t>Type d’emballage</w:t>
      </w:r>
      <w:r w:rsidR="00F80CBF" w:rsidRPr="00A12BF0">
        <w:rPr>
          <w:sz w:val="18"/>
          <w:szCs w:val="18"/>
        </w:rPr>
        <w:t>”</w:t>
      </w:r>
      <w:r w:rsidRPr="00A12BF0">
        <w:rPr>
          <w:sz w:val="18"/>
          <w:szCs w:val="18"/>
        </w:rPr>
        <w:t xml:space="preserve"> différencie les emballages, aux fins d’épreuves, en fonction du genre des emballages et des caractéristiques de leurs matériaux.</w:t>
      </w:r>
    </w:p>
    <w:p w:rsidR="0076692F" w:rsidRPr="005E2CE0" w:rsidRDefault="0076692F" w:rsidP="00C053A4">
      <w:pPr>
        <w:pStyle w:val="SingleTxtG"/>
        <w:ind w:left="2835"/>
      </w:pPr>
      <w:r w:rsidRPr="00F80CBF">
        <w:rPr>
          <w:i/>
        </w:rPr>
        <w:t>Explications concernant l’utilisation du tableau</w:t>
      </w:r>
      <w:r w:rsidR="00F80CBF">
        <w:t> </w:t>
      </w:r>
      <w:r w:rsidRPr="005E2CE0">
        <w:t>:</w:t>
      </w:r>
    </w:p>
    <w:p w:rsidR="0076692F" w:rsidRDefault="0076692F" w:rsidP="00C053A4">
      <w:pPr>
        <w:pStyle w:val="SingleTxtG"/>
        <w:ind w:left="2835"/>
      </w:pPr>
      <w:r w:rsidRPr="00C053A4">
        <w:rPr>
          <w:spacing w:val="2"/>
        </w:rPr>
        <w:t xml:space="preserve">Si l’emballage à éprouver est constitué d’une caisse extérieure en carton avec un récipient primaire en plastique, cinq échantillons doivent être soumis à une épreuve d’aspersion d’eau (voir 6.3.5.3.6.1) avant l’épreuve de chute, et cinq autres </w:t>
      </w:r>
      <w:r w:rsidR="00F80CBF" w:rsidRPr="00C053A4">
        <w:rPr>
          <w:spacing w:val="2"/>
        </w:rPr>
        <w:t>doivent être conditionnés à -18 </w:t>
      </w:r>
      <w:r w:rsidRPr="00C053A4">
        <w:rPr>
          <w:spacing w:val="2"/>
        </w:rPr>
        <w:t>°C (</w:t>
      </w:r>
      <w:r w:rsidRPr="0046074D">
        <w:t>voir 6.3.5.3.6.2) avant l</w:t>
      </w:r>
      <w:r>
        <w:t>’</w:t>
      </w:r>
      <w:r w:rsidRPr="0046074D">
        <w:t xml:space="preserve">épreuve de chute. </w:t>
      </w:r>
      <w:r w:rsidRPr="0046074D">
        <w:rPr>
          <w:b/>
        </w:rPr>
        <w:t>Si l</w:t>
      </w:r>
      <w:r>
        <w:rPr>
          <w:b/>
        </w:rPr>
        <w:t>’</w:t>
      </w:r>
      <w:r w:rsidRPr="0046074D">
        <w:rPr>
          <w:b/>
        </w:rPr>
        <w:t>emballage est destiné à contenir de la neige carbonique, un seul échantillon supplémentaire doit subir cinq essais de chute après conditionnement conformément à 6.3.5.3.6.3.</w:t>
      </w:r>
      <w:r w:rsidR="00F80CBF" w:rsidRPr="00F80CBF">
        <w:t> »</w:t>
      </w:r>
      <w:r>
        <w:t>.</w:t>
      </w:r>
    </w:p>
    <w:p w:rsidR="0076692F" w:rsidRPr="005E2CE0" w:rsidRDefault="00F80CBF" w:rsidP="00DA69EC">
      <w:pPr>
        <w:pStyle w:val="SingleTxtG"/>
        <w:ind w:left="2835" w:hanging="1134"/>
      </w:pPr>
      <w:r>
        <w:t>« </w:t>
      </w:r>
      <w:r w:rsidR="0076692F" w:rsidRPr="00F80CBF">
        <w:rPr>
          <w:i/>
        </w:rPr>
        <w:t>6.3.5.3.6.3</w:t>
      </w:r>
      <w:r w:rsidR="0076692F" w:rsidRPr="00F80CBF">
        <w:rPr>
          <w:i/>
        </w:rPr>
        <w:tab/>
        <w:t>Emballages destinés à contenir de la neige carbonique − Épreuve de chute supplémentaire</w:t>
      </w:r>
    </w:p>
    <w:p w:rsidR="0076692F" w:rsidRPr="005E2CE0" w:rsidRDefault="0076692F" w:rsidP="00D66C27">
      <w:pPr>
        <w:pStyle w:val="SingleTxtG"/>
        <w:ind w:left="2835"/>
      </w:pPr>
      <w:r w:rsidRPr="005E2CE0">
        <w:t>Si l</w:t>
      </w:r>
      <w:r>
        <w:t>’</w:t>
      </w:r>
      <w:r w:rsidRPr="005E2CE0">
        <w:t>emballage est destiné à contenir de la neige carbonique, il doit être soumis à une épreuve supplémenta</w:t>
      </w:r>
      <w:r w:rsidR="00D66C27">
        <w:t>ire, outre celles spécifiées au </w:t>
      </w:r>
      <w:r w:rsidRPr="005E2CE0">
        <w:t>6.3.5.3.1 et, lorsqu</w:t>
      </w:r>
      <w:r>
        <w:t>’</w:t>
      </w:r>
      <w:r w:rsidRPr="005E2CE0">
        <w:t>il y a lieu, au 6.</w:t>
      </w:r>
      <w:r w:rsidR="00D66C27">
        <w:t>3.5.3.6.1 ou au 6.3.5.3.6.2. Un </w:t>
      </w:r>
      <w:r w:rsidRPr="005E2CE0">
        <w:t>échantillon doit être entreposé jusqu</w:t>
      </w:r>
      <w:r>
        <w:t>’</w:t>
      </w:r>
      <w:r w:rsidRPr="005E2CE0">
        <w:t>à ce que la neige carbonique se soit entièrement vaporisée, puis doit être soumis à l</w:t>
      </w:r>
      <w:r>
        <w:t>’</w:t>
      </w:r>
      <w:r w:rsidRPr="005E2CE0">
        <w:t>épreuve de chute dans la position, parmi celles décrites au 6.3.5.3.2, qui serait la plus susceptible de causer la défaillance de l</w:t>
      </w:r>
      <w:r>
        <w:t>’</w:t>
      </w:r>
      <w:r w:rsidRPr="005E2CE0">
        <w:t>emballage.</w:t>
      </w:r>
      <w:r w:rsidR="00F80CBF">
        <w:t> »</w:t>
      </w:r>
      <w:r>
        <w:t>.</w:t>
      </w:r>
    </w:p>
    <w:p w:rsidR="0076692F" w:rsidRPr="00EE5C28" w:rsidRDefault="00F80CBF" w:rsidP="00F80CBF">
      <w:pPr>
        <w:pStyle w:val="SingleTxtG"/>
      </w:pPr>
      <w:r>
        <w:t>3.</w:t>
      </w:r>
      <w:r>
        <w:tab/>
      </w:r>
      <w:r w:rsidR="0076692F" w:rsidRPr="0046074D">
        <w:t xml:space="preserve">Le texte des explications (en caractères gras) contredit la prescription figurant au </w:t>
      </w:r>
      <w:r w:rsidR="0076692F">
        <w:t xml:space="preserve">paragraphe </w:t>
      </w:r>
      <w:r w:rsidR="0076692F" w:rsidRPr="0046074D">
        <w:t>6.3.5.3.6.3, selon laquelle un échantillon doit être soumis à l</w:t>
      </w:r>
      <w:r w:rsidR="0076692F">
        <w:t>’</w:t>
      </w:r>
      <w:r w:rsidR="0076692F" w:rsidRPr="0046074D">
        <w:t xml:space="preserve">épreuve de chute dans la position décrite au </w:t>
      </w:r>
      <w:r w:rsidR="0076692F">
        <w:t xml:space="preserve">paragraphe </w:t>
      </w:r>
      <w:r w:rsidR="0076692F" w:rsidRPr="0046074D">
        <w:t>6.3.5.3.2</w:t>
      </w:r>
      <w:r w:rsidR="0076692F">
        <w:t>,</w:t>
      </w:r>
      <w:r w:rsidR="0076692F" w:rsidRPr="0046074D">
        <w:t xml:space="preserve"> qui serait la plus susceptible de causer la défaillance de l</w:t>
      </w:r>
      <w:r w:rsidR="0076692F">
        <w:t>’</w:t>
      </w:r>
      <w:r w:rsidR="0076692F" w:rsidRPr="0046074D">
        <w:t xml:space="preserve">emballage. </w:t>
      </w:r>
      <w:r w:rsidR="0076692F">
        <w:t xml:space="preserve">Il ne devrait pas être indiqué dans les </w:t>
      </w:r>
      <w:r w:rsidR="0076692F" w:rsidRPr="0046074D">
        <w:t>explications qu</w:t>
      </w:r>
      <w:r w:rsidR="0076692F">
        <w:t>’</w:t>
      </w:r>
      <w:r w:rsidR="0076692F" w:rsidRPr="0046074D">
        <w:t xml:space="preserve">un échantillon doit subir cinq essais de chute, dans la mesure où le </w:t>
      </w:r>
      <w:r w:rsidR="0076692F">
        <w:t xml:space="preserve">paragraphe </w:t>
      </w:r>
      <w:r w:rsidR="0076692F" w:rsidRPr="0046074D">
        <w:t>6.3.5.3.6.3 n</w:t>
      </w:r>
      <w:r w:rsidR="0076692F">
        <w:t>’</w:t>
      </w:r>
      <w:r w:rsidR="0076692F" w:rsidRPr="0046074D">
        <w:t>en mentionne qu</w:t>
      </w:r>
      <w:r w:rsidR="0076692F">
        <w:t>’</w:t>
      </w:r>
      <w:r w:rsidR="0076692F" w:rsidRPr="0046074D">
        <w:t xml:space="preserve">un seul. De plus, nous estimons </w:t>
      </w:r>
      <w:r w:rsidR="0076692F">
        <w:t xml:space="preserve">qu’exiger qu’un échantillon soit soumis cinq fois à l’épreuve de chute dans une seule position ne serait pas conforme aux prescriptions relatives à l’essai de chute applicables aux autres emballages. Pour remédier </w:t>
      </w:r>
      <w:proofErr w:type="gramStart"/>
      <w:r w:rsidR="0076692F">
        <w:t>à la contradiction existant</w:t>
      </w:r>
      <w:proofErr w:type="gramEnd"/>
      <w:r w:rsidR="0076692F">
        <w:t xml:space="preserve"> entre les « Explications concernant l’utilisation du tab</w:t>
      </w:r>
      <w:r w:rsidR="00DA69EC">
        <w:t xml:space="preserve">leau » du </w:t>
      </w:r>
      <w:r w:rsidR="00DA69EC">
        <w:lastRenderedPageBreak/>
        <w:t>paragraphe </w:t>
      </w:r>
      <w:r w:rsidR="0076692F" w:rsidRPr="0046074D">
        <w:t xml:space="preserve">6.3.5.2.2 </w:t>
      </w:r>
      <w:r w:rsidR="0076692F">
        <w:t xml:space="preserve">et les prescriptions exposées au paragraphe </w:t>
      </w:r>
      <w:r w:rsidR="0076692F" w:rsidRPr="0046074D">
        <w:t xml:space="preserve">6.3.5.3.6.3, </w:t>
      </w:r>
      <w:r w:rsidR="0076692F">
        <w:t>l’expert du</w:t>
      </w:r>
      <w:r w:rsidR="00DA69EC">
        <w:t> </w:t>
      </w:r>
      <w:r w:rsidR="0076692F">
        <w:t>C</w:t>
      </w:r>
      <w:r w:rsidR="0076692F" w:rsidRPr="0046074D">
        <w:t>anada propose</w:t>
      </w:r>
      <w:r w:rsidR="0076692F">
        <w:t xml:space="preserve"> de retirer les termes « cinq essais de chute »</w:t>
      </w:r>
      <w:r w:rsidR="0076692F" w:rsidRPr="0046074D">
        <w:t xml:space="preserve"> </w:t>
      </w:r>
      <w:r w:rsidR="0076692F">
        <w:t>dans les « Explications concern</w:t>
      </w:r>
      <w:r>
        <w:t xml:space="preserve">ant l’utilisation du tableau » </w:t>
      </w:r>
      <w:r w:rsidR="0076692F">
        <w:t xml:space="preserve">du paragraphe </w:t>
      </w:r>
      <w:r w:rsidR="0076692F" w:rsidRPr="0046074D">
        <w:t>6.3.5.2.2.</w:t>
      </w:r>
    </w:p>
    <w:p w:rsidR="0076692F" w:rsidRPr="00EE5C28" w:rsidRDefault="00F80CBF" w:rsidP="00F80CBF">
      <w:pPr>
        <w:pStyle w:val="SingleTxtG"/>
      </w:pPr>
      <w:r>
        <w:rPr>
          <w:lang w:eastAsia="en-CA"/>
        </w:rPr>
        <w:t>4.</w:t>
      </w:r>
      <w:r>
        <w:rPr>
          <w:lang w:eastAsia="en-CA"/>
        </w:rPr>
        <w:tab/>
      </w:r>
      <w:r w:rsidR="0076692F">
        <w:rPr>
          <w:lang w:eastAsia="en-CA"/>
        </w:rPr>
        <w:t>Les « </w:t>
      </w:r>
      <w:r w:rsidR="0076692F" w:rsidRPr="00A17159">
        <w:rPr>
          <w:lang w:eastAsia="en-CA"/>
        </w:rPr>
        <w:t>Explications concernant l</w:t>
      </w:r>
      <w:r w:rsidR="0076692F">
        <w:rPr>
          <w:lang w:eastAsia="en-CA"/>
        </w:rPr>
        <w:t>’</w:t>
      </w:r>
      <w:r w:rsidR="0076692F" w:rsidRPr="00A17159">
        <w:rPr>
          <w:lang w:eastAsia="en-CA"/>
        </w:rPr>
        <w:t>utilisation du tableau</w:t>
      </w:r>
      <w:r>
        <w:rPr>
          <w:lang w:eastAsia="en-CA"/>
        </w:rPr>
        <w:t> » du paragraphe </w:t>
      </w:r>
      <w:r w:rsidR="0076692F">
        <w:rPr>
          <w:lang w:eastAsia="en-CA"/>
        </w:rPr>
        <w:t xml:space="preserve">6.3.5.2.2 indiquent également que l’échantillon (destiné à contenir de la neige carbonique) doit être soumis à l’épreuve de chute « après conditionnement », ce qui va à l’encontre des prescriptions du paragraphe 6.3.5.3.6.3, selon lesquelles l’épreuve de chute supplémentaire est une épreuve qui </w:t>
      </w:r>
      <w:r>
        <w:rPr>
          <w:lang w:eastAsia="en-CA"/>
        </w:rPr>
        <w:t>s’ajoute à toutes les autres, y </w:t>
      </w:r>
      <w:r w:rsidR="0076692F">
        <w:rPr>
          <w:lang w:eastAsia="en-CA"/>
        </w:rPr>
        <w:t>compris aux prescriptions relatives au conditionnement. Afin de remédier aux contradictions entre les « </w:t>
      </w:r>
      <w:r w:rsidR="0076692F" w:rsidRPr="00823068">
        <w:rPr>
          <w:lang w:eastAsia="en-CA"/>
        </w:rPr>
        <w:t>Explications concernant l</w:t>
      </w:r>
      <w:r w:rsidR="0076692F">
        <w:rPr>
          <w:lang w:eastAsia="en-CA"/>
        </w:rPr>
        <w:t>’</w:t>
      </w:r>
      <w:r w:rsidR="0076692F" w:rsidRPr="00823068">
        <w:rPr>
          <w:lang w:eastAsia="en-CA"/>
        </w:rPr>
        <w:t>utilisation du tableau</w:t>
      </w:r>
      <w:r w:rsidR="0076692F">
        <w:rPr>
          <w:lang w:eastAsia="en-CA"/>
        </w:rPr>
        <w:t> » du paragraphe 6.3.5.2.2 et les presc</w:t>
      </w:r>
      <w:r>
        <w:rPr>
          <w:lang w:eastAsia="en-CA"/>
        </w:rPr>
        <w:t>riptions exposées au paragraphe </w:t>
      </w:r>
      <w:r w:rsidR="0076692F">
        <w:rPr>
          <w:lang w:eastAsia="en-CA"/>
        </w:rPr>
        <w:t>6.3.5.3.6.3, l’expert du Canada propose de retirer les termes « après conditionnement » dans les « </w:t>
      </w:r>
      <w:r w:rsidR="0076692F" w:rsidRPr="00823068">
        <w:rPr>
          <w:lang w:eastAsia="en-CA"/>
        </w:rPr>
        <w:t>Explications concernant l</w:t>
      </w:r>
      <w:r w:rsidR="0076692F">
        <w:rPr>
          <w:lang w:eastAsia="en-CA"/>
        </w:rPr>
        <w:t>’</w:t>
      </w:r>
      <w:r w:rsidR="0076692F" w:rsidRPr="00823068">
        <w:rPr>
          <w:lang w:eastAsia="en-CA"/>
        </w:rPr>
        <w:t>utilisation du tableau</w:t>
      </w:r>
      <w:r>
        <w:rPr>
          <w:lang w:eastAsia="en-CA"/>
        </w:rPr>
        <w:t> »</w:t>
      </w:r>
      <w:r w:rsidR="0076692F" w:rsidRPr="00EE5C28">
        <w:t xml:space="preserve"> </w:t>
      </w:r>
      <w:r w:rsidR="0076692F">
        <w:t xml:space="preserve">du paragraphe </w:t>
      </w:r>
      <w:r w:rsidR="0076692F" w:rsidRPr="00EE5C28">
        <w:rPr>
          <w:lang w:eastAsia="en-CA"/>
        </w:rPr>
        <w:t>6.3.5.2.2</w:t>
      </w:r>
      <w:r>
        <w:t>.</w:t>
      </w:r>
    </w:p>
    <w:p w:rsidR="0076692F" w:rsidRDefault="00F80CBF" w:rsidP="00F80CBF">
      <w:pPr>
        <w:pStyle w:val="SingleTxtG"/>
        <w:rPr>
          <w:lang w:eastAsia="en-CA"/>
        </w:rPr>
      </w:pPr>
      <w:r>
        <w:rPr>
          <w:lang w:eastAsia="en-CA"/>
        </w:rPr>
        <w:t>5.</w:t>
      </w:r>
      <w:r>
        <w:rPr>
          <w:lang w:eastAsia="en-CA"/>
        </w:rPr>
        <w:tab/>
      </w:r>
      <w:r w:rsidR="0076692F">
        <w:rPr>
          <w:lang w:eastAsia="en-CA"/>
        </w:rPr>
        <w:t>Il est également proposé d’apporter les modifications suivantes au chapitre 6.3</w:t>
      </w:r>
      <w:r>
        <w:rPr>
          <w:lang w:eastAsia="en-CA"/>
        </w:rPr>
        <w:t> </w:t>
      </w:r>
      <w:r w:rsidR="0076692F">
        <w:rPr>
          <w:lang w:eastAsia="en-CA"/>
        </w:rPr>
        <w:t>:</w:t>
      </w:r>
    </w:p>
    <w:p w:rsidR="00590205" w:rsidRDefault="0076692F" w:rsidP="00590205">
      <w:pPr>
        <w:pStyle w:val="SingleTxtG"/>
        <w:ind w:firstLine="567"/>
        <w:rPr>
          <w:lang w:eastAsia="en-CA"/>
        </w:rPr>
      </w:pPr>
      <w:r w:rsidRPr="0068292D">
        <w:rPr>
          <w:lang w:eastAsia="en-CA"/>
        </w:rPr>
        <w:t>a)</w:t>
      </w:r>
      <w:r w:rsidRPr="0068292D">
        <w:rPr>
          <w:lang w:eastAsia="en-CA"/>
        </w:rPr>
        <w:tab/>
      </w:r>
      <w:r w:rsidRPr="00AC0FFC">
        <w:rPr>
          <w:u w:val="single"/>
          <w:lang w:eastAsia="en-CA"/>
        </w:rPr>
        <w:t xml:space="preserve">Modification </w:t>
      </w:r>
      <w:r>
        <w:rPr>
          <w:u w:val="single"/>
          <w:lang w:eastAsia="en-CA"/>
        </w:rPr>
        <w:t xml:space="preserve">au paragraphe </w:t>
      </w:r>
      <w:r w:rsidRPr="00AC0FFC">
        <w:rPr>
          <w:u w:val="single"/>
          <w:lang w:eastAsia="en-CA"/>
        </w:rPr>
        <w:t>6</w:t>
      </w:r>
      <w:r>
        <w:rPr>
          <w:u w:val="single"/>
          <w:lang w:eastAsia="en-CA"/>
        </w:rPr>
        <w:t>.3</w:t>
      </w:r>
      <w:r w:rsidRPr="00AC0FFC">
        <w:rPr>
          <w:u w:val="single"/>
          <w:lang w:eastAsia="en-CA"/>
        </w:rPr>
        <w:t>.5.3.1</w:t>
      </w:r>
      <w:r w:rsidR="00590205">
        <w:rPr>
          <w:lang w:eastAsia="en-CA"/>
        </w:rPr>
        <w:t> </w:t>
      </w:r>
      <w:r>
        <w:rPr>
          <w:lang w:eastAsia="en-CA"/>
        </w:rPr>
        <w:t xml:space="preserve">: le </w:t>
      </w:r>
      <w:r w:rsidRPr="00BD4D25">
        <w:rPr>
          <w:lang w:eastAsia="en-CA"/>
        </w:rPr>
        <w:t xml:space="preserve">paragraphe </w:t>
      </w:r>
      <w:r w:rsidRPr="00EE5C28">
        <w:rPr>
          <w:lang w:eastAsia="en-CA"/>
        </w:rPr>
        <w:t xml:space="preserve">6.3.5.3.1 </w:t>
      </w:r>
      <w:r>
        <w:rPr>
          <w:lang w:eastAsia="en-CA"/>
        </w:rPr>
        <w:t xml:space="preserve">prescrit une épreuve de chute mais n’établit aucun lien avec les deux </w:t>
      </w:r>
      <w:r w:rsidRPr="00BD4D25">
        <w:rPr>
          <w:lang w:eastAsia="en-CA"/>
        </w:rPr>
        <w:t>paragraphe</w:t>
      </w:r>
      <w:r w:rsidR="00B21499">
        <w:rPr>
          <w:lang w:eastAsia="en-CA"/>
        </w:rPr>
        <w:t>s</w:t>
      </w:r>
      <w:r w:rsidRPr="00BD4D25">
        <w:rPr>
          <w:lang w:eastAsia="en-CA"/>
        </w:rPr>
        <w:t xml:space="preserve"> </w:t>
      </w:r>
      <w:r>
        <w:rPr>
          <w:lang w:eastAsia="en-CA"/>
        </w:rPr>
        <w:t xml:space="preserve">indépendants mais associés qui le suivent </w:t>
      </w:r>
      <w:r w:rsidRPr="00EE5C28">
        <w:rPr>
          <w:lang w:eastAsia="en-CA"/>
        </w:rPr>
        <w:t xml:space="preserve">(6.3.5.3.2 </w:t>
      </w:r>
      <w:r>
        <w:rPr>
          <w:lang w:eastAsia="en-CA"/>
        </w:rPr>
        <w:t>et</w:t>
      </w:r>
      <w:r w:rsidRPr="00EE5C28">
        <w:rPr>
          <w:lang w:eastAsia="en-CA"/>
        </w:rPr>
        <w:t xml:space="preserve"> 6.3.5.3.3)</w:t>
      </w:r>
      <w:r>
        <w:rPr>
          <w:lang w:eastAsia="en-CA"/>
        </w:rPr>
        <w:t>, lesquels précisent les orientations de l’épreuve de chute pour différents emballages. L’expert du</w:t>
      </w:r>
      <w:r w:rsidRPr="00EE5C28">
        <w:rPr>
          <w:lang w:eastAsia="en-CA"/>
        </w:rPr>
        <w:t xml:space="preserve"> Canada propose</w:t>
      </w:r>
      <w:r>
        <w:rPr>
          <w:lang w:eastAsia="en-CA"/>
        </w:rPr>
        <w:t xml:space="preserve"> de modifier le</w:t>
      </w:r>
      <w:r w:rsidRPr="00EE5C28">
        <w:rPr>
          <w:lang w:eastAsia="en-CA"/>
        </w:rPr>
        <w:t xml:space="preserve"> </w:t>
      </w:r>
      <w:r w:rsidRPr="00BD4D25">
        <w:rPr>
          <w:lang w:eastAsia="en-CA"/>
        </w:rPr>
        <w:t xml:space="preserve">paragraphe </w:t>
      </w:r>
      <w:r w:rsidRPr="00EE5C28">
        <w:rPr>
          <w:lang w:eastAsia="en-CA"/>
        </w:rPr>
        <w:t xml:space="preserve">6.3.5.3.1 </w:t>
      </w:r>
      <w:r>
        <w:rPr>
          <w:lang w:eastAsia="en-CA"/>
        </w:rPr>
        <w:t>afin qu’il renvoie au «</w:t>
      </w:r>
      <w:r w:rsidR="00B21499">
        <w:rPr>
          <w:lang w:eastAsia="en-CA"/>
        </w:rPr>
        <w:t> </w:t>
      </w:r>
      <w:r w:rsidRPr="00BD4D25">
        <w:rPr>
          <w:lang w:eastAsia="en-CA"/>
        </w:rPr>
        <w:t xml:space="preserve">paragraphe </w:t>
      </w:r>
      <w:r w:rsidRPr="00EE5C28">
        <w:rPr>
          <w:lang w:eastAsia="en-CA"/>
        </w:rPr>
        <w:t>6.3.5.3.2 o</w:t>
      </w:r>
      <w:r>
        <w:rPr>
          <w:lang w:eastAsia="en-CA"/>
        </w:rPr>
        <w:t>u au</w:t>
      </w:r>
      <w:r w:rsidRPr="00EE5C28">
        <w:rPr>
          <w:lang w:eastAsia="en-CA"/>
        </w:rPr>
        <w:t xml:space="preserve"> </w:t>
      </w:r>
      <w:r w:rsidRPr="00BD4D25">
        <w:rPr>
          <w:lang w:eastAsia="en-CA"/>
        </w:rPr>
        <w:t xml:space="preserve">paragraphe </w:t>
      </w:r>
      <w:r w:rsidRPr="00EE5C28">
        <w:rPr>
          <w:lang w:eastAsia="en-CA"/>
        </w:rPr>
        <w:t xml:space="preserve">6.3.5.3.3, </w:t>
      </w:r>
      <w:r>
        <w:rPr>
          <w:lang w:eastAsia="en-CA"/>
        </w:rPr>
        <w:t>selon le cas</w:t>
      </w:r>
      <w:r w:rsidR="00590205">
        <w:rPr>
          <w:lang w:eastAsia="en-CA"/>
        </w:rPr>
        <w:t> » ;</w:t>
      </w:r>
    </w:p>
    <w:p w:rsidR="00590205" w:rsidRDefault="0076692F" w:rsidP="00590205">
      <w:pPr>
        <w:pStyle w:val="SingleTxtG"/>
        <w:ind w:firstLine="567"/>
        <w:rPr>
          <w:lang w:eastAsia="en-CA"/>
        </w:rPr>
      </w:pPr>
      <w:r w:rsidRPr="0068292D">
        <w:rPr>
          <w:lang w:eastAsia="en-CA"/>
        </w:rPr>
        <w:t>b)</w:t>
      </w:r>
      <w:r w:rsidRPr="0068292D">
        <w:rPr>
          <w:lang w:eastAsia="en-CA"/>
        </w:rPr>
        <w:tab/>
      </w:r>
      <w:r w:rsidRPr="00AC0FFC">
        <w:rPr>
          <w:u w:val="single"/>
          <w:lang w:eastAsia="en-CA"/>
        </w:rPr>
        <w:t xml:space="preserve">Modification </w:t>
      </w:r>
      <w:r>
        <w:rPr>
          <w:u w:val="single"/>
          <w:lang w:eastAsia="en-CA"/>
        </w:rPr>
        <w:t>au</w:t>
      </w:r>
      <w:r w:rsidRPr="00AC0FFC">
        <w:rPr>
          <w:u w:val="single"/>
          <w:lang w:eastAsia="en-CA"/>
        </w:rPr>
        <w:t xml:space="preserve"> </w:t>
      </w:r>
      <w:r w:rsidRPr="00BD4D25">
        <w:rPr>
          <w:u w:val="single"/>
          <w:lang w:eastAsia="en-CA"/>
        </w:rPr>
        <w:t xml:space="preserve">paragraphe </w:t>
      </w:r>
      <w:r w:rsidRPr="00AC0FFC">
        <w:rPr>
          <w:u w:val="single"/>
          <w:lang w:eastAsia="en-CA"/>
        </w:rPr>
        <w:t>6.3.5.3.3</w:t>
      </w:r>
      <w:r w:rsidR="00590205">
        <w:rPr>
          <w:lang w:eastAsia="en-CA"/>
        </w:rPr>
        <w:t> </w:t>
      </w:r>
      <w:r>
        <w:rPr>
          <w:lang w:eastAsia="en-CA"/>
        </w:rPr>
        <w:t>:</w:t>
      </w:r>
      <w:r w:rsidRPr="00EE5C28">
        <w:rPr>
          <w:lang w:eastAsia="en-CA"/>
        </w:rPr>
        <w:t xml:space="preserve"> </w:t>
      </w:r>
      <w:r>
        <w:rPr>
          <w:lang w:eastAsia="en-CA"/>
        </w:rPr>
        <w:t xml:space="preserve">le </w:t>
      </w:r>
      <w:r w:rsidRPr="00BD4D25">
        <w:rPr>
          <w:lang w:eastAsia="en-CA"/>
        </w:rPr>
        <w:t xml:space="preserve">paragraphe </w:t>
      </w:r>
      <w:r>
        <w:rPr>
          <w:lang w:eastAsia="en-CA"/>
        </w:rPr>
        <w:t>6</w:t>
      </w:r>
      <w:r w:rsidRPr="00EE5C28">
        <w:rPr>
          <w:lang w:eastAsia="en-CA"/>
        </w:rPr>
        <w:t xml:space="preserve">.3.5.3.3 </w:t>
      </w:r>
      <w:r>
        <w:rPr>
          <w:lang w:eastAsia="en-CA"/>
        </w:rPr>
        <w:t xml:space="preserve">décrit les orientations de l’épreuve de chute pour les fûts ; cependant il est précisé dans le tableau du </w:t>
      </w:r>
      <w:r w:rsidR="00590205">
        <w:rPr>
          <w:lang w:eastAsia="en-CA"/>
        </w:rPr>
        <w:t>paragraphe </w:t>
      </w:r>
      <w:r w:rsidRPr="00EE5C28">
        <w:rPr>
          <w:lang w:eastAsia="en-CA"/>
        </w:rPr>
        <w:t>6.3.5.2.2</w:t>
      </w:r>
      <w:r>
        <w:rPr>
          <w:lang w:eastAsia="en-CA"/>
        </w:rPr>
        <w:t xml:space="preserve"> que l’emballage extérieur de matières infectieuses peut être un jerricane. L’expert du </w:t>
      </w:r>
      <w:r w:rsidRPr="00EE5C28">
        <w:rPr>
          <w:lang w:eastAsia="en-CA"/>
        </w:rPr>
        <w:t>Canada propose</w:t>
      </w:r>
      <w:r>
        <w:rPr>
          <w:lang w:eastAsia="en-CA"/>
        </w:rPr>
        <w:t xml:space="preserve"> de modifier le </w:t>
      </w:r>
      <w:r w:rsidRPr="00BD4D25">
        <w:rPr>
          <w:lang w:eastAsia="en-CA"/>
        </w:rPr>
        <w:t xml:space="preserve">paragraphe </w:t>
      </w:r>
      <w:r w:rsidRPr="00EE5C28">
        <w:rPr>
          <w:lang w:eastAsia="en-CA"/>
        </w:rPr>
        <w:t xml:space="preserve">6.3.5.3.3 </w:t>
      </w:r>
      <w:r>
        <w:rPr>
          <w:lang w:eastAsia="en-CA"/>
        </w:rPr>
        <w:t xml:space="preserve">de manière à inclure le terme </w:t>
      </w:r>
      <w:r w:rsidR="00590205">
        <w:rPr>
          <w:lang w:eastAsia="en-CA"/>
        </w:rPr>
        <w:t>« </w:t>
      </w:r>
      <w:r w:rsidRPr="00EE5C28">
        <w:rPr>
          <w:lang w:eastAsia="en-CA"/>
        </w:rPr>
        <w:t>jerrican</w:t>
      </w:r>
      <w:r>
        <w:rPr>
          <w:lang w:eastAsia="en-CA"/>
        </w:rPr>
        <w:t>e</w:t>
      </w:r>
      <w:r w:rsidRPr="00EE5C28">
        <w:rPr>
          <w:lang w:eastAsia="en-CA"/>
        </w:rPr>
        <w:t>s</w:t>
      </w:r>
      <w:r w:rsidR="00590205">
        <w:rPr>
          <w:lang w:eastAsia="en-CA"/>
        </w:rPr>
        <w:t> »</w:t>
      </w:r>
      <w:r w:rsidRPr="00EE5C28">
        <w:rPr>
          <w:lang w:eastAsia="en-CA"/>
        </w:rPr>
        <w:t xml:space="preserve"> </w:t>
      </w:r>
      <w:r>
        <w:rPr>
          <w:lang w:eastAsia="en-CA"/>
        </w:rPr>
        <w:t>pour tenir compte de ce type d’emballage</w:t>
      </w:r>
      <w:r w:rsidR="00590205">
        <w:rPr>
          <w:lang w:eastAsia="en-CA"/>
        </w:rPr>
        <w:t> </w:t>
      </w:r>
      <w:r>
        <w:rPr>
          <w:lang w:eastAsia="en-CA"/>
        </w:rPr>
        <w:t>;</w:t>
      </w:r>
    </w:p>
    <w:p w:rsidR="00D30809" w:rsidRDefault="0076692F" w:rsidP="00D30809">
      <w:pPr>
        <w:pStyle w:val="SingleTxtG"/>
        <w:ind w:firstLine="567"/>
        <w:rPr>
          <w:lang w:eastAsia="en-CA"/>
        </w:rPr>
      </w:pPr>
      <w:r w:rsidRPr="0068292D">
        <w:rPr>
          <w:lang w:eastAsia="en-CA"/>
        </w:rPr>
        <w:t>c)</w:t>
      </w:r>
      <w:r w:rsidRPr="0068292D">
        <w:rPr>
          <w:lang w:eastAsia="en-CA"/>
        </w:rPr>
        <w:tab/>
      </w:r>
      <w:r w:rsidRPr="00AC0FFC">
        <w:rPr>
          <w:u w:val="single"/>
          <w:lang w:eastAsia="en-CA"/>
        </w:rPr>
        <w:t xml:space="preserve">Modification </w:t>
      </w:r>
      <w:r>
        <w:rPr>
          <w:u w:val="single"/>
          <w:lang w:eastAsia="en-CA"/>
        </w:rPr>
        <w:t>au</w:t>
      </w:r>
      <w:r w:rsidRPr="00AC0FFC">
        <w:rPr>
          <w:u w:val="single"/>
          <w:lang w:eastAsia="en-CA"/>
        </w:rPr>
        <w:t xml:space="preserve"> </w:t>
      </w:r>
      <w:r w:rsidRPr="00BD4D25">
        <w:rPr>
          <w:u w:val="single"/>
          <w:lang w:eastAsia="en-CA"/>
        </w:rPr>
        <w:t xml:space="preserve">paragraphe </w:t>
      </w:r>
      <w:r w:rsidRPr="00AC0FFC">
        <w:rPr>
          <w:u w:val="single"/>
          <w:lang w:eastAsia="en-CA"/>
        </w:rPr>
        <w:t>6.3.5.3.3</w:t>
      </w:r>
      <w:r>
        <w:rPr>
          <w:u w:val="single"/>
          <w:lang w:eastAsia="en-CA"/>
        </w:rPr>
        <w:t xml:space="preserve"> a) et b)</w:t>
      </w:r>
      <w:r w:rsidR="00590205">
        <w:rPr>
          <w:lang w:eastAsia="en-CA"/>
        </w:rPr>
        <w:t> </w:t>
      </w:r>
      <w:r>
        <w:rPr>
          <w:lang w:eastAsia="en-CA"/>
        </w:rPr>
        <w:t>:</w:t>
      </w:r>
      <w:r w:rsidRPr="00EE5C28">
        <w:rPr>
          <w:lang w:eastAsia="en-CA"/>
        </w:rPr>
        <w:t xml:space="preserve"> </w:t>
      </w:r>
      <w:r>
        <w:rPr>
          <w:lang w:eastAsia="en-CA"/>
        </w:rPr>
        <w:t xml:space="preserve">les alinéas </w:t>
      </w:r>
      <w:proofErr w:type="gramStart"/>
      <w:r>
        <w:rPr>
          <w:lang w:eastAsia="en-CA"/>
        </w:rPr>
        <w:t>a</w:t>
      </w:r>
      <w:proofErr w:type="gramEnd"/>
      <w:r>
        <w:rPr>
          <w:lang w:eastAsia="en-CA"/>
        </w:rPr>
        <w:t xml:space="preserve">) et b) du </w:t>
      </w:r>
      <w:r w:rsidRPr="00BD4D25">
        <w:rPr>
          <w:lang w:eastAsia="en-CA"/>
        </w:rPr>
        <w:t>paragraphe</w:t>
      </w:r>
      <w:r w:rsidR="00590205">
        <w:rPr>
          <w:lang w:eastAsia="en-CA"/>
        </w:rPr>
        <w:t> </w:t>
      </w:r>
      <w:r>
        <w:rPr>
          <w:lang w:eastAsia="en-CA"/>
        </w:rPr>
        <w:t xml:space="preserve">6.3.5.3.3 ne décrivent que l’orientation des emballages avec rebords pour les épreuves de chute. Afin de prendre en compte les emballages sans rebords, l’expert du Canada propose de modifier l’alinéa </w:t>
      </w:r>
      <w:r w:rsidRPr="00AC0FFC">
        <w:rPr>
          <w:u w:val="single"/>
          <w:lang w:eastAsia="en-CA"/>
        </w:rPr>
        <w:t>6.3.5.3.3</w:t>
      </w:r>
      <w:r>
        <w:rPr>
          <w:u w:val="single"/>
          <w:lang w:eastAsia="en-CA"/>
        </w:rPr>
        <w:t xml:space="preserve"> a)</w:t>
      </w:r>
      <w:r w:rsidRPr="00EE5C28">
        <w:rPr>
          <w:lang w:eastAsia="en-CA"/>
        </w:rPr>
        <w:t xml:space="preserve"> </w:t>
      </w:r>
      <w:r>
        <w:rPr>
          <w:lang w:eastAsia="en-CA"/>
        </w:rPr>
        <w:t xml:space="preserve">en reprenant les termes du </w:t>
      </w:r>
      <w:r w:rsidR="00590205">
        <w:rPr>
          <w:lang w:eastAsia="en-CA"/>
        </w:rPr>
        <w:t>paragraphe </w:t>
      </w:r>
      <w:r>
        <w:rPr>
          <w:lang w:eastAsia="en-CA"/>
        </w:rPr>
        <w:t>6.1.5.3.1 pour préciser « </w:t>
      </w:r>
      <w:r w:rsidRPr="009A6FA8">
        <w:rPr>
          <w:u w:val="single"/>
          <w:lang w:eastAsia="en-CA"/>
        </w:rPr>
        <w:t>ou si l</w:t>
      </w:r>
      <w:r>
        <w:rPr>
          <w:u w:val="single"/>
          <w:lang w:eastAsia="en-CA"/>
        </w:rPr>
        <w:t>’</w:t>
      </w:r>
      <w:r w:rsidRPr="009A6FA8">
        <w:rPr>
          <w:u w:val="single"/>
          <w:lang w:eastAsia="en-CA"/>
        </w:rPr>
        <w:t>emballage n</w:t>
      </w:r>
      <w:r>
        <w:rPr>
          <w:u w:val="single"/>
          <w:lang w:eastAsia="en-CA"/>
        </w:rPr>
        <w:t>’</w:t>
      </w:r>
      <w:r w:rsidRPr="009A6FA8">
        <w:rPr>
          <w:u w:val="single"/>
          <w:lang w:eastAsia="en-CA"/>
        </w:rPr>
        <w:t>a pas de rebord</w:t>
      </w:r>
      <w:r>
        <w:rPr>
          <w:u w:val="single"/>
          <w:lang w:eastAsia="en-CA"/>
        </w:rPr>
        <w:t>,</w:t>
      </w:r>
      <w:r w:rsidRPr="009A6FA8">
        <w:rPr>
          <w:u w:val="single"/>
          <w:lang w:eastAsia="en-CA"/>
        </w:rPr>
        <w:t xml:space="preserve"> sur le joint périphérique ou bord supérieur</w:t>
      </w:r>
      <w:r>
        <w:rPr>
          <w:lang w:eastAsia="en-CA"/>
        </w:rPr>
        <w:t xml:space="preserve"> » et de modifier le </w:t>
      </w:r>
      <w:r w:rsidRPr="00AC0FFC">
        <w:rPr>
          <w:u w:val="single"/>
          <w:lang w:eastAsia="en-CA"/>
        </w:rPr>
        <w:t>6.3.5.3.3</w:t>
      </w:r>
      <w:r>
        <w:rPr>
          <w:u w:val="single"/>
          <w:lang w:eastAsia="en-CA"/>
        </w:rPr>
        <w:t xml:space="preserve"> b)</w:t>
      </w:r>
      <w:r>
        <w:rPr>
          <w:lang w:eastAsia="en-CA"/>
        </w:rPr>
        <w:t xml:space="preserve"> pour préciser « </w:t>
      </w:r>
      <w:r w:rsidRPr="009A6FA8">
        <w:rPr>
          <w:u w:val="single"/>
        </w:rPr>
        <w:t>ou si l</w:t>
      </w:r>
      <w:r>
        <w:rPr>
          <w:u w:val="single"/>
        </w:rPr>
        <w:t>’</w:t>
      </w:r>
      <w:r w:rsidRPr="009A6FA8">
        <w:rPr>
          <w:u w:val="single"/>
        </w:rPr>
        <w:t>emballage n</w:t>
      </w:r>
      <w:r>
        <w:rPr>
          <w:u w:val="single"/>
        </w:rPr>
        <w:t>’</w:t>
      </w:r>
      <w:r w:rsidRPr="009A6FA8">
        <w:rPr>
          <w:u w:val="single"/>
        </w:rPr>
        <w:t>a pas de rebord</w:t>
      </w:r>
      <w:r>
        <w:rPr>
          <w:u w:val="single"/>
        </w:rPr>
        <w:t>,</w:t>
      </w:r>
      <w:r w:rsidRPr="009A6FA8">
        <w:rPr>
          <w:u w:val="single"/>
        </w:rPr>
        <w:t xml:space="preserve"> sur </w:t>
      </w:r>
      <w:r>
        <w:rPr>
          <w:u w:val="single"/>
        </w:rPr>
        <w:t>le</w:t>
      </w:r>
      <w:r w:rsidRPr="009A6FA8">
        <w:rPr>
          <w:u w:val="single"/>
        </w:rPr>
        <w:t xml:space="preserve"> joint périphérique ou bord </w:t>
      </w:r>
      <w:r>
        <w:rPr>
          <w:u w:val="single"/>
        </w:rPr>
        <w:t>inférieur</w:t>
      </w:r>
      <w:r w:rsidRPr="00DA69EC">
        <w:t> »</w:t>
      </w:r>
      <w:r w:rsidR="00D30809" w:rsidRPr="00DA69EC">
        <w:t> </w:t>
      </w:r>
      <w:r w:rsidRPr="00DA69EC">
        <w:rPr>
          <w:lang w:eastAsia="en-CA"/>
        </w:rPr>
        <w:t>;</w:t>
      </w:r>
    </w:p>
    <w:p w:rsidR="00D30809" w:rsidRDefault="0076692F" w:rsidP="00D30809">
      <w:pPr>
        <w:pStyle w:val="SingleTxtG"/>
        <w:ind w:firstLine="567"/>
        <w:rPr>
          <w:lang w:eastAsia="en-CA"/>
        </w:rPr>
      </w:pPr>
      <w:r w:rsidRPr="0068292D">
        <w:rPr>
          <w:lang w:eastAsia="en-CA"/>
        </w:rPr>
        <w:t>d)</w:t>
      </w:r>
      <w:r w:rsidRPr="0068292D">
        <w:rPr>
          <w:lang w:eastAsia="en-CA"/>
        </w:rPr>
        <w:tab/>
      </w:r>
      <w:r w:rsidRPr="00AC0FFC">
        <w:rPr>
          <w:u w:val="single"/>
          <w:lang w:eastAsia="en-CA"/>
        </w:rPr>
        <w:t xml:space="preserve">Modification </w:t>
      </w:r>
      <w:r>
        <w:rPr>
          <w:u w:val="single"/>
          <w:lang w:eastAsia="en-CA"/>
        </w:rPr>
        <w:t>au</w:t>
      </w:r>
      <w:r w:rsidRPr="00AC0FFC">
        <w:rPr>
          <w:u w:val="single"/>
          <w:lang w:eastAsia="en-CA"/>
        </w:rPr>
        <w:t xml:space="preserve"> </w:t>
      </w:r>
      <w:r w:rsidRPr="00073959">
        <w:rPr>
          <w:u w:val="single"/>
          <w:lang w:eastAsia="en-CA"/>
        </w:rPr>
        <w:t xml:space="preserve">paragraphe </w:t>
      </w:r>
      <w:r w:rsidRPr="00AC0FFC">
        <w:rPr>
          <w:u w:val="single"/>
          <w:lang w:eastAsia="en-CA"/>
        </w:rPr>
        <w:t>6.3.5.3.3</w:t>
      </w:r>
      <w:r>
        <w:rPr>
          <w:u w:val="single"/>
          <w:lang w:eastAsia="en-CA"/>
        </w:rPr>
        <w:t xml:space="preserve"> </w:t>
      </w:r>
      <w:r w:rsidRPr="00AC0FFC">
        <w:rPr>
          <w:u w:val="single"/>
          <w:lang w:eastAsia="en-CA"/>
        </w:rPr>
        <w:t>c</w:t>
      </w:r>
      <w:r>
        <w:rPr>
          <w:u w:val="single"/>
          <w:lang w:eastAsia="en-CA"/>
        </w:rPr>
        <w:t>)</w:t>
      </w:r>
      <w:r w:rsidR="00D30809">
        <w:rPr>
          <w:lang w:eastAsia="en-CA"/>
        </w:rPr>
        <w:t> </w:t>
      </w:r>
      <w:r>
        <w:rPr>
          <w:lang w:eastAsia="en-CA"/>
        </w:rPr>
        <w:t>:</w:t>
      </w:r>
      <w:r w:rsidRPr="00EE5C28">
        <w:rPr>
          <w:lang w:eastAsia="en-CA"/>
        </w:rPr>
        <w:t xml:space="preserve"> </w:t>
      </w:r>
      <w:r>
        <w:rPr>
          <w:lang w:eastAsia="en-CA"/>
        </w:rPr>
        <w:t xml:space="preserve">l’alinéa </w:t>
      </w:r>
      <w:r w:rsidRPr="00EE5C28">
        <w:rPr>
          <w:lang w:eastAsia="en-CA"/>
        </w:rPr>
        <w:t>6.3.5.3.3</w:t>
      </w:r>
      <w:r>
        <w:rPr>
          <w:lang w:eastAsia="en-CA"/>
        </w:rPr>
        <w:t xml:space="preserve"> </w:t>
      </w:r>
      <w:r w:rsidRPr="00EE5C28">
        <w:rPr>
          <w:lang w:eastAsia="en-CA"/>
        </w:rPr>
        <w:t>c</w:t>
      </w:r>
      <w:r>
        <w:rPr>
          <w:lang w:eastAsia="en-CA"/>
        </w:rPr>
        <w:t>)</w:t>
      </w:r>
      <w:r w:rsidRPr="00EE5C28">
        <w:rPr>
          <w:lang w:eastAsia="en-CA"/>
        </w:rPr>
        <w:t xml:space="preserve"> </w:t>
      </w:r>
      <w:r>
        <w:rPr>
          <w:lang w:eastAsia="en-CA"/>
        </w:rPr>
        <w:t>précise que le spécimen sera éprouvé « à plat sur le côté »</w:t>
      </w:r>
      <w:r w:rsidRPr="00EE5C28">
        <w:rPr>
          <w:lang w:eastAsia="en-CA"/>
        </w:rPr>
        <w:t xml:space="preserve">. </w:t>
      </w:r>
      <w:r>
        <w:rPr>
          <w:lang w:eastAsia="en-CA"/>
        </w:rPr>
        <w:t xml:space="preserve">Afin de prendre en compte les fûts cylindriques qui n’ont pas de « côté », l’expert du </w:t>
      </w:r>
      <w:r w:rsidRPr="00EE5C28">
        <w:rPr>
          <w:lang w:eastAsia="en-CA"/>
        </w:rPr>
        <w:t xml:space="preserve">Canada </w:t>
      </w:r>
      <w:r>
        <w:rPr>
          <w:lang w:eastAsia="en-CA"/>
        </w:rPr>
        <w:t>propose de modifier cette phrase comme suit :</w:t>
      </w:r>
      <w:r w:rsidRPr="00EE5C28">
        <w:rPr>
          <w:lang w:eastAsia="en-CA"/>
        </w:rPr>
        <w:t xml:space="preserve"> </w:t>
      </w:r>
      <w:r>
        <w:rPr>
          <w:lang w:eastAsia="en-CA"/>
        </w:rPr>
        <w:t xml:space="preserve">« à plat </w:t>
      </w:r>
      <w:r>
        <w:rPr>
          <w:u w:val="single"/>
          <w:lang w:eastAsia="en-CA"/>
        </w:rPr>
        <w:t>à l’horizontale</w:t>
      </w:r>
      <w:r w:rsidRPr="00543647">
        <w:rPr>
          <w:u w:val="single"/>
          <w:lang w:eastAsia="en-CA"/>
        </w:rPr>
        <w:t xml:space="preserve"> </w:t>
      </w:r>
      <w:r w:rsidRPr="00EE5C28">
        <w:rPr>
          <w:u w:val="single"/>
          <w:lang w:eastAsia="en-CA"/>
        </w:rPr>
        <w:t>o</w:t>
      </w:r>
      <w:r>
        <w:rPr>
          <w:u w:val="single"/>
          <w:lang w:eastAsia="en-CA"/>
        </w:rPr>
        <w:t>u</w:t>
      </w:r>
      <w:r w:rsidRPr="00EE5C28">
        <w:rPr>
          <w:lang w:eastAsia="en-CA"/>
        </w:rPr>
        <w:t xml:space="preserve"> </w:t>
      </w:r>
      <w:r>
        <w:rPr>
          <w:lang w:eastAsia="en-CA"/>
        </w:rPr>
        <w:t>sur le côté »</w:t>
      </w:r>
      <w:r w:rsidR="00D30809">
        <w:rPr>
          <w:lang w:eastAsia="en-CA"/>
        </w:rPr>
        <w:t> </w:t>
      </w:r>
      <w:r>
        <w:rPr>
          <w:lang w:eastAsia="en-CA"/>
        </w:rPr>
        <w:t>;</w:t>
      </w:r>
    </w:p>
    <w:p w:rsidR="0076692F" w:rsidRPr="00EE5C28" w:rsidRDefault="0076692F" w:rsidP="00D30809">
      <w:pPr>
        <w:pStyle w:val="SingleTxtG"/>
        <w:ind w:firstLine="567"/>
        <w:rPr>
          <w:sz w:val="21"/>
          <w:szCs w:val="21"/>
        </w:rPr>
      </w:pPr>
      <w:r w:rsidRPr="0068292D">
        <w:rPr>
          <w:lang w:eastAsia="en-CA"/>
        </w:rPr>
        <w:t>e)</w:t>
      </w:r>
      <w:r w:rsidRPr="0068292D">
        <w:rPr>
          <w:lang w:eastAsia="en-CA"/>
        </w:rPr>
        <w:tab/>
      </w:r>
      <w:r w:rsidRPr="00AC0FFC">
        <w:rPr>
          <w:u w:val="single"/>
          <w:lang w:eastAsia="en-CA"/>
        </w:rPr>
        <w:t xml:space="preserve">Modification </w:t>
      </w:r>
      <w:r>
        <w:rPr>
          <w:u w:val="single"/>
          <w:lang w:eastAsia="en-CA"/>
        </w:rPr>
        <w:t>au</w:t>
      </w:r>
      <w:r w:rsidRPr="00AC0FFC">
        <w:rPr>
          <w:u w:val="single"/>
          <w:lang w:eastAsia="en-CA"/>
        </w:rPr>
        <w:t xml:space="preserve"> </w:t>
      </w:r>
      <w:r w:rsidRPr="00073959">
        <w:rPr>
          <w:u w:val="single"/>
          <w:lang w:eastAsia="en-CA"/>
        </w:rPr>
        <w:t xml:space="preserve">paragraphe </w:t>
      </w:r>
      <w:r w:rsidRPr="00AC0FFC">
        <w:rPr>
          <w:u w:val="single"/>
          <w:lang w:eastAsia="en-CA"/>
        </w:rPr>
        <w:t>6.3.5.3.6.3</w:t>
      </w:r>
      <w:r w:rsidR="00D30809">
        <w:rPr>
          <w:lang w:eastAsia="en-CA"/>
        </w:rPr>
        <w:t> </w:t>
      </w:r>
      <w:r>
        <w:rPr>
          <w:lang w:eastAsia="en-CA"/>
        </w:rPr>
        <w:t>:</w:t>
      </w:r>
      <w:r w:rsidRPr="00EE5C28">
        <w:rPr>
          <w:lang w:eastAsia="en-CA"/>
        </w:rPr>
        <w:t xml:space="preserve"> </w:t>
      </w:r>
      <w:r>
        <w:rPr>
          <w:lang w:eastAsia="en-CA"/>
        </w:rPr>
        <w:t xml:space="preserve">le </w:t>
      </w:r>
      <w:r w:rsidRPr="00073959">
        <w:rPr>
          <w:lang w:eastAsia="en-CA"/>
        </w:rPr>
        <w:t xml:space="preserve">paragraphe </w:t>
      </w:r>
      <w:r w:rsidRPr="00EE5C28">
        <w:rPr>
          <w:lang w:eastAsia="en-CA"/>
        </w:rPr>
        <w:t xml:space="preserve">6.3.5.3.6.3 </w:t>
      </w:r>
      <w:r>
        <w:rPr>
          <w:lang w:eastAsia="en-CA"/>
        </w:rPr>
        <w:t xml:space="preserve">indique qu’un échantillon doit être soumis à l’épreuve de chute dans l’une des positions décrites au </w:t>
      </w:r>
      <w:r w:rsidRPr="00073959">
        <w:rPr>
          <w:lang w:eastAsia="en-CA"/>
        </w:rPr>
        <w:t>paragraphe</w:t>
      </w:r>
      <w:r w:rsidR="00D30809">
        <w:rPr>
          <w:lang w:eastAsia="en-CA"/>
        </w:rPr>
        <w:t> </w:t>
      </w:r>
      <w:r w:rsidRPr="00EE5C28">
        <w:rPr>
          <w:lang w:eastAsia="en-CA"/>
        </w:rPr>
        <w:t xml:space="preserve">6.3.5.3.2. </w:t>
      </w:r>
      <w:r>
        <w:rPr>
          <w:lang w:eastAsia="en-CA"/>
        </w:rPr>
        <w:t xml:space="preserve">Cependant, le </w:t>
      </w:r>
      <w:r w:rsidRPr="00073959">
        <w:rPr>
          <w:lang w:eastAsia="en-CA"/>
        </w:rPr>
        <w:t xml:space="preserve">paragraphe </w:t>
      </w:r>
      <w:r w:rsidRPr="00EE5C28">
        <w:rPr>
          <w:lang w:eastAsia="en-CA"/>
        </w:rPr>
        <w:t xml:space="preserve">6.3.5.3.2 </w:t>
      </w:r>
      <w:r>
        <w:rPr>
          <w:lang w:eastAsia="en-CA"/>
        </w:rPr>
        <w:t xml:space="preserve">ne décrit les orientations des épreuves de chute que pour les caisses, sans prendre en compte les orientations propres aux fûts ou </w:t>
      </w:r>
      <w:proofErr w:type="gramStart"/>
      <w:r>
        <w:rPr>
          <w:lang w:eastAsia="en-CA"/>
        </w:rPr>
        <w:t>au jerricanes</w:t>
      </w:r>
      <w:proofErr w:type="gramEnd"/>
      <w:r>
        <w:rPr>
          <w:lang w:eastAsia="en-CA"/>
        </w:rPr>
        <w:t>. L’</w:t>
      </w:r>
      <w:r w:rsidRPr="00EE5C28">
        <w:rPr>
          <w:lang w:eastAsia="en-CA"/>
        </w:rPr>
        <w:t xml:space="preserve">expert </w:t>
      </w:r>
      <w:r>
        <w:rPr>
          <w:lang w:eastAsia="en-CA"/>
        </w:rPr>
        <w:t xml:space="preserve">du </w:t>
      </w:r>
      <w:r w:rsidRPr="00EE5C28">
        <w:rPr>
          <w:lang w:eastAsia="en-CA"/>
        </w:rPr>
        <w:t>Canada propose</w:t>
      </w:r>
      <w:r>
        <w:rPr>
          <w:lang w:eastAsia="en-CA"/>
        </w:rPr>
        <w:t xml:space="preserve"> de modifier le</w:t>
      </w:r>
      <w:r w:rsidRPr="00EE5C28">
        <w:rPr>
          <w:lang w:eastAsia="en-CA"/>
        </w:rPr>
        <w:t xml:space="preserve"> </w:t>
      </w:r>
      <w:r w:rsidRPr="00073959">
        <w:rPr>
          <w:lang w:eastAsia="en-CA"/>
        </w:rPr>
        <w:t>paragraphe</w:t>
      </w:r>
      <w:r w:rsidR="00D30809">
        <w:rPr>
          <w:lang w:eastAsia="en-CA"/>
        </w:rPr>
        <w:t> </w:t>
      </w:r>
      <w:r w:rsidRPr="00EE5C28">
        <w:rPr>
          <w:lang w:eastAsia="en-CA"/>
        </w:rPr>
        <w:t>6.3.5.3.6.3</w:t>
      </w:r>
      <w:r>
        <w:rPr>
          <w:lang w:eastAsia="en-CA"/>
        </w:rPr>
        <w:t xml:space="preserve">, afin de renvoyer à la fois au </w:t>
      </w:r>
      <w:r w:rsidRPr="00073959">
        <w:rPr>
          <w:lang w:eastAsia="en-CA"/>
        </w:rPr>
        <w:t xml:space="preserve">paragraphe </w:t>
      </w:r>
      <w:r w:rsidRPr="00EE5C28">
        <w:rPr>
          <w:lang w:eastAsia="en-CA"/>
        </w:rPr>
        <w:t xml:space="preserve">6.3.5.3.2 </w:t>
      </w:r>
      <w:r>
        <w:rPr>
          <w:lang w:eastAsia="en-CA"/>
        </w:rPr>
        <w:t>« </w:t>
      </w:r>
      <w:r>
        <w:rPr>
          <w:u w:val="single"/>
          <w:lang w:eastAsia="en-CA"/>
        </w:rPr>
        <w:t>ou au</w:t>
      </w:r>
      <w:r w:rsidRPr="00EE5C28">
        <w:rPr>
          <w:u w:val="single"/>
          <w:lang w:eastAsia="en-CA"/>
        </w:rPr>
        <w:t xml:space="preserve"> </w:t>
      </w:r>
      <w:r w:rsidRPr="00073959">
        <w:rPr>
          <w:u w:val="single"/>
          <w:lang w:eastAsia="en-CA"/>
        </w:rPr>
        <w:t xml:space="preserve">paragraphe </w:t>
      </w:r>
      <w:r w:rsidRPr="00EE5C28">
        <w:rPr>
          <w:u w:val="single"/>
          <w:lang w:eastAsia="en-CA"/>
        </w:rPr>
        <w:t xml:space="preserve">6.3.5.3.3, </w:t>
      </w:r>
      <w:r w:rsidR="00B21499">
        <w:rPr>
          <w:u w:val="single"/>
          <w:lang w:eastAsia="en-CA"/>
        </w:rPr>
        <w:t>selon le cas</w:t>
      </w:r>
      <w:r w:rsidRPr="00DA69EC">
        <w:rPr>
          <w:lang w:eastAsia="en-CA"/>
        </w:rPr>
        <w:t xml:space="preserve"> », </w:t>
      </w:r>
      <w:r>
        <w:rPr>
          <w:lang w:eastAsia="en-CA"/>
        </w:rPr>
        <w:t>pour prendre en compte l’orientation des chutes propres</w:t>
      </w:r>
      <w:r w:rsidR="00D30809">
        <w:rPr>
          <w:lang w:eastAsia="en-CA"/>
        </w:rPr>
        <w:t xml:space="preserve"> aux boîtes et aux jerricanes.</w:t>
      </w:r>
    </w:p>
    <w:p w:rsidR="0076692F" w:rsidRPr="00EE5C28" w:rsidRDefault="0076692F" w:rsidP="00D30809">
      <w:pPr>
        <w:pStyle w:val="HChG"/>
      </w:pPr>
      <w:r>
        <w:tab/>
      </w:r>
      <w:r>
        <w:tab/>
      </w:r>
      <w:r w:rsidRPr="00EE5C28">
        <w:t>Propos</w:t>
      </w:r>
      <w:r>
        <w:t>ition</w:t>
      </w:r>
    </w:p>
    <w:p w:rsidR="0076692F" w:rsidRPr="00AC0FFC" w:rsidRDefault="0076692F" w:rsidP="00D30809">
      <w:pPr>
        <w:pStyle w:val="SingleTxtG"/>
        <w:rPr>
          <w:b/>
        </w:rPr>
      </w:pPr>
      <w:r>
        <w:t>6.</w:t>
      </w:r>
      <w:r>
        <w:tab/>
        <w:t xml:space="preserve">Modifier le début des </w:t>
      </w:r>
      <w:r>
        <w:rPr>
          <w:lang w:eastAsia="en-CA"/>
        </w:rPr>
        <w:t>« </w:t>
      </w:r>
      <w:r w:rsidRPr="0075253A">
        <w:rPr>
          <w:lang w:eastAsia="en-CA"/>
        </w:rPr>
        <w:t>Explications concernant l</w:t>
      </w:r>
      <w:r>
        <w:rPr>
          <w:lang w:eastAsia="en-CA"/>
        </w:rPr>
        <w:t>’</w:t>
      </w:r>
      <w:r w:rsidRPr="0075253A">
        <w:rPr>
          <w:lang w:eastAsia="en-CA"/>
        </w:rPr>
        <w:t>utilisation du tableau</w:t>
      </w:r>
      <w:r w:rsidR="00D30809">
        <w:rPr>
          <w:lang w:eastAsia="en-CA"/>
        </w:rPr>
        <w:t> » au paragraphe </w:t>
      </w:r>
      <w:r w:rsidRPr="00AC0FFC">
        <w:rPr>
          <w:lang w:eastAsia="en-CA"/>
        </w:rPr>
        <w:t xml:space="preserve">6.3.5.2.2 </w:t>
      </w:r>
      <w:r>
        <w:rPr>
          <w:lang w:eastAsia="en-CA"/>
        </w:rPr>
        <w:t xml:space="preserve">comme suit </w:t>
      </w:r>
      <w:r w:rsidRPr="00AC0FFC">
        <w:rPr>
          <w:lang w:eastAsia="en-CA"/>
        </w:rPr>
        <w:t>(</w:t>
      </w:r>
      <w:r>
        <w:rPr>
          <w:lang w:eastAsia="en-CA"/>
        </w:rPr>
        <w:t xml:space="preserve">le texte supprimé apparaît </w:t>
      </w:r>
      <w:r w:rsidRPr="00957FC7">
        <w:rPr>
          <w:strike/>
          <w:lang w:eastAsia="en-CA"/>
        </w:rPr>
        <w:t>en caractères</w:t>
      </w:r>
      <w:r>
        <w:rPr>
          <w:lang w:eastAsia="en-CA"/>
        </w:rPr>
        <w:t xml:space="preserve"> </w:t>
      </w:r>
      <w:r>
        <w:rPr>
          <w:strike/>
          <w:lang w:eastAsia="en-CA"/>
        </w:rPr>
        <w:t xml:space="preserve">biffés </w:t>
      </w:r>
      <w:r w:rsidRPr="00957FC7">
        <w:rPr>
          <w:lang w:eastAsia="en-CA"/>
        </w:rPr>
        <w:t xml:space="preserve">et </w:t>
      </w:r>
      <w:r w:rsidRPr="00957FC7">
        <w:rPr>
          <w:u w:val="single"/>
          <w:lang w:eastAsia="en-CA"/>
        </w:rPr>
        <w:t>le nouveau texte est souligné</w:t>
      </w:r>
      <w:r w:rsidRPr="00AC0FFC">
        <w:rPr>
          <w:lang w:eastAsia="en-CA"/>
        </w:rPr>
        <w:t>)</w:t>
      </w:r>
      <w:r w:rsidR="00D30809">
        <w:rPr>
          <w:lang w:eastAsia="en-CA"/>
        </w:rPr>
        <w:t> </w:t>
      </w:r>
      <w:r w:rsidRPr="00AC0FFC">
        <w:rPr>
          <w:lang w:eastAsia="en-CA"/>
        </w:rPr>
        <w:t>:</w:t>
      </w:r>
    </w:p>
    <w:p w:rsidR="0076692F" w:rsidRPr="005E2CE0" w:rsidRDefault="0076692F" w:rsidP="00DA69EC">
      <w:pPr>
        <w:pStyle w:val="SingleTxtG"/>
        <w:ind w:left="1701"/>
      </w:pPr>
      <w:r w:rsidRPr="005E2CE0">
        <w:t>«</w:t>
      </w:r>
      <w:r w:rsidR="00D30809">
        <w:t> </w:t>
      </w:r>
      <w:r w:rsidRPr="00D30809">
        <w:rPr>
          <w:i/>
        </w:rPr>
        <w:t>Explications concernant l’utilisation du tableau</w:t>
      </w:r>
      <w:r w:rsidR="00D30809">
        <w:t> </w:t>
      </w:r>
      <w:r w:rsidRPr="005E2CE0">
        <w:t>:</w:t>
      </w:r>
    </w:p>
    <w:p w:rsidR="0076692F" w:rsidRPr="005E2CE0" w:rsidRDefault="0076692F" w:rsidP="00DA69EC">
      <w:pPr>
        <w:pStyle w:val="SingleTxtG"/>
        <w:ind w:left="1701"/>
      </w:pPr>
      <w:r w:rsidRPr="005E2CE0">
        <w:t>Si l</w:t>
      </w:r>
      <w:r>
        <w:t>’</w:t>
      </w:r>
      <w:r w:rsidRPr="005E2CE0">
        <w:t>emballage à éprouver est constitué d</w:t>
      </w:r>
      <w:r>
        <w:t>’</w:t>
      </w:r>
      <w:r w:rsidRPr="005E2CE0">
        <w:t>une caisse extérieure en carton avec un récipient primaire en plastique, cinq échantillons doivent être soumis à une épreuve d</w:t>
      </w:r>
      <w:r>
        <w:t>’</w:t>
      </w:r>
      <w:r w:rsidRPr="005E2CE0">
        <w:t>aspersion d</w:t>
      </w:r>
      <w:r>
        <w:t>’</w:t>
      </w:r>
      <w:r w:rsidRPr="005E2CE0">
        <w:t>eau (voir 6.3.5.3.6.1) avant l</w:t>
      </w:r>
      <w:r>
        <w:t>’</w:t>
      </w:r>
      <w:r w:rsidRPr="005E2CE0">
        <w:t xml:space="preserve">épreuve de chute, et cinq autres </w:t>
      </w:r>
      <w:r w:rsidR="00D30809">
        <w:t>doivent être conditionnés à -18 </w:t>
      </w:r>
      <w:r w:rsidRPr="005E2CE0">
        <w:t>°C (voir 6.3.5.3.6.2) avant l</w:t>
      </w:r>
      <w:r>
        <w:t>’</w:t>
      </w:r>
      <w:r w:rsidRPr="005E2CE0">
        <w:t>épreuve de chute. Si l</w:t>
      </w:r>
      <w:r>
        <w:t>’</w:t>
      </w:r>
      <w:r w:rsidRPr="005E2CE0">
        <w:t xml:space="preserve">emballage </w:t>
      </w:r>
      <w:r w:rsidRPr="005E2CE0">
        <w:lastRenderedPageBreak/>
        <w:t xml:space="preserve">est destiné à contenir de la neige carbonique, un seul échantillon supplémentaire doit </w:t>
      </w:r>
      <w:r w:rsidRPr="005E2CE0">
        <w:rPr>
          <w:strike/>
        </w:rPr>
        <w:t>subir cinq essais de chute après conditionnement</w:t>
      </w:r>
      <w:r w:rsidRPr="005E2CE0">
        <w:t xml:space="preserve"> </w:t>
      </w:r>
      <w:r w:rsidRPr="005E2CE0">
        <w:rPr>
          <w:u w:val="single"/>
        </w:rPr>
        <w:t>subir un essai de chute</w:t>
      </w:r>
      <w:r w:rsidRPr="005E2CE0">
        <w:t xml:space="preserve"> conformément </w:t>
      </w:r>
      <w:r w:rsidR="00D30809">
        <w:t>au paragraphe </w:t>
      </w:r>
      <w:r w:rsidRPr="005E2CE0">
        <w:t>6.3.5.3.6.3.</w:t>
      </w:r>
      <w:r w:rsidR="00D30809">
        <w:t> </w:t>
      </w:r>
      <w:r w:rsidRPr="005E2CE0">
        <w:t>».</w:t>
      </w:r>
    </w:p>
    <w:p w:rsidR="0076692F" w:rsidRPr="00AC0FFC" w:rsidRDefault="0076692F" w:rsidP="003F0B05">
      <w:pPr>
        <w:pStyle w:val="SingleTxtG"/>
        <w:keepNext/>
        <w:keepLines/>
        <w:rPr>
          <w:b/>
        </w:rPr>
      </w:pPr>
      <w:r>
        <w:t>7.</w:t>
      </w:r>
      <w:r>
        <w:tab/>
        <w:t>Modifier le</w:t>
      </w:r>
      <w:r w:rsidRPr="00AC0FFC">
        <w:t xml:space="preserve"> </w:t>
      </w:r>
      <w:r w:rsidRPr="00073959">
        <w:t xml:space="preserve">paragraphe </w:t>
      </w:r>
      <w:r w:rsidRPr="00AC0FFC">
        <w:t xml:space="preserve">6.3.5.3.1 </w:t>
      </w:r>
      <w:r>
        <w:t xml:space="preserve">comme suit </w:t>
      </w:r>
      <w:r w:rsidRPr="005E2CE0">
        <w:t xml:space="preserve">(le nouveau texte </w:t>
      </w:r>
      <w:r w:rsidRPr="005E2CE0">
        <w:rPr>
          <w:u w:val="single"/>
        </w:rPr>
        <w:t>est souligné</w:t>
      </w:r>
      <w:r w:rsidRPr="005E2CE0">
        <w:t>)</w:t>
      </w:r>
      <w:r w:rsidR="00D30809">
        <w:t> </w:t>
      </w:r>
      <w:r w:rsidRPr="005E2CE0">
        <w:t>:</w:t>
      </w:r>
    </w:p>
    <w:p w:rsidR="00446FE5" w:rsidRDefault="0076692F" w:rsidP="00736189">
      <w:pPr>
        <w:pStyle w:val="SingleTxtG"/>
        <w:ind w:left="2835" w:hanging="1134"/>
      </w:pPr>
      <w:r>
        <w:t>6.3.5.3.1</w:t>
      </w:r>
      <w:r w:rsidRPr="00AC0FFC">
        <w:tab/>
      </w:r>
      <w:r w:rsidRPr="00064656">
        <w:t>Les échantillons doivent être soumis à des épreuves de chute libre</w:t>
      </w:r>
      <w:r w:rsidRPr="00D30809">
        <w:t xml:space="preserve">, </w:t>
      </w:r>
      <w:r>
        <w:rPr>
          <w:u w:val="single"/>
        </w:rPr>
        <w:t xml:space="preserve">conformément au </w:t>
      </w:r>
      <w:r w:rsidRPr="00073959">
        <w:rPr>
          <w:u w:val="single"/>
        </w:rPr>
        <w:t xml:space="preserve">paragraphe </w:t>
      </w:r>
      <w:r w:rsidRPr="00AC0FFC">
        <w:rPr>
          <w:u w:val="single"/>
        </w:rPr>
        <w:t>6.3.5.3.2 o</w:t>
      </w:r>
      <w:r>
        <w:rPr>
          <w:u w:val="single"/>
        </w:rPr>
        <w:t>u au</w:t>
      </w:r>
      <w:r w:rsidRPr="00AC0FFC">
        <w:rPr>
          <w:u w:val="single"/>
        </w:rPr>
        <w:t xml:space="preserve"> </w:t>
      </w:r>
      <w:r w:rsidRPr="00073959">
        <w:rPr>
          <w:u w:val="single"/>
        </w:rPr>
        <w:t xml:space="preserve">paragraphe </w:t>
      </w:r>
      <w:r w:rsidRPr="00AC0FFC">
        <w:rPr>
          <w:u w:val="single"/>
        </w:rPr>
        <w:t xml:space="preserve">6.3.5.3.3, </w:t>
      </w:r>
      <w:r>
        <w:rPr>
          <w:u w:val="single"/>
        </w:rPr>
        <w:t>selon le cas</w:t>
      </w:r>
      <w:r w:rsidRPr="00D30809">
        <w:t>,</w:t>
      </w:r>
      <w:r w:rsidRPr="00AC0FFC">
        <w:t xml:space="preserve"> </w:t>
      </w:r>
      <w:r w:rsidRPr="00064656">
        <w:t>d</w:t>
      </w:r>
      <w:r>
        <w:t>’</w:t>
      </w:r>
      <w:r w:rsidRPr="00064656">
        <w:t>une hauteur de 9</w:t>
      </w:r>
      <w:r w:rsidR="00D30809">
        <w:t> </w:t>
      </w:r>
      <w:r w:rsidRPr="00064656">
        <w:t xml:space="preserve">m sur une surface non élastique, horizontale, plane, massive et rigide conformément aux prescriptions du </w:t>
      </w:r>
      <w:r w:rsidRPr="00073959">
        <w:t xml:space="preserve">paragraphe </w:t>
      </w:r>
      <w:r w:rsidRPr="00064656">
        <w:t>6.1.5.3.4.</w:t>
      </w:r>
    </w:p>
    <w:p w:rsidR="0076692F" w:rsidRPr="00AC0FFC" w:rsidRDefault="0076692F" w:rsidP="00D30809">
      <w:pPr>
        <w:pStyle w:val="SingleTxtG"/>
        <w:rPr>
          <w:b/>
        </w:rPr>
      </w:pPr>
      <w:r>
        <w:t>8.</w:t>
      </w:r>
      <w:r>
        <w:tab/>
        <w:t>Modifier le</w:t>
      </w:r>
      <w:r w:rsidRPr="00AC0FFC">
        <w:t xml:space="preserve"> </w:t>
      </w:r>
      <w:r w:rsidRPr="00073959">
        <w:t xml:space="preserve">paragraphe </w:t>
      </w:r>
      <w:r w:rsidRPr="00AC0FFC">
        <w:t>6.3.5.3.3</w:t>
      </w:r>
      <w:r w:rsidRPr="00AC0FFC">
        <w:rPr>
          <w:b/>
        </w:rPr>
        <w:t xml:space="preserve"> </w:t>
      </w:r>
      <w:r w:rsidRPr="005E2CE0">
        <w:t xml:space="preserve">comme suit (le nouveau texte est </w:t>
      </w:r>
      <w:r w:rsidRPr="005E2CE0">
        <w:rPr>
          <w:u w:val="single"/>
        </w:rPr>
        <w:t>souligné</w:t>
      </w:r>
      <w:r w:rsidRPr="005E2CE0">
        <w:t>)</w:t>
      </w:r>
      <w:r w:rsidR="00D30809">
        <w:t> </w:t>
      </w:r>
      <w:r w:rsidRPr="005E2CE0">
        <w:t>:</w:t>
      </w:r>
    </w:p>
    <w:p w:rsidR="0076692F" w:rsidRPr="00AC0FFC" w:rsidRDefault="0076692F" w:rsidP="00736189">
      <w:pPr>
        <w:pStyle w:val="SingleTxtG"/>
        <w:ind w:left="2835" w:hanging="1134"/>
      </w:pPr>
      <w:r>
        <w:t>6.3.5.3.3</w:t>
      </w:r>
      <w:r>
        <w:tab/>
      </w:r>
      <w:r w:rsidRPr="00064656">
        <w:t>S</w:t>
      </w:r>
      <w:r>
        <w:t>’</w:t>
      </w:r>
      <w:r w:rsidRPr="00064656">
        <w:t>ils ont la forme d</w:t>
      </w:r>
      <w:r>
        <w:t>’</w:t>
      </w:r>
      <w:r w:rsidRPr="00064656">
        <w:t xml:space="preserve">un </w:t>
      </w:r>
      <w:r>
        <w:t>fût</w:t>
      </w:r>
      <w:r w:rsidRPr="00064656">
        <w:t xml:space="preserve"> </w:t>
      </w:r>
      <w:r w:rsidRPr="00AC0FFC">
        <w:rPr>
          <w:u w:val="single"/>
        </w:rPr>
        <w:t>o</w:t>
      </w:r>
      <w:r>
        <w:rPr>
          <w:u w:val="single"/>
        </w:rPr>
        <w:t>u d’un</w:t>
      </w:r>
      <w:r w:rsidRPr="00AC0FFC">
        <w:rPr>
          <w:u w:val="single"/>
        </w:rPr>
        <w:t xml:space="preserve"> jerrican</w:t>
      </w:r>
      <w:r>
        <w:rPr>
          <w:u w:val="single"/>
        </w:rPr>
        <w:t>e</w:t>
      </w:r>
      <w:r w:rsidRPr="00AC0FFC">
        <w:t xml:space="preserve">, </w:t>
      </w:r>
      <w:r w:rsidRPr="002A3712">
        <w:t>trois spécimens seront éprouvés successivement dans les orientations suivantes</w:t>
      </w:r>
      <w:r w:rsidR="00D30809">
        <w:t> </w:t>
      </w:r>
      <w:r w:rsidRPr="00AC0FFC">
        <w:t>:</w:t>
      </w:r>
    </w:p>
    <w:p w:rsidR="00D30809" w:rsidRDefault="0076692F" w:rsidP="00736189">
      <w:pPr>
        <w:pStyle w:val="SingleTxtG"/>
        <w:ind w:left="2835"/>
      </w:pPr>
      <w:r>
        <w:t>a)</w:t>
      </w:r>
      <w:r>
        <w:tab/>
      </w:r>
      <w:r w:rsidR="00D30809">
        <w:t>E</w:t>
      </w:r>
      <w:r w:rsidRPr="002A3712">
        <w:t xml:space="preserve">n diagonale sur le rebord supérieur </w:t>
      </w:r>
      <w:r w:rsidRPr="00AE529F">
        <w:rPr>
          <w:u w:val="single"/>
        </w:rPr>
        <w:t>o</w:t>
      </w:r>
      <w:r>
        <w:rPr>
          <w:u w:val="single"/>
        </w:rPr>
        <w:t>u, si l’emballage n’a pas de rebord, sur le joint périphérique ou bord supérieur</w:t>
      </w:r>
      <w:r w:rsidR="00367F6E" w:rsidRPr="00367F6E">
        <w:t>,</w:t>
      </w:r>
      <w:r w:rsidRPr="00367F6E">
        <w:t xml:space="preserve"> l</w:t>
      </w:r>
      <w:r w:rsidRPr="002A3712">
        <w:t>e centre de gravité étant situé directement au-dessus du point d</w:t>
      </w:r>
      <w:r>
        <w:t>’</w:t>
      </w:r>
      <w:r w:rsidRPr="002A3712">
        <w:t>impact</w:t>
      </w:r>
      <w:r w:rsidR="00D30809">
        <w:t> </w:t>
      </w:r>
      <w:r>
        <w:t>;</w:t>
      </w:r>
    </w:p>
    <w:p w:rsidR="00D30809" w:rsidRDefault="0076692F" w:rsidP="00736189">
      <w:pPr>
        <w:pStyle w:val="SingleTxtG"/>
        <w:ind w:left="2835"/>
      </w:pPr>
      <w:r>
        <w:t>b)</w:t>
      </w:r>
      <w:r>
        <w:tab/>
      </w:r>
      <w:r w:rsidR="00D30809">
        <w:t>E</w:t>
      </w:r>
      <w:r w:rsidRPr="002A3712">
        <w:t>n diagonale sur le rebord inférieur</w:t>
      </w:r>
      <w:r>
        <w:t xml:space="preserve"> </w:t>
      </w:r>
      <w:r w:rsidRPr="00285F79">
        <w:rPr>
          <w:u w:val="single"/>
        </w:rPr>
        <w:t xml:space="preserve">ou, </w:t>
      </w:r>
      <w:r w:rsidRPr="00FD3F1E">
        <w:rPr>
          <w:u w:val="single"/>
        </w:rPr>
        <w:t>si l</w:t>
      </w:r>
      <w:r>
        <w:rPr>
          <w:u w:val="single"/>
        </w:rPr>
        <w:t>’</w:t>
      </w:r>
      <w:r w:rsidRPr="00FD3F1E">
        <w:rPr>
          <w:u w:val="single"/>
        </w:rPr>
        <w:t xml:space="preserve">emballage pas de rebord, </w:t>
      </w:r>
      <w:r>
        <w:rPr>
          <w:u w:val="single"/>
        </w:rPr>
        <w:t>sur le joint périphérique ou bord inférieur</w:t>
      </w:r>
      <w:r w:rsidR="00D30809">
        <w:t> </w:t>
      </w:r>
      <w:r w:rsidRPr="00AC0FFC">
        <w:t>;</w:t>
      </w:r>
    </w:p>
    <w:p w:rsidR="0076692F" w:rsidRPr="00AC0FFC" w:rsidRDefault="0076692F" w:rsidP="00736189">
      <w:pPr>
        <w:pStyle w:val="SingleTxtG"/>
        <w:ind w:left="2835"/>
      </w:pPr>
      <w:r>
        <w:t>c)</w:t>
      </w:r>
      <w:r>
        <w:tab/>
      </w:r>
      <w:r w:rsidR="00D30809">
        <w:t xml:space="preserve">À </w:t>
      </w:r>
      <w:r w:rsidRPr="002A3712">
        <w:t xml:space="preserve">plat </w:t>
      </w:r>
      <w:r>
        <w:rPr>
          <w:u w:val="single"/>
        </w:rPr>
        <w:t>à l’horizontale</w:t>
      </w:r>
      <w:r w:rsidRPr="002A3712">
        <w:t xml:space="preserve"> ou sur le côté</w:t>
      </w:r>
      <w:r>
        <w:t>.</w:t>
      </w:r>
    </w:p>
    <w:p w:rsidR="0076692F" w:rsidRPr="00AC0FFC" w:rsidRDefault="0076692F" w:rsidP="00D30809">
      <w:pPr>
        <w:pStyle w:val="SingleTxtG"/>
        <w:rPr>
          <w:b/>
        </w:rPr>
      </w:pPr>
      <w:r>
        <w:t>9.</w:t>
      </w:r>
      <w:r>
        <w:tab/>
        <w:t>Modifier le</w:t>
      </w:r>
      <w:r w:rsidRPr="00AC0FFC">
        <w:t xml:space="preserve"> </w:t>
      </w:r>
      <w:r w:rsidRPr="00073959">
        <w:t xml:space="preserve">paragraphe </w:t>
      </w:r>
      <w:r w:rsidRPr="00AC0FFC">
        <w:t xml:space="preserve">6.3.5.3.6.3 </w:t>
      </w:r>
      <w:r w:rsidRPr="005E2CE0">
        <w:t>comme suit (le nouveau texte</w:t>
      </w:r>
      <w:r w:rsidRPr="005E2CE0">
        <w:rPr>
          <w:u w:val="single"/>
        </w:rPr>
        <w:t xml:space="preserve"> est souligné</w:t>
      </w:r>
      <w:r w:rsidRPr="005E2CE0">
        <w:t>)</w:t>
      </w:r>
      <w:r w:rsidR="00D30809">
        <w:t> </w:t>
      </w:r>
      <w:r w:rsidRPr="005E2CE0">
        <w:t>:</w:t>
      </w:r>
    </w:p>
    <w:p w:rsidR="0076692F" w:rsidRPr="00AC0FFC" w:rsidRDefault="0076692F" w:rsidP="00736189">
      <w:pPr>
        <w:pStyle w:val="SingleTxtG"/>
        <w:ind w:left="2835" w:hanging="1134"/>
      </w:pPr>
      <w:r>
        <w:t>6.3.5.3.6.3</w:t>
      </w:r>
      <w:r w:rsidRPr="00AC0FFC">
        <w:tab/>
      </w:r>
      <w:r w:rsidRPr="002A3712">
        <w:t>Emballages destinés à contenir de la neige carbonique − Épreuve de chute supplémentaire</w:t>
      </w:r>
    </w:p>
    <w:p w:rsidR="0076692F" w:rsidRDefault="0076692F" w:rsidP="006E1443">
      <w:pPr>
        <w:pStyle w:val="SingleTxtG"/>
        <w:ind w:left="2835"/>
      </w:pPr>
      <w:r w:rsidRPr="002A3712">
        <w:t>Si l</w:t>
      </w:r>
      <w:r>
        <w:t>’</w:t>
      </w:r>
      <w:r w:rsidRPr="002A3712">
        <w:t xml:space="preserve">emballage est destiné à contenir de la neige carbonique, il doit être soumis à une épreuve supplémentaire, outre celles spécifiées au </w:t>
      </w:r>
      <w:r w:rsidRPr="00073959">
        <w:t xml:space="preserve">paragraphe </w:t>
      </w:r>
      <w:r w:rsidRPr="002A3712">
        <w:t>6.3.5.3.1 et, lorsqu</w:t>
      </w:r>
      <w:r>
        <w:t>’</w:t>
      </w:r>
      <w:r w:rsidRPr="002A3712">
        <w:t xml:space="preserve">il y a lieu, au </w:t>
      </w:r>
      <w:r w:rsidRPr="00073959">
        <w:t>paragraphe</w:t>
      </w:r>
      <w:r w:rsidR="00D30809">
        <w:t> </w:t>
      </w:r>
      <w:r w:rsidR="00367F6E">
        <w:t>6.3</w:t>
      </w:r>
      <w:r w:rsidRPr="002A3712">
        <w:t xml:space="preserve">.5.3.6.1 ou au </w:t>
      </w:r>
      <w:r w:rsidR="00367F6E">
        <w:t>paragraphe </w:t>
      </w:r>
      <w:r w:rsidRPr="002A3712">
        <w:t>6.3.5.3.6.2. Un échantillon doit être entreposé jusqu</w:t>
      </w:r>
      <w:r>
        <w:t>’</w:t>
      </w:r>
      <w:r w:rsidRPr="002A3712">
        <w:t>à ce que la neige carbonique se soit entièrement vaporisée, puis doit être soumis à l</w:t>
      </w:r>
      <w:r>
        <w:t>’</w:t>
      </w:r>
      <w:r w:rsidRPr="002A3712">
        <w:t>épreuve de chute dans la position, parmi celles décrites au</w:t>
      </w:r>
      <w:r>
        <w:t xml:space="preserve"> </w:t>
      </w:r>
      <w:r w:rsidR="00367F6E">
        <w:t>paragraphe </w:t>
      </w:r>
      <w:r w:rsidRPr="00AC0FFC">
        <w:t xml:space="preserve">6.3.5.3.2, </w:t>
      </w:r>
      <w:r w:rsidRPr="00AC0FFC">
        <w:rPr>
          <w:u w:val="single"/>
        </w:rPr>
        <w:t>o</w:t>
      </w:r>
      <w:r>
        <w:rPr>
          <w:u w:val="single"/>
        </w:rPr>
        <w:t>u au</w:t>
      </w:r>
      <w:r w:rsidRPr="00AC0FFC">
        <w:rPr>
          <w:u w:val="single"/>
        </w:rPr>
        <w:t xml:space="preserve"> </w:t>
      </w:r>
      <w:r w:rsidRPr="00073959">
        <w:rPr>
          <w:u w:val="single"/>
        </w:rPr>
        <w:t xml:space="preserve">paragraphe </w:t>
      </w:r>
      <w:r w:rsidRPr="00AC0FFC">
        <w:rPr>
          <w:u w:val="single"/>
        </w:rPr>
        <w:t xml:space="preserve">6.3.5.3.3, </w:t>
      </w:r>
      <w:r>
        <w:rPr>
          <w:u w:val="single"/>
        </w:rPr>
        <w:t>selon le cas</w:t>
      </w:r>
      <w:r w:rsidRPr="00D30809">
        <w:t xml:space="preserve">, </w:t>
      </w:r>
      <w:r w:rsidRPr="00061871">
        <w:t>qui serait la plus susceptible de causer la défaillance de l</w:t>
      </w:r>
      <w:r>
        <w:t>’</w:t>
      </w:r>
      <w:r w:rsidRPr="00061871">
        <w:t>emballage</w:t>
      </w:r>
      <w:r w:rsidRPr="00AC0FFC">
        <w:t>.</w:t>
      </w:r>
    </w:p>
    <w:p w:rsidR="0076692F" w:rsidRPr="0076692F" w:rsidRDefault="0076692F" w:rsidP="0076692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692F" w:rsidRPr="0076692F" w:rsidSect="0065717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CD4" w:rsidRDefault="00233CD4" w:rsidP="00F95C08">
      <w:pPr>
        <w:spacing w:line="240" w:lineRule="auto"/>
      </w:pPr>
    </w:p>
  </w:endnote>
  <w:endnote w:type="continuationSeparator" w:id="0">
    <w:p w:rsidR="00233CD4" w:rsidRPr="00AC3823" w:rsidRDefault="00233CD4" w:rsidP="00AC3823">
      <w:pPr>
        <w:pStyle w:val="Footer"/>
      </w:pPr>
    </w:p>
  </w:endnote>
  <w:endnote w:type="continuationNotice" w:id="1">
    <w:p w:rsidR="00233CD4" w:rsidRDefault="00233C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79" w:rsidRPr="00657179" w:rsidRDefault="00657179" w:rsidP="00657179">
    <w:pPr>
      <w:pStyle w:val="Footer"/>
      <w:tabs>
        <w:tab w:val="right" w:pos="9638"/>
      </w:tabs>
    </w:pPr>
    <w:r w:rsidRPr="00657179">
      <w:rPr>
        <w:b/>
        <w:sz w:val="18"/>
      </w:rPr>
      <w:fldChar w:fldCharType="begin"/>
    </w:r>
    <w:r w:rsidRPr="00657179">
      <w:rPr>
        <w:b/>
        <w:sz w:val="18"/>
      </w:rPr>
      <w:instrText xml:space="preserve"> PAGE  \* MERGEFORMAT </w:instrText>
    </w:r>
    <w:r w:rsidRPr="00657179">
      <w:rPr>
        <w:b/>
        <w:sz w:val="18"/>
      </w:rPr>
      <w:fldChar w:fldCharType="separate"/>
    </w:r>
    <w:r w:rsidR="00053F19">
      <w:rPr>
        <w:b/>
        <w:noProof/>
        <w:sz w:val="18"/>
      </w:rPr>
      <w:t>4</w:t>
    </w:r>
    <w:r w:rsidRPr="00657179">
      <w:rPr>
        <w:b/>
        <w:sz w:val="18"/>
      </w:rPr>
      <w:fldChar w:fldCharType="end"/>
    </w:r>
    <w:r>
      <w:rPr>
        <w:b/>
        <w:sz w:val="18"/>
      </w:rPr>
      <w:tab/>
    </w:r>
    <w:r>
      <w:t>GE.18-05125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79" w:rsidRPr="00657179" w:rsidRDefault="00657179" w:rsidP="00657179">
    <w:pPr>
      <w:pStyle w:val="Footer"/>
      <w:tabs>
        <w:tab w:val="right" w:pos="9638"/>
      </w:tabs>
      <w:rPr>
        <w:b/>
        <w:sz w:val="18"/>
      </w:rPr>
    </w:pPr>
    <w:r>
      <w:t>GE.18-05125</w:t>
    </w:r>
    <w:r>
      <w:tab/>
    </w:r>
    <w:r w:rsidRPr="00657179">
      <w:rPr>
        <w:b/>
        <w:sz w:val="18"/>
      </w:rPr>
      <w:fldChar w:fldCharType="begin"/>
    </w:r>
    <w:r w:rsidRPr="00657179">
      <w:rPr>
        <w:b/>
        <w:sz w:val="18"/>
      </w:rPr>
      <w:instrText xml:space="preserve"> PAGE  \* MERGEFORMAT </w:instrText>
    </w:r>
    <w:r w:rsidRPr="00657179">
      <w:rPr>
        <w:b/>
        <w:sz w:val="18"/>
      </w:rPr>
      <w:fldChar w:fldCharType="separate"/>
    </w:r>
    <w:r w:rsidR="00053F19">
      <w:rPr>
        <w:b/>
        <w:noProof/>
        <w:sz w:val="18"/>
      </w:rPr>
      <w:t>3</w:t>
    </w:r>
    <w:r w:rsidRPr="0065717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657179" w:rsidRDefault="00657179" w:rsidP="00657179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2F">
      <w:rPr>
        <w:sz w:val="20"/>
      </w:rPr>
      <w:t>18-</w:t>
    </w:r>
    <w:proofErr w:type="gramStart"/>
    <w:r w:rsidR="0079092F">
      <w:rPr>
        <w:sz w:val="20"/>
      </w:rPr>
      <w:t>05125  (</w:t>
    </w:r>
    <w:proofErr w:type="gramEnd"/>
    <w:r w:rsidR="0079092F">
      <w:rPr>
        <w:sz w:val="20"/>
      </w:rPr>
      <w:t>F)    080518    09</w:t>
    </w:r>
    <w:r>
      <w:rPr>
        <w:sz w:val="20"/>
      </w:rPr>
      <w:t>0518</w:t>
    </w:r>
    <w:r>
      <w:rPr>
        <w:sz w:val="20"/>
      </w:rPr>
      <w:br/>
    </w:r>
    <w:r w:rsidRPr="00657179">
      <w:rPr>
        <w:rFonts w:ascii="C39T30Lfz" w:hAnsi="C39T30Lfz"/>
        <w:sz w:val="56"/>
      </w:rPr>
      <w:t></w:t>
    </w:r>
    <w:r w:rsidRPr="00657179">
      <w:rPr>
        <w:rFonts w:ascii="C39T30Lfz" w:hAnsi="C39T30Lfz"/>
        <w:sz w:val="56"/>
      </w:rPr>
      <w:t></w:t>
    </w:r>
    <w:r w:rsidRPr="00657179">
      <w:rPr>
        <w:rFonts w:ascii="C39T30Lfz" w:hAnsi="C39T30Lfz"/>
        <w:sz w:val="56"/>
      </w:rPr>
      <w:t></w:t>
    </w:r>
    <w:r w:rsidRPr="00657179">
      <w:rPr>
        <w:rFonts w:ascii="C39T30Lfz" w:hAnsi="C39T30Lfz"/>
        <w:sz w:val="56"/>
      </w:rPr>
      <w:t></w:t>
    </w:r>
    <w:r w:rsidRPr="00657179">
      <w:rPr>
        <w:rFonts w:ascii="C39T30Lfz" w:hAnsi="C39T30Lfz"/>
        <w:sz w:val="56"/>
      </w:rPr>
      <w:t></w:t>
    </w:r>
    <w:r w:rsidRPr="00657179">
      <w:rPr>
        <w:rFonts w:ascii="C39T30Lfz" w:hAnsi="C39T30Lfz"/>
        <w:sz w:val="56"/>
      </w:rPr>
      <w:t></w:t>
    </w:r>
    <w:r w:rsidRPr="00657179">
      <w:rPr>
        <w:rFonts w:ascii="C39T30Lfz" w:hAnsi="C39T30Lfz"/>
        <w:sz w:val="56"/>
      </w:rPr>
      <w:t></w:t>
    </w:r>
    <w:r w:rsidRPr="00657179">
      <w:rPr>
        <w:rFonts w:ascii="C39T30Lfz" w:hAnsi="C39T30Lfz"/>
        <w:sz w:val="56"/>
      </w:rPr>
      <w:t></w:t>
    </w:r>
    <w:r w:rsidRPr="00657179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CD4" w:rsidRPr="00AC3823" w:rsidRDefault="00233C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33CD4" w:rsidRPr="00AC3823" w:rsidRDefault="00233CD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33CD4" w:rsidRPr="00AC3823" w:rsidRDefault="00233CD4">
      <w:pPr>
        <w:spacing w:line="240" w:lineRule="auto"/>
        <w:rPr>
          <w:sz w:val="2"/>
          <w:szCs w:val="2"/>
        </w:rPr>
      </w:pPr>
    </w:p>
  </w:footnote>
  <w:footnote w:id="2">
    <w:p w:rsidR="00657179" w:rsidRPr="00657179" w:rsidRDefault="00657179">
      <w:pPr>
        <w:pStyle w:val="FootnoteText"/>
      </w:pPr>
      <w:r>
        <w:rPr>
          <w:rStyle w:val="FootnoteReference"/>
        </w:rPr>
        <w:tab/>
      </w:r>
      <w:r w:rsidRPr="0065717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Conformément au programme de travail </w:t>
      </w:r>
      <w:r w:rsidRPr="0086261F">
        <w:t>201</w:t>
      </w:r>
      <w:r>
        <w:t>7-</w:t>
      </w:r>
      <w:r w:rsidRPr="0086261F">
        <w:t>201</w:t>
      </w:r>
      <w:r>
        <w:t>8</w:t>
      </w:r>
      <w:r w:rsidRPr="0086261F">
        <w:t xml:space="preserve"> </w:t>
      </w:r>
      <w:r>
        <w:t xml:space="preserve">du Sous-Comité approuvé par le Comité à sa huitième session </w:t>
      </w:r>
      <w:r w:rsidRPr="0086261F">
        <w:t>(</w:t>
      </w:r>
      <w:r>
        <w:t>voir</w:t>
      </w:r>
      <w:r w:rsidRPr="0086261F">
        <w:t xml:space="preserve"> ST/SG/AC.10/C.3/</w:t>
      </w:r>
      <w:r w:rsidRPr="00284946">
        <w:t>100, par</w:t>
      </w:r>
      <w:r>
        <w:t>. 98 et ST/SG/AC.10/44, par. </w:t>
      </w:r>
      <w:r w:rsidRPr="00284946">
        <w:t>14</w:t>
      </w:r>
      <w:r w:rsidRPr="0086261F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79" w:rsidRPr="00657179" w:rsidRDefault="00C053A4">
    <w:pPr>
      <w:pStyle w:val="Header"/>
    </w:pPr>
    <w:fldSimple w:instr=" TITLE  \* MERGEFORMAT ">
      <w:r w:rsidR="00053F19">
        <w:t>ST/SG/AC.10/C.3/2018/25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79" w:rsidRPr="00657179" w:rsidRDefault="00C053A4" w:rsidP="00657179">
    <w:pPr>
      <w:pStyle w:val="Header"/>
      <w:jc w:val="right"/>
    </w:pPr>
    <w:fldSimple w:instr=" TITLE  \* MERGEFORMAT ">
      <w:r w:rsidR="00053F19">
        <w:t>ST/SG/AC.10/C.3/2018/25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D4"/>
    <w:rsid w:val="00017F94"/>
    <w:rsid w:val="00023842"/>
    <w:rsid w:val="000305D3"/>
    <w:rsid w:val="000334F9"/>
    <w:rsid w:val="00053F19"/>
    <w:rsid w:val="0007796D"/>
    <w:rsid w:val="000B7790"/>
    <w:rsid w:val="00111F2F"/>
    <w:rsid w:val="00132EA9"/>
    <w:rsid w:val="0014365E"/>
    <w:rsid w:val="00176178"/>
    <w:rsid w:val="001B6531"/>
    <w:rsid w:val="001F525A"/>
    <w:rsid w:val="00223272"/>
    <w:rsid w:val="00233CD4"/>
    <w:rsid w:val="0024779E"/>
    <w:rsid w:val="00283190"/>
    <w:rsid w:val="002832AC"/>
    <w:rsid w:val="002D7C93"/>
    <w:rsid w:val="002E03F3"/>
    <w:rsid w:val="0032267F"/>
    <w:rsid w:val="00367F6E"/>
    <w:rsid w:val="003F0B05"/>
    <w:rsid w:val="00441C3B"/>
    <w:rsid w:val="00446FE5"/>
    <w:rsid w:val="00452396"/>
    <w:rsid w:val="004E468C"/>
    <w:rsid w:val="005505B7"/>
    <w:rsid w:val="00573BE5"/>
    <w:rsid w:val="00584DC4"/>
    <w:rsid w:val="00586ED3"/>
    <w:rsid w:val="00590205"/>
    <w:rsid w:val="00596AA9"/>
    <w:rsid w:val="005D030A"/>
    <w:rsid w:val="006070E6"/>
    <w:rsid w:val="00657179"/>
    <w:rsid w:val="0068456F"/>
    <w:rsid w:val="006E1443"/>
    <w:rsid w:val="0071601D"/>
    <w:rsid w:val="00736189"/>
    <w:rsid w:val="0076692F"/>
    <w:rsid w:val="00787924"/>
    <w:rsid w:val="0079092F"/>
    <w:rsid w:val="007A62E6"/>
    <w:rsid w:val="0080684C"/>
    <w:rsid w:val="00871C75"/>
    <w:rsid w:val="008776DC"/>
    <w:rsid w:val="008B40CD"/>
    <w:rsid w:val="009007D2"/>
    <w:rsid w:val="009705C8"/>
    <w:rsid w:val="00992EAA"/>
    <w:rsid w:val="009C1CF4"/>
    <w:rsid w:val="00A12BF0"/>
    <w:rsid w:val="00A30353"/>
    <w:rsid w:val="00A6459B"/>
    <w:rsid w:val="00AC3823"/>
    <w:rsid w:val="00AE323C"/>
    <w:rsid w:val="00B00181"/>
    <w:rsid w:val="00B00B0D"/>
    <w:rsid w:val="00B21499"/>
    <w:rsid w:val="00B765F7"/>
    <w:rsid w:val="00BA0CA9"/>
    <w:rsid w:val="00C02897"/>
    <w:rsid w:val="00C053A4"/>
    <w:rsid w:val="00C2499F"/>
    <w:rsid w:val="00D2391B"/>
    <w:rsid w:val="00D30809"/>
    <w:rsid w:val="00D3439C"/>
    <w:rsid w:val="00D57F70"/>
    <w:rsid w:val="00D66C27"/>
    <w:rsid w:val="00DA69EC"/>
    <w:rsid w:val="00DB1831"/>
    <w:rsid w:val="00DD3BFD"/>
    <w:rsid w:val="00DF6678"/>
    <w:rsid w:val="00E92A7F"/>
    <w:rsid w:val="00EA19C9"/>
    <w:rsid w:val="00EF2E22"/>
    <w:rsid w:val="00F01738"/>
    <w:rsid w:val="00F452D4"/>
    <w:rsid w:val="00F660DF"/>
    <w:rsid w:val="00F730C8"/>
    <w:rsid w:val="00F80CB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DC0AF7-427D-4986-88CB-7A131635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ST/SG/AC.10/C.3/2018/25</vt:lpstr>
      <vt:lpstr>ST/SG/AC.10/C.3/2018/25</vt:lpstr>
    </vt:vector>
  </TitlesOfParts>
  <Company>DCM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ST/SG/AC.10/C.3/2018/25</dc:title>
  <dc:subject/>
  <dc:creator>Marie DESCHAMPS</dc:creator>
  <cp:keywords/>
  <cp:lastModifiedBy>Laurence Berthet</cp:lastModifiedBy>
  <cp:revision>3</cp:revision>
  <cp:lastPrinted>2018-05-09T07:07:00Z</cp:lastPrinted>
  <dcterms:created xsi:type="dcterms:W3CDTF">2018-05-09T07:06:00Z</dcterms:created>
  <dcterms:modified xsi:type="dcterms:W3CDTF">2018-05-09T07:08:00Z</dcterms:modified>
</cp:coreProperties>
</file>