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4D67C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D67CD" w:rsidP="004D67CD">
            <w:pPr>
              <w:jc w:val="right"/>
            </w:pPr>
            <w:r w:rsidRPr="004D67CD">
              <w:rPr>
                <w:sz w:val="40"/>
              </w:rPr>
              <w:t>ST</w:t>
            </w:r>
            <w:r>
              <w:t>/SG/AC.10/C.3/2018/24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D67CD" w:rsidP="00F01738">
            <w:pPr>
              <w:spacing w:before="240"/>
            </w:pPr>
            <w:proofErr w:type="spellStart"/>
            <w:r>
              <w:t>Distr</w:t>
            </w:r>
            <w:proofErr w:type="spellEnd"/>
            <w:r>
              <w:t>. générale</w:t>
            </w:r>
          </w:p>
          <w:p w:rsidR="004D67CD" w:rsidRDefault="004D67CD" w:rsidP="004D67CD">
            <w:pPr>
              <w:spacing w:line="240" w:lineRule="exact"/>
            </w:pPr>
            <w:r>
              <w:t>2</w:t>
            </w:r>
            <w:r w:rsidR="005539F0">
              <w:t>9</w:t>
            </w:r>
            <w:r>
              <w:t xml:space="preserve"> mars 2018</w:t>
            </w:r>
          </w:p>
          <w:p w:rsidR="004D67CD" w:rsidRDefault="004D67CD" w:rsidP="004D67CD">
            <w:pPr>
              <w:spacing w:line="240" w:lineRule="exact"/>
            </w:pPr>
            <w:r>
              <w:t>Français</w:t>
            </w:r>
          </w:p>
          <w:p w:rsidR="004D67CD" w:rsidRPr="00DB58B5" w:rsidRDefault="004D67CD" w:rsidP="004D67CD">
            <w:pPr>
              <w:spacing w:line="240" w:lineRule="exact"/>
            </w:pPr>
            <w:r>
              <w:t>Original : anglais</w:t>
            </w:r>
          </w:p>
        </w:tc>
      </w:tr>
    </w:tbl>
    <w:p w:rsidR="004D67CD" w:rsidRPr="00CA0680" w:rsidRDefault="004D67C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4D67CD" w:rsidRPr="00CA0680" w:rsidRDefault="004D67CD" w:rsidP="000305D3">
      <w:pPr>
        <w:spacing w:before="120"/>
        <w:rPr>
          <w:b/>
        </w:rPr>
      </w:pPr>
      <w:r w:rsidRPr="00CA0680">
        <w:rPr>
          <w:b/>
        </w:rPr>
        <w:t>Sous</w:t>
      </w:r>
      <w:r>
        <w:rPr>
          <w:b/>
        </w:rPr>
        <w:t>-</w:t>
      </w:r>
      <w:r w:rsidRPr="00CA0680">
        <w:rPr>
          <w:b/>
        </w:rPr>
        <w:t>Comité d’experts du transport des marchandises dangereuses</w:t>
      </w:r>
    </w:p>
    <w:p w:rsidR="004D67CD" w:rsidRDefault="004D67CD" w:rsidP="000305D3">
      <w:pPr>
        <w:spacing w:before="120"/>
        <w:rPr>
          <w:b/>
        </w:rPr>
      </w:pPr>
      <w:r>
        <w:rPr>
          <w:b/>
        </w:rPr>
        <w:t xml:space="preserve">Cinquante-troisième </w:t>
      </w:r>
      <w:r w:rsidRPr="00CA0680">
        <w:rPr>
          <w:b/>
        </w:rPr>
        <w:t>session</w:t>
      </w:r>
    </w:p>
    <w:p w:rsidR="004D67CD" w:rsidRPr="00C94FB2" w:rsidRDefault="004D67CD" w:rsidP="004D67CD">
      <w:pPr>
        <w:ind w:right="57"/>
      </w:pPr>
      <w:r>
        <w:t xml:space="preserve">Genève, </w:t>
      </w:r>
      <w:r w:rsidRPr="00C94FB2">
        <w:t>25</w:t>
      </w:r>
      <w:r>
        <w:t> juin-</w:t>
      </w:r>
      <w:r w:rsidRPr="00C94FB2">
        <w:t>4</w:t>
      </w:r>
      <w:r>
        <w:t> </w:t>
      </w:r>
      <w:r w:rsidRPr="00C94FB2">
        <w:t>juillet 2018</w:t>
      </w:r>
    </w:p>
    <w:p w:rsidR="004D67CD" w:rsidRPr="00C94FB2" w:rsidRDefault="004D67CD" w:rsidP="004D67CD">
      <w:pPr>
        <w:ind w:right="57"/>
      </w:pPr>
      <w:r w:rsidRPr="00C94FB2">
        <w:t>Point</w:t>
      </w:r>
      <w:r>
        <w:t xml:space="preserve"> 5 b)</w:t>
      </w:r>
      <w:r w:rsidRPr="00C94FB2">
        <w:t xml:space="preserve"> de l’ordre du jour provisoire</w:t>
      </w:r>
    </w:p>
    <w:p w:rsidR="00446FE5" w:rsidRDefault="004D67CD" w:rsidP="004D67CD">
      <w:pPr>
        <w:rPr>
          <w:b/>
        </w:rPr>
      </w:pPr>
      <w:r w:rsidRPr="00AE39EE">
        <w:rPr>
          <w:b/>
        </w:rPr>
        <w:t>Transport de gaz</w:t>
      </w:r>
      <w:r>
        <w:rPr>
          <w:b/>
        </w:rPr>
        <w:t> </w:t>
      </w:r>
      <w:r w:rsidRPr="00AE39EE">
        <w:rPr>
          <w:b/>
        </w:rPr>
        <w:t>: questions diverses</w:t>
      </w:r>
    </w:p>
    <w:p w:rsidR="004D67CD" w:rsidRPr="00CE5F37" w:rsidRDefault="004D67CD" w:rsidP="004D67CD">
      <w:pPr>
        <w:pStyle w:val="HChG"/>
      </w:pPr>
      <w:r>
        <w:tab/>
      </w:r>
      <w:r>
        <w:tab/>
        <w:t>Mise à jour des valeurs de la CL</w:t>
      </w:r>
      <w:r>
        <w:rPr>
          <w:vertAlign w:val="subscript"/>
        </w:rPr>
        <w:t xml:space="preserve">50 </w:t>
      </w:r>
      <w:r>
        <w:t>dans l’instruction d’emballage P200</w:t>
      </w:r>
    </w:p>
    <w:p w:rsidR="004D67CD" w:rsidRPr="00CE5F37" w:rsidRDefault="004D67CD" w:rsidP="004D67CD">
      <w:pPr>
        <w:pStyle w:val="H1G"/>
      </w:pPr>
      <w:r w:rsidRPr="00C94FB2">
        <w:tab/>
      </w:r>
      <w:r w:rsidRPr="00C94FB2">
        <w:tab/>
      </w:r>
      <w:r w:rsidRPr="00CE5F37">
        <w:t xml:space="preserve">Communication de l’Organisation </w:t>
      </w:r>
      <w:r>
        <w:t>i</w:t>
      </w:r>
      <w:r w:rsidRPr="00CE5F37">
        <w:t>nternational</w:t>
      </w:r>
      <w:r>
        <w:t>e de normalisation (ISO</w:t>
      </w:r>
      <w:r w:rsidRPr="00CE5F37">
        <w:t>)</w:t>
      </w:r>
      <w:r w:rsidRPr="004D67CD">
        <w:rPr>
          <w:rStyle w:val="FootnoteReference"/>
          <w:b w:val="0"/>
        </w:rPr>
        <w:footnoteReference w:id="2"/>
      </w:r>
    </w:p>
    <w:p w:rsidR="004D67CD" w:rsidRPr="00CE5F37" w:rsidRDefault="004D67CD" w:rsidP="004D67CD">
      <w:pPr>
        <w:pStyle w:val="HChG"/>
      </w:pPr>
      <w:r w:rsidRPr="00CE5F37">
        <w:tab/>
      </w:r>
      <w:r w:rsidRPr="00CE5F37">
        <w:tab/>
        <w:t>Introduction</w:t>
      </w:r>
    </w:p>
    <w:p w:rsidR="004D67CD" w:rsidRDefault="005539F0" w:rsidP="005539F0">
      <w:pPr>
        <w:pStyle w:val="SingleTxtG"/>
      </w:pPr>
      <w:r>
        <w:t>1.</w:t>
      </w:r>
      <w:r>
        <w:tab/>
      </w:r>
      <w:r w:rsidR="004D67CD" w:rsidRPr="00CE5F37">
        <w:t>Les valeurs de la CL50 des gaz toxiques</w:t>
      </w:r>
      <w:r w:rsidR="004D67CD">
        <w:t xml:space="preserve"> qui</w:t>
      </w:r>
      <w:r w:rsidR="004D67CD" w:rsidRPr="00CE5F37">
        <w:t xml:space="preserve"> ont été ajoutées à </w:t>
      </w:r>
      <w:r w:rsidR="004D67CD">
        <w:t>l’instruction</w:t>
      </w:r>
      <w:r w:rsidR="004D67CD" w:rsidRPr="00CE5F37">
        <w:t xml:space="preserve"> d’</w:t>
      </w:r>
      <w:r w:rsidR="004D67CD">
        <w:t xml:space="preserve">emballage P200 s’inspiraient de celles contenues dans la norme ISO 10298 : 1995 </w:t>
      </w:r>
      <w:r w:rsidR="004D67CD">
        <w:rPr>
          <w:i/>
        </w:rPr>
        <w:t xml:space="preserve">Bouteilles à gaz − Gaz et mélange de gaz − Détermination de la toxicité pour le choix des raccords de sortie des robinets. </w:t>
      </w:r>
      <w:r w:rsidR="004D67CD">
        <w:t>Ces valeurs ont été vérifiées par l’Institut national des normes et de la technologie (NIST) des États-Unis d’Amérique et par l’Institut fédéral de</w:t>
      </w:r>
      <w:r>
        <w:t xml:space="preserve"> </w:t>
      </w:r>
      <w:r w:rsidR="004D67CD">
        <w:t>recherche et d’essais sur les matériaux (BAM) de l’Allemagne. Depuis 1995, cette norme a été mise à jour deux fois, en 2010 et en 2018, ce qui a entraîné une modification des valeurs dans l’instruction d’emballage P200, dans la vingtième édition révisée du Règlement type. Aujourd’hui, huit gaz toxiques présentent des valeurs qui diffèrent de celles de la norme ISO. C’est la raison pour laquelle nous proposons d’aligner l’instruction d’emballage P200 sur la norme ISO 10298:2018.</w:t>
      </w:r>
    </w:p>
    <w:p w:rsidR="004D67CD" w:rsidRPr="00E47CCD" w:rsidRDefault="004D67CD" w:rsidP="004D67CD">
      <w:pPr>
        <w:pStyle w:val="HChG"/>
      </w:pPr>
      <w:r>
        <w:tab/>
      </w:r>
      <w:r>
        <w:tab/>
      </w:r>
      <w:r w:rsidRPr="00E47CCD">
        <w:t>Proposition</w:t>
      </w:r>
    </w:p>
    <w:p w:rsidR="004D67CD" w:rsidRDefault="005539F0" w:rsidP="005539F0">
      <w:pPr>
        <w:pStyle w:val="SingleTxtG"/>
      </w:pPr>
      <w:r>
        <w:t>2.</w:t>
      </w:r>
      <w:r w:rsidR="004D67CD">
        <w:tab/>
        <w:t>On trouvera dans le tableau ci-dessous les valeurs de la CL</w:t>
      </w:r>
      <w:r w:rsidR="004D67CD">
        <w:rPr>
          <w:vertAlign w:val="subscript"/>
        </w:rPr>
        <w:t>50</w:t>
      </w:r>
      <w:r w:rsidR="004D67CD">
        <w:t>, exprimées en ml/m</w:t>
      </w:r>
      <w:r w:rsidR="004D67CD" w:rsidRPr="005539F0">
        <w:rPr>
          <w:vertAlign w:val="superscript"/>
        </w:rPr>
        <w:t>3</w:t>
      </w:r>
      <w:r w:rsidR="004D67CD">
        <w:t>, de huit gaz toxiques, que l’on trouve dans le tableau 2 de l’instruction d’emballage P200 du 4.1.4.1 de la vingtième édition révisée du Règlement type (troisième colonne) et dans la norme ISO 10298:2018, annexe B, tableau B.1 (4</w:t>
      </w:r>
      <w:r w:rsidR="004D67CD" w:rsidRPr="00E47CCD">
        <w:rPr>
          <w:vertAlign w:val="superscript"/>
        </w:rPr>
        <w:t>e</w:t>
      </w:r>
      <w:r w:rsidR="004D67CD">
        <w:t> colonne). Nous proposons que les valeurs de la quatrième colonne figurent désormais dans le Règlement type.</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66"/>
        <w:gridCol w:w="1787"/>
        <w:gridCol w:w="1788"/>
      </w:tblGrid>
      <w:tr w:rsidR="004D67CD" w:rsidRPr="001F49E0" w:rsidTr="004D67CD">
        <w:tc>
          <w:tcPr>
            <w:tcW w:w="940" w:type="dxa"/>
            <w:shd w:val="clear" w:color="auto" w:fill="auto"/>
            <w:tcMar>
              <w:left w:w="0" w:type="dxa"/>
              <w:right w:w="0" w:type="dxa"/>
            </w:tcMar>
            <w:vAlign w:val="center"/>
          </w:tcPr>
          <w:p w:rsidR="004D67CD" w:rsidRPr="00F90C80" w:rsidRDefault="004D67CD" w:rsidP="004D67CD">
            <w:pPr>
              <w:keepNext/>
              <w:keepLines/>
              <w:spacing w:before="60" w:after="60"/>
              <w:ind w:left="57" w:right="57"/>
              <w:jc w:val="center"/>
              <w:rPr>
                <w:b/>
              </w:rPr>
            </w:pPr>
            <w:r>
              <w:rPr>
                <w:b/>
              </w:rPr>
              <w:lastRenderedPageBreak/>
              <w:t>No ONU</w:t>
            </w:r>
          </w:p>
        </w:tc>
        <w:tc>
          <w:tcPr>
            <w:tcW w:w="3366" w:type="dxa"/>
            <w:shd w:val="clear" w:color="auto" w:fill="auto"/>
            <w:tcMar>
              <w:left w:w="0" w:type="dxa"/>
              <w:right w:w="0" w:type="dxa"/>
            </w:tcMar>
            <w:vAlign w:val="center"/>
          </w:tcPr>
          <w:p w:rsidR="004D67CD" w:rsidRPr="00F90C80" w:rsidRDefault="004D67CD" w:rsidP="004D67CD">
            <w:pPr>
              <w:keepNext/>
              <w:keepLines/>
              <w:spacing w:before="60" w:after="60"/>
              <w:ind w:left="57" w:right="57"/>
              <w:jc w:val="center"/>
              <w:rPr>
                <w:b/>
              </w:rPr>
            </w:pPr>
            <w:r>
              <w:rPr>
                <w:b/>
              </w:rPr>
              <w:t>Désignation officielle de transport</w:t>
            </w:r>
          </w:p>
        </w:tc>
        <w:tc>
          <w:tcPr>
            <w:tcW w:w="1787" w:type="dxa"/>
            <w:shd w:val="clear" w:color="auto" w:fill="auto"/>
            <w:tcMar>
              <w:left w:w="0" w:type="dxa"/>
              <w:right w:w="0" w:type="dxa"/>
            </w:tcMar>
            <w:vAlign w:val="center"/>
          </w:tcPr>
          <w:p w:rsidR="004D67CD" w:rsidRPr="00E47CCD" w:rsidRDefault="004D67CD" w:rsidP="004D67CD">
            <w:pPr>
              <w:keepNext/>
              <w:keepLines/>
              <w:spacing w:before="60" w:after="60"/>
              <w:ind w:left="57" w:right="57"/>
              <w:jc w:val="center"/>
              <w:rPr>
                <w:b/>
              </w:rPr>
            </w:pPr>
            <w:r w:rsidRPr="00E47CCD">
              <w:rPr>
                <w:b/>
              </w:rPr>
              <w:t>CL</w:t>
            </w:r>
            <w:r w:rsidRPr="00E47CCD">
              <w:rPr>
                <w:b/>
                <w:vertAlign w:val="subscript"/>
              </w:rPr>
              <w:t>50</w:t>
            </w:r>
            <w:r w:rsidRPr="00E47CCD">
              <w:rPr>
                <w:b/>
              </w:rPr>
              <w:t xml:space="preserve"> en ml/m</w:t>
            </w:r>
            <w:r w:rsidRPr="00E47CCD">
              <w:rPr>
                <w:b/>
                <w:vertAlign w:val="superscript"/>
              </w:rPr>
              <w:t>3</w:t>
            </w:r>
            <w:r w:rsidRPr="00E47CCD">
              <w:rPr>
                <w:b/>
              </w:rPr>
              <w:t xml:space="preserve"> dans P200, 20</w:t>
            </w:r>
            <w:r w:rsidRPr="00E47CCD">
              <w:rPr>
                <w:b/>
                <w:vertAlign w:val="superscript"/>
              </w:rPr>
              <w:t xml:space="preserve">e </w:t>
            </w:r>
            <w:r w:rsidRPr="00E47CCD">
              <w:rPr>
                <w:b/>
              </w:rPr>
              <w:t>Ed.</w:t>
            </w:r>
            <w:r>
              <w:rPr>
                <w:b/>
              </w:rPr>
              <w:t xml:space="preserve"> ré</w:t>
            </w:r>
            <w:r w:rsidRPr="00E47CCD">
              <w:rPr>
                <w:b/>
              </w:rPr>
              <w:t>v.</w:t>
            </w:r>
          </w:p>
        </w:tc>
        <w:tc>
          <w:tcPr>
            <w:tcW w:w="1788" w:type="dxa"/>
            <w:shd w:val="clear" w:color="auto" w:fill="auto"/>
            <w:tcMar>
              <w:left w:w="0" w:type="dxa"/>
              <w:right w:w="0" w:type="dxa"/>
            </w:tcMar>
            <w:vAlign w:val="center"/>
          </w:tcPr>
          <w:p w:rsidR="004D67CD" w:rsidRPr="00E47CCD" w:rsidRDefault="004D67CD" w:rsidP="004D67CD">
            <w:pPr>
              <w:keepNext/>
              <w:keepLines/>
              <w:spacing w:before="60" w:after="60"/>
              <w:ind w:left="57" w:right="57"/>
              <w:jc w:val="center"/>
              <w:rPr>
                <w:b/>
              </w:rPr>
            </w:pPr>
            <w:r w:rsidRPr="00E47CCD">
              <w:rPr>
                <w:b/>
              </w:rPr>
              <w:t>CL</w:t>
            </w:r>
            <w:r w:rsidRPr="00E47CCD">
              <w:rPr>
                <w:b/>
                <w:vertAlign w:val="subscript"/>
              </w:rPr>
              <w:t>50</w:t>
            </w:r>
            <w:r w:rsidRPr="00E47CCD">
              <w:rPr>
                <w:b/>
              </w:rPr>
              <w:t xml:space="preserve"> en ml/m</w:t>
            </w:r>
            <w:r w:rsidRPr="00E47CCD">
              <w:rPr>
                <w:b/>
                <w:vertAlign w:val="superscript"/>
              </w:rPr>
              <w:t>3</w:t>
            </w:r>
            <w:r w:rsidRPr="00E47CCD">
              <w:rPr>
                <w:b/>
              </w:rPr>
              <w:t xml:space="preserve"> dans ISO 10298</w:t>
            </w:r>
            <w:r>
              <w:rPr>
                <w:b/>
              </w:rPr>
              <w:t xml:space="preserve"> </w:t>
            </w:r>
            <w:r w:rsidRPr="00E47CCD">
              <w:rPr>
                <w:b/>
              </w:rPr>
              <w:t>:</w:t>
            </w:r>
            <w:r>
              <w:rPr>
                <w:b/>
              </w:rPr>
              <w:t xml:space="preserve"> </w:t>
            </w:r>
            <w:r w:rsidRPr="00E47CCD">
              <w:rPr>
                <w:b/>
              </w:rPr>
              <w:t>2010</w:t>
            </w:r>
          </w:p>
        </w:tc>
      </w:tr>
      <w:tr w:rsidR="004D67CD" w:rsidTr="004D67CD">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1008</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TRIFLUORURE DE BORE</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387</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864</w:t>
            </w:r>
          </w:p>
        </w:tc>
      </w:tr>
      <w:tr w:rsidR="004D67CD" w:rsidTr="004D67CD">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1859</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TÉTRAFLUORIDE DE SILICIUM</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450</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922</w:t>
            </w:r>
          </w:p>
        </w:tc>
      </w:tr>
      <w:tr w:rsidR="004D67CD" w:rsidTr="004D67CD">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2188</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ARSINE</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20</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178</w:t>
            </w:r>
          </w:p>
        </w:tc>
      </w:tr>
      <w:tr w:rsidR="004D67CD" w:rsidTr="004D67CD">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2196</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HEXAFLUORURE DE TUNGSTÈNE</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160</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218</w:t>
            </w:r>
          </w:p>
        </w:tc>
      </w:tr>
      <w:tr w:rsidR="004D67CD" w:rsidTr="004D67CD">
        <w:trPr>
          <w:trHeight w:val="218"/>
        </w:trPr>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2198</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PENTAFLUORURE DE PHOSPHORE</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190</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261</w:t>
            </w:r>
          </w:p>
        </w:tc>
      </w:tr>
      <w:tr w:rsidR="004D67CD" w:rsidTr="004D67CD">
        <w:trPr>
          <w:trHeight w:val="218"/>
        </w:trPr>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2202</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SÉLÉ</w:t>
            </w:r>
            <w:r w:rsidR="00ED139C">
              <w:t>NIURE D’</w:t>
            </w:r>
            <w:r>
              <w:t>HYDROGÈNE ANHYDRE</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2</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51</w:t>
            </w:r>
          </w:p>
        </w:tc>
      </w:tr>
      <w:tr w:rsidR="004D67CD" w:rsidTr="004D67CD">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2534</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MÉTHYLCHLOROSILANE</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600</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2 810</w:t>
            </w:r>
          </w:p>
        </w:tc>
      </w:tr>
      <w:tr w:rsidR="004D67CD" w:rsidTr="004D67CD">
        <w:tc>
          <w:tcPr>
            <w:tcW w:w="940" w:type="dxa"/>
            <w:shd w:val="clear" w:color="auto" w:fill="auto"/>
            <w:tcMar>
              <w:left w:w="0" w:type="dxa"/>
              <w:right w:w="0" w:type="dxa"/>
            </w:tcMar>
          </w:tcPr>
          <w:p w:rsidR="004D67CD" w:rsidRDefault="004D67CD" w:rsidP="004D67CD">
            <w:pPr>
              <w:keepNext/>
              <w:keepLines/>
              <w:spacing w:before="60" w:after="60"/>
              <w:ind w:left="57" w:right="57"/>
              <w:jc w:val="center"/>
            </w:pPr>
            <w:r>
              <w:t>2676</w:t>
            </w:r>
          </w:p>
        </w:tc>
        <w:tc>
          <w:tcPr>
            <w:tcW w:w="3366" w:type="dxa"/>
            <w:shd w:val="clear" w:color="auto" w:fill="auto"/>
            <w:tcMar>
              <w:left w:w="0" w:type="dxa"/>
              <w:right w:w="0" w:type="dxa"/>
            </w:tcMar>
          </w:tcPr>
          <w:p w:rsidR="004D67CD" w:rsidRDefault="004D67CD" w:rsidP="004D67CD">
            <w:pPr>
              <w:keepNext/>
              <w:keepLines/>
              <w:spacing w:before="60" w:after="60"/>
              <w:ind w:left="57" w:right="57"/>
            </w:pPr>
            <w:r>
              <w:t>STIBINE</w:t>
            </w:r>
          </w:p>
        </w:tc>
        <w:tc>
          <w:tcPr>
            <w:tcW w:w="1787"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20</w:t>
            </w:r>
          </w:p>
        </w:tc>
        <w:tc>
          <w:tcPr>
            <w:tcW w:w="1788" w:type="dxa"/>
            <w:shd w:val="clear" w:color="auto" w:fill="auto"/>
            <w:tcMar>
              <w:left w:w="0" w:type="dxa"/>
              <w:right w:w="0" w:type="dxa"/>
            </w:tcMar>
            <w:vAlign w:val="center"/>
          </w:tcPr>
          <w:p w:rsidR="004D67CD" w:rsidRDefault="004D67CD" w:rsidP="004D67CD">
            <w:pPr>
              <w:keepNext/>
              <w:keepLines/>
              <w:spacing w:before="60" w:after="60"/>
              <w:ind w:left="57" w:right="57"/>
              <w:jc w:val="center"/>
            </w:pPr>
            <w:r>
              <w:t>178</w:t>
            </w:r>
          </w:p>
        </w:tc>
      </w:tr>
    </w:tbl>
    <w:p w:rsidR="004D67CD" w:rsidRPr="00E47CCD" w:rsidRDefault="004D67CD" w:rsidP="005539F0">
      <w:pPr>
        <w:pStyle w:val="HChG"/>
      </w:pPr>
      <w:r>
        <w:tab/>
      </w:r>
      <w:r>
        <w:tab/>
        <w:t>Justification</w:t>
      </w:r>
    </w:p>
    <w:p w:rsidR="004D67CD" w:rsidRDefault="005539F0" w:rsidP="005539F0">
      <w:pPr>
        <w:pStyle w:val="SingleTxtG"/>
      </w:pPr>
      <w:r>
        <w:t>3.</w:t>
      </w:r>
      <w:r>
        <w:tab/>
      </w:r>
      <w:r w:rsidR="004D67CD">
        <w:t xml:space="preserve">Les valeurs de la </w:t>
      </w:r>
      <w:r w:rsidR="004D67CD" w:rsidRPr="00E47CCD">
        <w:t>CL</w:t>
      </w:r>
      <w:r w:rsidR="004D67CD" w:rsidRPr="00ED139C">
        <w:rPr>
          <w:vertAlign w:val="subscript"/>
        </w:rPr>
        <w:t>50</w:t>
      </w:r>
      <w:r w:rsidR="004D67CD">
        <w:t xml:space="preserve"> figurant dans la norme ISO</w:t>
      </w:r>
      <w:r w:rsidR="00ED139C">
        <w:t> </w:t>
      </w:r>
      <w:r w:rsidR="004D67CD">
        <w:t>10298</w:t>
      </w:r>
      <w:r w:rsidR="00ED139C">
        <w:t>:</w:t>
      </w:r>
      <w:r w:rsidR="004D67CD">
        <w:t>2018 ainsi que dans sa version de 2010 étaient le résultat de recherches approfondies concernant les données toxicologiques les plus récentes relatives à ces gaz. La version de 1995 a été très utile pour l’élaboration de l’instruction d’emballage P200 et les modifications ont été relativement peu nombreuses étant donné que les connaissances scientifiques progressent.</w:t>
      </w:r>
    </w:p>
    <w:p w:rsidR="004D67CD" w:rsidRDefault="005539F0" w:rsidP="005539F0">
      <w:pPr>
        <w:pStyle w:val="SingleTxtG"/>
      </w:pPr>
      <w:r>
        <w:t>4.</w:t>
      </w:r>
      <w:r>
        <w:tab/>
      </w:r>
      <w:r w:rsidR="004D67CD">
        <w:t>Nous sommes parfaitement conscients que ces modifications montrent que les gaz en question sont moins toxiques que ce que l’on croyait, et c’est pourquoi le Sous-</w:t>
      </w:r>
      <w:r w:rsidR="00ED139C">
        <w:t>C</w:t>
      </w:r>
      <w:r w:rsidR="004D67CD">
        <w:t>omité souhaitera sans doute obtenir un avis indépendant avant d’accepter cette proposition</w:t>
      </w:r>
      <w:r>
        <w:t>.</w:t>
      </w:r>
    </w:p>
    <w:p w:rsidR="005539F0" w:rsidRPr="005539F0" w:rsidRDefault="005539F0" w:rsidP="005539F0">
      <w:pPr>
        <w:pStyle w:val="SingleTxtG"/>
        <w:spacing w:before="240" w:after="0"/>
        <w:jc w:val="center"/>
        <w:rPr>
          <w:u w:val="single"/>
        </w:rPr>
      </w:pPr>
      <w:r>
        <w:rPr>
          <w:u w:val="single"/>
        </w:rPr>
        <w:tab/>
      </w:r>
      <w:r>
        <w:rPr>
          <w:u w:val="single"/>
        </w:rPr>
        <w:tab/>
      </w:r>
      <w:r>
        <w:rPr>
          <w:u w:val="single"/>
        </w:rPr>
        <w:tab/>
      </w:r>
    </w:p>
    <w:sectPr w:rsidR="005539F0" w:rsidRPr="005539F0" w:rsidSect="004D67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92" w:rsidRDefault="001F7892" w:rsidP="00F95C08">
      <w:pPr>
        <w:spacing w:line="240" w:lineRule="auto"/>
      </w:pPr>
    </w:p>
  </w:endnote>
  <w:endnote w:type="continuationSeparator" w:id="0">
    <w:p w:rsidR="001F7892" w:rsidRPr="00AC3823" w:rsidRDefault="001F7892" w:rsidP="00AC3823">
      <w:pPr>
        <w:pStyle w:val="Footer"/>
      </w:pPr>
    </w:p>
  </w:endnote>
  <w:endnote w:type="continuationNotice" w:id="1">
    <w:p w:rsidR="001F7892" w:rsidRDefault="001F78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CD" w:rsidRPr="004D67CD" w:rsidRDefault="004D67CD" w:rsidP="004D67CD">
    <w:pPr>
      <w:pStyle w:val="Footer"/>
      <w:tabs>
        <w:tab w:val="right" w:pos="9638"/>
      </w:tabs>
    </w:pPr>
    <w:r w:rsidRPr="004D67CD">
      <w:rPr>
        <w:b/>
        <w:sz w:val="18"/>
      </w:rPr>
      <w:fldChar w:fldCharType="begin"/>
    </w:r>
    <w:r w:rsidRPr="004D67CD">
      <w:rPr>
        <w:b/>
        <w:sz w:val="18"/>
      </w:rPr>
      <w:instrText xml:space="preserve"> PAGE  \* MERGEFORMAT </w:instrText>
    </w:r>
    <w:r w:rsidRPr="004D67CD">
      <w:rPr>
        <w:b/>
        <w:sz w:val="18"/>
      </w:rPr>
      <w:fldChar w:fldCharType="separate"/>
    </w:r>
    <w:r w:rsidR="00143DF8">
      <w:rPr>
        <w:b/>
        <w:noProof/>
        <w:sz w:val="18"/>
      </w:rPr>
      <w:t>2</w:t>
    </w:r>
    <w:r w:rsidRPr="004D67CD">
      <w:rPr>
        <w:b/>
        <w:sz w:val="18"/>
      </w:rPr>
      <w:fldChar w:fldCharType="end"/>
    </w:r>
    <w:r>
      <w:rPr>
        <w:b/>
        <w:sz w:val="18"/>
      </w:rPr>
      <w:tab/>
    </w:r>
    <w:r>
      <w:t>GE.18-04923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CD" w:rsidRPr="004D67CD" w:rsidRDefault="004D67CD" w:rsidP="004D67CD">
    <w:pPr>
      <w:pStyle w:val="Footer"/>
      <w:tabs>
        <w:tab w:val="right" w:pos="9638"/>
      </w:tabs>
      <w:rPr>
        <w:b/>
        <w:sz w:val="18"/>
      </w:rPr>
    </w:pPr>
    <w:r>
      <w:t>GE.18-04923</w:t>
    </w:r>
    <w:r>
      <w:tab/>
    </w:r>
    <w:r w:rsidRPr="004D67CD">
      <w:rPr>
        <w:b/>
        <w:sz w:val="18"/>
      </w:rPr>
      <w:fldChar w:fldCharType="begin"/>
    </w:r>
    <w:r w:rsidRPr="004D67CD">
      <w:rPr>
        <w:b/>
        <w:sz w:val="18"/>
      </w:rPr>
      <w:instrText xml:space="preserve"> PAGE  \* MERGEFORMAT </w:instrText>
    </w:r>
    <w:r w:rsidRPr="004D67CD">
      <w:rPr>
        <w:b/>
        <w:sz w:val="18"/>
      </w:rPr>
      <w:fldChar w:fldCharType="separate"/>
    </w:r>
    <w:r w:rsidR="005539F0">
      <w:rPr>
        <w:b/>
        <w:noProof/>
        <w:sz w:val="18"/>
      </w:rPr>
      <w:t>2</w:t>
    </w:r>
    <w:r w:rsidRPr="004D67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4D67CD" w:rsidRDefault="004D67CD" w:rsidP="004D67CD">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18-04923  (F)    010518    </w:t>
    </w:r>
    <w:r w:rsidR="000F6D2A">
      <w:rPr>
        <w:sz w:val="20"/>
      </w:rPr>
      <w:t>10</w:t>
    </w:r>
    <w:r>
      <w:rPr>
        <w:sz w:val="20"/>
      </w:rPr>
      <w:t>0518</w:t>
    </w:r>
    <w:r>
      <w:rPr>
        <w:sz w:val="20"/>
      </w:rPr>
      <w:br/>
    </w:r>
    <w:r w:rsidRPr="004D67CD">
      <w:rPr>
        <w:rFonts w:ascii="C39T30Lfz" w:hAnsi="C39T30Lfz"/>
        <w:sz w:val="56"/>
      </w:rPr>
      <w:t></w:t>
    </w:r>
    <w:r w:rsidRPr="004D67CD">
      <w:rPr>
        <w:rFonts w:ascii="C39T30Lfz" w:hAnsi="C39T30Lfz"/>
        <w:sz w:val="56"/>
      </w:rPr>
      <w:t></w:t>
    </w:r>
    <w:r w:rsidRPr="004D67CD">
      <w:rPr>
        <w:rFonts w:ascii="C39T30Lfz" w:hAnsi="C39T30Lfz"/>
        <w:sz w:val="56"/>
      </w:rPr>
      <w:t></w:t>
    </w:r>
    <w:r w:rsidRPr="004D67CD">
      <w:rPr>
        <w:rFonts w:ascii="C39T30Lfz" w:hAnsi="C39T30Lfz"/>
        <w:sz w:val="56"/>
      </w:rPr>
      <w:t></w:t>
    </w:r>
    <w:r w:rsidRPr="004D67CD">
      <w:rPr>
        <w:rFonts w:ascii="C39T30Lfz" w:hAnsi="C39T30Lfz"/>
        <w:sz w:val="56"/>
      </w:rPr>
      <w:t></w:t>
    </w:r>
    <w:r w:rsidRPr="004D67CD">
      <w:rPr>
        <w:rFonts w:ascii="C39T30Lfz" w:hAnsi="C39T30Lfz"/>
        <w:sz w:val="56"/>
      </w:rPr>
      <w:t></w:t>
    </w:r>
    <w:r w:rsidRPr="004D67CD">
      <w:rPr>
        <w:rFonts w:ascii="C39T30Lfz" w:hAnsi="C39T30Lfz"/>
        <w:sz w:val="56"/>
      </w:rPr>
      <w:t></w:t>
    </w:r>
    <w:r w:rsidRPr="004D67CD">
      <w:rPr>
        <w:rFonts w:ascii="C39T30Lfz" w:hAnsi="C39T30Lfz"/>
        <w:sz w:val="56"/>
      </w:rPr>
      <w:t></w:t>
    </w:r>
    <w:r w:rsidRPr="004D67C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92" w:rsidRPr="00AC3823" w:rsidRDefault="001F7892" w:rsidP="00AC3823">
      <w:pPr>
        <w:pStyle w:val="Footer"/>
        <w:tabs>
          <w:tab w:val="right" w:pos="2155"/>
        </w:tabs>
        <w:spacing w:after="80" w:line="240" w:lineRule="atLeast"/>
        <w:ind w:left="680"/>
        <w:rPr>
          <w:u w:val="single"/>
        </w:rPr>
      </w:pPr>
      <w:r>
        <w:rPr>
          <w:u w:val="single"/>
        </w:rPr>
        <w:tab/>
      </w:r>
    </w:p>
  </w:footnote>
  <w:footnote w:type="continuationSeparator" w:id="0">
    <w:p w:rsidR="001F7892" w:rsidRPr="00AC3823" w:rsidRDefault="001F7892" w:rsidP="00AC3823">
      <w:pPr>
        <w:pStyle w:val="Footer"/>
        <w:tabs>
          <w:tab w:val="right" w:pos="2155"/>
        </w:tabs>
        <w:spacing w:after="80" w:line="240" w:lineRule="atLeast"/>
        <w:ind w:left="680"/>
        <w:rPr>
          <w:u w:val="single"/>
        </w:rPr>
      </w:pPr>
      <w:r>
        <w:rPr>
          <w:u w:val="single"/>
        </w:rPr>
        <w:tab/>
      </w:r>
    </w:p>
  </w:footnote>
  <w:footnote w:type="continuationNotice" w:id="1">
    <w:p w:rsidR="001F7892" w:rsidRPr="00AC3823" w:rsidRDefault="001F7892">
      <w:pPr>
        <w:spacing w:line="240" w:lineRule="auto"/>
        <w:rPr>
          <w:sz w:val="2"/>
          <w:szCs w:val="2"/>
        </w:rPr>
      </w:pPr>
    </w:p>
  </w:footnote>
  <w:footnote w:id="2">
    <w:p w:rsidR="004D67CD" w:rsidRDefault="004D67CD">
      <w:pPr>
        <w:pStyle w:val="FootnoteText"/>
      </w:pPr>
      <w:r>
        <w:tab/>
      </w:r>
      <w:r>
        <w:rPr>
          <w:rStyle w:val="FootnoteReference"/>
        </w:rPr>
        <w:footnoteRef/>
      </w:r>
      <w:r>
        <w:tab/>
      </w:r>
      <w:r w:rsidRPr="00C94FB2">
        <w:t>Conformément au programme de travail du Sous-comité pour la période biennale 2017</w:t>
      </w:r>
      <w:r>
        <w:t>-</w:t>
      </w:r>
      <w:r w:rsidRPr="00C94FB2">
        <w:t>2018, approuvé par le Comité à sa huitième session (voir ST/SG/AC.10/C.3/100, par</w:t>
      </w:r>
      <w:r>
        <w:t>. 98 et ST/SG/AC.10/44, par</w:t>
      </w:r>
      <w:r w:rsidRPr="00C94FB2">
        <w: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CD" w:rsidRPr="004D67CD" w:rsidRDefault="00143DF8">
    <w:pPr>
      <w:pStyle w:val="Header"/>
    </w:pPr>
    <w:r>
      <w:fldChar w:fldCharType="begin"/>
    </w:r>
    <w:r>
      <w:instrText xml:space="preserve"> TITLE  \* MERGEFORMAT </w:instrText>
    </w:r>
    <w:r>
      <w:fldChar w:fldCharType="separate"/>
    </w:r>
    <w:r>
      <w:t>ST/SG/AC.10/C.3/2018/24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CD" w:rsidRPr="004D67CD" w:rsidRDefault="00143DF8" w:rsidP="004D67CD">
    <w:pPr>
      <w:pStyle w:val="Header"/>
      <w:jc w:val="right"/>
    </w:pPr>
    <w:r>
      <w:fldChar w:fldCharType="begin"/>
    </w:r>
    <w:r>
      <w:instrText xml:space="preserve"> TITLE  \* MERGEFORMAT </w:instrText>
    </w:r>
    <w:r>
      <w:fldChar w:fldCharType="separate"/>
    </w:r>
    <w:r>
      <w:t>ST/SG/AC.10/C.3/2018/24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6C4067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B12EA9"/>
    <w:multiLevelType w:val="hybridMultilevel"/>
    <w:tmpl w:val="002608C0"/>
    <w:lvl w:ilvl="0" w:tplc="1D3E389C">
      <w:start w:val="1"/>
      <w:numFmt w:val="decimal"/>
      <w:lvlText w:val="%1."/>
      <w:lvlJc w:val="left"/>
      <w:pPr>
        <w:ind w:left="927" w:hanging="360"/>
      </w:pPr>
      <w:rPr>
        <w:rFonts w:cs="Times New Roman" w:hint="default"/>
        <w:strike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3ACF4EB2"/>
    <w:multiLevelType w:val="hybridMultilevel"/>
    <w:tmpl w:val="9F90EB6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552839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92"/>
    <w:rsid w:val="00017F94"/>
    <w:rsid w:val="00023842"/>
    <w:rsid w:val="000305D3"/>
    <w:rsid w:val="000334F9"/>
    <w:rsid w:val="00047A4C"/>
    <w:rsid w:val="0007796D"/>
    <w:rsid w:val="000B7790"/>
    <w:rsid w:val="000F6D2A"/>
    <w:rsid w:val="00111F2F"/>
    <w:rsid w:val="00132EA9"/>
    <w:rsid w:val="0014365E"/>
    <w:rsid w:val="00143DF8"/>
    <w:rsid w:val="00176178"/>
    <w:rsid w:val="001F525A"/>
    <w:rsid w:val="001F7892"/>
    <w:rsid w:val="00223272"/>
    <w:rsid w:val="0024779E"/>
    <w:rsid w:val="00283190"/>
    <w:rsid w:val="002832AC"/>
    <w:rsid w:val="002D7C93"/>
    <w:rsid w:val="003548EA"/>
    <w:rsid w:val="00441C3B"/>
    <w:rsid w:val="00446FE5"/>
    <w:rsid w:val="00452396"/>
    <w:rsid w:val="004D67CD"/>
    <w:rsid w:val="004E468C"/>
    <w:rsid w:val="005505B7"/>
    <w:rsid w:val="005539F0"/>
    <w:rsid w:val="00573BE5"/>
    <w:rsid w:val="00584DC4"/>
    <w:rsid w:val="00586ED3"/>
    <w:rsid w:val="00596AA9"/>
    <w:rsid w:val="005B61F6"/>
    <w:rsid w:val="0068456F"/>
    <w:rsid w:val="0071601D"/>
    <w:rsid w:val="007A62E6"/>
    <w:rsid w:val="0080684C"/>
    <w:rsid w:val="0085034F"/>
    <w:rsid w:val="00871C75"/>
    <w:rsid w:val="008776DC"/>
    <w:rsid w:val="008B40CD"/>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D139C"/>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6C61F1-1552-44B8-9C84-ED327E9C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7C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D67CD"/>
    <w:pPr>
      <w:keepNext/>
      <w:keepLines/>
      <w:spacing w:after="0" w:line="240" w:lineRule="auto"/>
      <w:ind w:right="0"/>
      <w:jc w:val="left"/>
      <w:outlineLvl w:val="0"/>
    </w:pPr>
  </w:style>
  <w:style w:type="paragraph" w:styleId="Heading2">
    <w:name w:val="heading 2"/>
    <w:basedOn w:val="Normal"/>
    <w:next w:val="Normal"/>
    <w:link w:val="Heading2Char"/>
    <w:semiHidden/>
    <w:qFormat/>
    <w:rsid w:val="004D67CD"/>
    <w:pPr>
      <w:outlineLvl w:val="1"/>
    </w:pPr>
  </w:style>
  <w:style w:type="paragraph" w:styleId="Heading3">
    <w:name w:val="heading 3"/>
    <w:basedOn w:val="Normal"/>
    <w:next w:val="Normal"/>
    <w:link w:val="Heading3Char"/>
    <w:semiHidden/>
    <w:qFormat/>
    <w:rsid w:val="004D67CD"/>
    <w:pPr>
      <w:outlineLvl w:val="2"/>
    </w:pPr>
  </w:style>
  <w:style w:type="paragraph" w:styleId="Heading4">
    <w:name w:val="heading 4"/>
    <w:basedOn w:val="Normal"/>
    <w:next w:val="Normal"/>
    <w:link w:val="Heading4Char"/>
    <w:semiHidden/>
    <w:qFormat/>
    <w:rsid w:val="004D67CD"/>
    <w:pPr>
      <w:outlineLvl w:val="3"/>
    </w:pPr>
  </w:style>
  <w:style w:type="paragraph" w:styleId="Heading5">
    <w:name w:val="heading 5"/>
    <w:basedOn w:val="Normal"/>
    <w:next w:val="Normal"/>
    <w:link w:val="Heading5Char"/>
    <w:semiHidden/>
    <w:qFormat/>
    <w:rsid w:val="004D67CD"/>
    <w:pPr>
      <w:outlineLvl w:val="4"/>
    </w:pPr>
  </w:style>
  <w:style w:type="paragraph" w:styleId="Heading6">
    <w:name w:val="heading 6"/>
    <w:basedOn w:val="Normal"/>
    <w:next w:val="Normal"/>
    <w:link w:val="Heading6Char"/>
    <w:semiHidden/>
    <w:qFormat/>
    <w:rsid w:val="004D67CD"/>
    <w:pPr>
      <w:outlineLvl w:val="5"/>
    </w:pPr>
  </w:style>
  <w:style w:type="paragraph" w:styleId="Heading7">
    <w:name w:val="heading 7"/>
    <w:basedOn w:val="Normal"/>
    <w:next w:val="Normal"/>
    <w:link w:val="Heading7Char"/>
    <w:semiHidden/>
    <w:qFormat/>
    <w:rsid w:val="004D67CD"/>
    <w:pPr>
      <w:outlineLvl w:val="6"/>
    </w:pPr>
  </w:style>
  <w:style w:type="paragraph" w:styleId="Heading8">
    <w:name w:val="heading 8"/>
    <w:basedOn w:val="Normal"/>
    <w:next w:val="Normal"/>
    <w:link w:val="Heading8Char"/>
    <w:semiHidden/>
    <w:qFormat/>
    <w:rsid w:val="004D67CD"/>
    <w:pPr>
      <w:outlineLvl w:val="7"/>
    </w:pPr>
  </w:style>
  <w:style w:type="paragraph" w:styleId="Heading9">
    <w:name w:val="heading 9"/>
    <w:basedOn w:val="Normal"/>
    <w:next w:val="Normal"/>
    <w:link w:val="Heading9Char"/>
    <w:semiHidden/>
    <w:qFormat/>
    <w:rsid w:val="004D67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4D67C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D67C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4D67CD"/>
    <w:pPr>
      <w:spacing w:line="240" w:lineRule="auto"/>
    </w:pPr>
    <w:rPr>
      <w:sz w:val="16"/>
    </w:rPr>
  </w:style>
  <w:style w:type="character" w:customStyle="1" w:styleId="FooterChar">
    <w:name w:val="Footer Char"/>
    <w:aliases w:val="3_G Char"/>
    <w:basedOn w:val="DefaultParagraphFont"/>
    <w:link w:val="Footer"/>
    <w:rsid w:val="004D67C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7C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7C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7C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D67C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7C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7C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7CD"/>
    <w:pPr>
      <w:spacing w:after="120"/>
      <w:ind w:left="1134" w:right="1134"/>
      <w:jc w:val="both"/>
    </w:pPr>
  </w:style>
  <w:style w:type="paragraph" w:customStyle="1" w:styleId="SLG">
    <w:name w:val="__S_L_G"/>
    <w:basedOn w:val="Normal"/>
    <w:next w:val="Normal"/>
    <w:rsid w:val="004D67CD"/>
    <w:pPr>
      <w:keepNext/>
      <w:keepLines/>
      <w:spacing w:before="240" w:after="240" w:line="580" w:lineRule="exact"/>
      <w:ind w:left="1134" w:right="1134"/>
    </w:pPr>
    <w:rPr>
      <w:b/>
      <w:sz w:val="56"/>
    </w:rPr>
  </w:style>
  <w:style w:type="paragraph" w:customStyle="1" w:styleId="SMG">
    <w:name w:val="__S_M_G"/>
    <w:basedOn w:val="Normal"/>
    <w:next w:val="Normal"/>
    <w:rsid w:val="004D67CD"/>
    <w:pPr>
      <w:keepNext/>
      <w:keepLines/>
      <w:spacing w:before="240" w:after="240" w:line="420" w:lineRule="exact"/>
      <w:ind w:left="1134" w:right="1134"/>
    </w:pPr>
    <w:rPr>
      <w:b/>
      <w:sz w:val="40"/>
    </w:rPr>
  </w:style>
  <w:style w:type="paragraph" w:customStyle="1" w:styleId="SSG">
    <w:name w:val="__S_S_G"/>
    <w:basedOn w:val="Normal"/>
    <w:next w:val="Normal"/>
    <w:rsid w:val="004D67CD"/>
    <w:pPr>
      <w:keepNext/>
      <w:keepLines/>
      <w:spacing w:before="240" w:after="240" w:line="300" w:lineRule="exact"/>
      <w:ind w:left="1134" w:right="1134"/>
    </w:pPr>
    <w:rPr>
      <w:b/>
      <w:sz w:val="28"/>
    </w:rPr>
  </w:style>
  <w:style w:type="paragraph" w:customStyle="1" w:styleId="XLargeG">
    <w:name w:val="__XLarge_G"/>
    <w:basedOn w:val="Normal"/>
    <w:next w:val="Normal"/>
    <w:rsid w:val="004D67CD"/>
    <w:pPr>
      <w:keepNext/>
      <w:keepLines/>
      <w:spacing w:before="240" w:after="240" w:line="420" w:lineRule="exact"/>
      <w:ind w:left="1134" w:right="1134"/>
    </w:pPr>
    <w:rPr>
      <w:b/>
      <w:sz w:val="40"/>
    </w:rPr>
  </w:style>
  <w:style w:type="paragraph" w:customStyle="1" w:styleId="Bullet1G">
    <w:name w:val="_Bullet 1_G"/>
    <w:basedOn w:val="Normal"/>
    <w:qFormat/>
    <w:rsid w:val="004D67CD"/>
    <w:pPr>
      <w:numPr>
        <w:numId w:val="18"/>
      </w:numPr>
      <w:spacing w:after="120"/>
      <w:ind w:right="1134"/>
      <w:jc w:val="both"/>
    </w:pPr>
  </w:style>
  <w:style w:type="paragraph" w:customStyle="1" w:styleId="Bullet2G">
    <w:name w:val="_Bullet 2_G"/>
    <w:basedOn w:val="Normal"/>
    <w:qFormat/>
    <w:rsid w:val="004D67CD"/>
    <w:pPr>
      <w:numPr>
        <w:numId w:val="19"/>
      </w:numPr>
      <w:spacing w:after="120"/>
      <w:ind w:right="1134"/>
      <w:jc w:val="both"/>
    </w:pPr>
  </w:style>
  <w:style w:type="paragraph" w:customStyle="1" w:styleId="ParNoG">
    <w:name w:val="_ParNo_G"/>
    <w:basedOn w:val="Normal"/>
    <w:qFormat/>
    <w:rsid w:val="004D67CD"/>
    <w:pPr>
      <w:numPr>
        <w:numId w:val="20"/>
      </w:numPr>
      <w:tabs>
        <w:tab w:val="clear" w:pos="1701"/>
      </w:tabs>
      <w:spacing w:after="120"/>
      <w:ind w:right="1134"/>
      <w:jc w:val="both"/>
    </w:pPr>
  </w:style>
  <w:style w:type="character" w:styleId="FootnoteReference">
    <w:name w:val="footnote reference"/>
    <w:aliases w:val="4_G"/>
    <w:basedOn w:val="DefaultParagraphFont"/>
    <w:qFormat/>
    <w:rsid w:val="004D67CD"/>
    <w:rPr>
      <w:rFonts w:ascii="Times New Roman" w:hAnsi="Times New Roman"/>
      <w:sz w:val="18"/>
      <w:vertAlign w:val="superscript"/>
      <w:lang w:val="fr-CH"/>
    </w:rPr>
  </w:style>
  <w:style w:type="character" w:styleId="EndnoteReference">
    <w:name w:val="endnote reference"/>
    <w:aliases w:val="1_G"/>
    <w:basedOn w:val="FootnoteReference"/>
    <w:qFormat/>
    <w:rsid w:val="004D67CD"/>
    <w:rPr>
      <w:rFonts w:ascii="Times New Roman" w:hAnsi="Times New Roman"/>
      <w:sz w:val="18"/>
      <w:vertAlign w:val="superscript"/>
      <w:lang w:val="fr-CH"/>
    </w:rPr>
  </w:style>
  <w:style w:type="table" w:styleId="TableGrid">
    <w:name w:val="Table Grid"/>
    <w:basedOn w:val="TableNormal"/>
    <w:rsid w:val="004D67C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D67CD"/>
    <w:rPr>
      <w:color w:val="0000FF"/>
      <w:u w:val="none"/>
    </w:rPr>
  </w:style>
  <w:style w:type="character" w:styleId="FollowedHyperlink">
    <w:name w:val="FollowedHyperlink"/>
    <w:basedOn w:val="DefaultParagraphFont"/>
    <w:unhideWhenUsed/>
    <w:rsid w:val="004D67CD"/>
    <w:rPr>
      <w:color w:val="0000FF"/>
      <w:u w:val="none"/>
    </w:rPr>
  </w:style>
  <w:style w:type="paragraph" w:styleId="FootnoteText">
    <w:name w:val="footnote text"/>
    <w:aliases w:val="5_G"/>
    <w:basedOn w:val="Normal"/>
    <w:link w:val="FootnoteTextChar"/>
    <w:qFormat/>
    <w:rsid w:val="004D67C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D67C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D67CD"/>
  </w:style>
  <w:style w:type="character" w:customStyle="1" w:styleId="EndnoteTextChar">
    <w:name w:val="Endnote Text Char"/>
    <w:aliases w:val="2_G Char"/>
    <w:basedOn w:val="DefaultParagraphFont"/>
    <w:link w:val="EndnoteText"/>
    <w:rsid w:val="004D67C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4D67CD"/>
    <w:rPr>
      <w:rFonts w:ascii="Times New Roman" w:hAnsi="Times New Roman"/>
      <w:b/>
      <w:sz w:val="18"/>
      <w:lang w:val="fr-CH"/>
    </w:rPr>
  </w:style>
  <w:style w:type="character" w:customStyle="1" w:styleId="Heading1Char">
    <w:name w:val="Heading 1 Char"/>
    <w:aliases w:val="Table_G Char"/>
    <w:basedOn w:val="DefaultParagraphFont"/>
    <w:link w:val="Heading1"/>
    <w:rsid w:val="004D67C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4D67C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4D67CD"/>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4D67CD"/>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4D67CD"/>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4D67CD"/>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4D67CD"/>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4D67CD"/>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4D67CD"/>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D67CD"/>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D67CD"/>
    <w:rPr>
      <w:rFonts w:ascii="Times New Roman" w:eastAsiaTheme="minorHAnsi" w:hAnsi="Times New Roman" w:cs="Times New Roman"/>
      <w:sz w:val="20"/>
      <w:szCs w:val="20"/>
      <w:lang w:eastAsia="en-US"/>
    </w:rPr>
  </w:style>
  <w:style w:type="character" w:customStyle="1" w:styleId="H1GChar">
    <w:name w:val="_ H_1_G Char"/>
    <w:link w:val="H1G"/>
    <w:locked/>
    <w:rsid w:val="004D67C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ST/SG/AC.10/C.3/2018/24</vt:lpstr>
      <vt:lpstr>ST/SG/AC.10/C.3/2018/24</vt:lpstr>
    </vt:vector>
  </TitlesOfParts>
  <Company>DCM</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ST/SG/AC.10/C.3/2018/24</dc:title>
  <dc:subject/>
  <dc:creator>Fabienne CRELIER</dc:creator>
  <cp:keywords/>
  <cp:lastModifiedBy>Laurence Berthet</cp:lastModifiedBy>
  <cp:revision>3</cp:revision>
  <cp:lastPrinted>2018-05-11T07:57:00Z</cp:lastPrinted>
  <dcterms:created xsi:type="dcterms:W3CDTF">2018-05-11T07:57:00Z</dcterms:created>
  <dcterms:modified xsi:type="dcterms:W3CDTF">2018-05-11T07:57:00Z</dcterms:modified>
</cp:coreProperties>
</file>