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7B2B1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A15A38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/SG/AC.10/C.3/201</w:t>
            </w:r>
            <w:r w:rsidR="00A15A38">
              <w:t>8</w:t>
            </w:r>
            <w:r w:rsidR="00077628" w:rsidRPr="007B2B1F">
              <w:t>/</w:t>
            </w:r>
            <w:r w:rsidR="00926AD6">
              <w:t>24</w:t>
            </w:r>
          </w:p>
        </w:tc>
      </w:tr>
      <w:tr w:rsidR="00C14945" w:rsidRPr="007B2B1F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E428FB" w:rsidP="00C14945">
            <w:pPr>
              <w:spacing w:before="120"/>
              <w:jc w:val="center"/>
            </w:pPr>
            <w:r w:rsidRPr="007B2B1F"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uppressAutoHyphens w:val="0"/>
              <w:spacing w:before="240" w:line="240" w:lineRule="exact"/>
            </w:pPr>
            <w:r w:rsidRPr="007B2B1F">
              <w:t>Distr.: General</w:t>
            </w:r>
          </w:p>
          <w:p w:rsidR="00C14945" w:rsidRPr="007B2B1F" w:rsidRDefault="00152433" w:rsidP="00C14945">
            <w:pPr>
              <w:suppressAutoHyphens w:val="0"/>
            </w:pPr>
            <w:r>
              <w:t>29</w:t>
            </w:r>
            <w:r w:rsidR="00C66798" w:rsidRPr="007B2B1F">
              <w:t xml:space="preserve"> March 201</w:t>
            </w:r>
            <w:r w:rsidR="000862B1">
              <w:t>8</w:t>
            </w:r>
          </w:p>
          <w:p w:rsidR="00C14945" w:rsidRPr="007B2B1F" w:rsidRDefault="00C14945" w:rsidP="00C14945">
            <w:pPr>
              <w:suppressAutoHyphens w:val="0"/>
            </w:pPr>
          </w:p>
          <w:p w:rsidR="00C14945" w:rsidRPr="007B2B1F" w:rsidRDefault="00C14945" w:rsidP="00C14945">
            <w:pPr>
              <w:suppressAutoHyphens w:val="0"/>
            </w:pPr>
            <w:r w:rsidRPr="007B2B1F">
              <w:t>Original: English</w:t>
            </w:r>
          </w:p>
        </w:tc>
      </w:tr>
    </w:tbl>
    <w:p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:rsidR="00C14945" w:rsidRPr="007B2B1F" w:rsidRDefault="00C14945" w:rsidP="00C14945">
      <w:pPr>
        <w:spacing w:before="120"/>
        <w:rPr>
          <w:b/>
        </w:rPr>
      </w:pPr>
      <w:r w:rsidRPr="007B2B1F">
        <w:rPr>
          <w:b/>
        </w:rPr>
        <w:t>Sub-Committee of Experts on the Transport of Dangerous Goods</w:t>
      </w:r>
    </w:p>
    <w:p w:rsidR="00C14945" w:rsidRPr="007B2B1F" w:rsidRDefault="00152433" w:rsidP="00C14945">
      <w:pPr>
        <w:spacing w:before="120"/>
        <w:rPr>
          <w:b/>
        </w:rPr>
      </w:pPr>
      <w:r>
        <w:rPr>
          <w:b/>
        </w:rPr>
        <w:t>Fifty-</w:t>
      </w:r>
      <w:r w:rsidR="00D85E66">
        <w:rPr>
          <w:b/>
        </w:rPr>
        <w:t>third</w:t>
      </w:r>
      <w:r w:rsidR="00C14945" w:rsidRPr="007B2B1F">
        <w:rPr>
          <w:b/>
        </w:rPr>
        <w:t xml:space="preserve"> session</w:t>
      </w:r>
    </w:p>
    <w:p w:rsidR="00C14945" w:rsidRPr="007B2B1F" w:rsidRDefault="00C14945" w:rsidP="00C14945">
      <w:r w:rsidRPr="007B2B1F">
        <w:t xml:space="preserve">Geneva, </w:t>
      </w:r>
      <w:r w:rsidR="00926AD6">
        <w:t>25 June</w:t>
      </w:r>
      <w:r w:rsidR="00FC6BBC">
        <w:t>-</w:t>
      </w:r>
      <w:r w:rsidR="00D85E66">
        <w:t>4</w:t>
      </w:r>
      <w:r w:rsidRPr="007B2B1F">
        <w:t xml:space="preserve"> </w:t>
      </w:r>
      <w:r w:rsidR="00D85E66">
        <w:t>July 2018</w:t>
      </w:r>
    </w:p>
    <w:p w:rsidR="00C14945" w:rsidRPr="007B2B1F" w:rsidRDefault="00C14945" w:rsidP="00C14945">
      <w:pPr>
        <w:rPr>
          <w:b/>
        </w:rPr>
      </w:pPr>
      <w:r w:rsidRPr="007B2B1F">
        <w:t xml:space="preserve">Item </w:t>
      </w:r>
      <w:r w:rsidR="00C42B3C" w:rsidRPr="007B2B1F">
        <w:t>5 (b)</w:t>
      </w:r>
      <w:r w:rsidRPr="007B2B1F">
        <w:t xml:space="preserve"> of the provisional agenda</w:t>
      </w:r>
      <w:r w:rsidRPr="007B2B1F">
        <w:rPr>
          <w:b/>
        </w:rPr>
        <w:t xml:space="preserve"> </w:t>
      </w:r>
      <w:r w:rsidRPr="007B2B1F">
        <w:rPr>
          <w:b/>
        </w:rPr>
        <w:br/>
      </w:r>
      <w:r w:rsidR="00C42B3C" w:rsidRPr="007B2B1F">
        <w:rPr>
          <w:b/>
        </w:rPr>
        <w:t xml:space="preserve">Transport of gases: miscellaneous </w:t>
      </w:r>
    </w:p>
    <w:p w:rsidR="000062D2" w:rsidRPr="00EE61F4" w:rsidRDefault="00C42B3C" w:rsidP="000062D2">
      <w:pPr>
        <w:pStyle w:val="HChG"/>
      </w:pPr>
      <w:r w:rsidRPr="007B2B1F">
        <w:tab/>
      </w:r>
      <w:r w:rsidRPr="007B2B1F">
        <w:tab/>
      </w:r>
      <w:r w:rsidR="00EE61F4">
        <w:t>Update of LC</w:t>
      </w:r>
      <w:r w:rsidR="00EE61F4">
        <w:rPr>
          <w:vertAlign w:val="subscript"/>
        </w:rPr>
        <w:t>50</w:t>
      </w:r>
      <w:r w:rsidR="00EE61F4">
        <w:t xml:space="preserve"> values in P200</w:t>
      </w:r>
    </w:p>
    <w:p w:rsidR="009B1518" w:rsidRPr="007B2B1F" w:rsidRDefault="002D4B6C" w:rsidP="001F602E">
      <w:pPr>
        <w:pStyle w:val="H1G"/>
        <w:jc w:val="both"/>
      </w:pPr>
      <w:r w:rsidRPr="007B2B1F">
        <w:tab/>
      </w:r>
      <w:r w:rsidRPr="007B2B1F">
        <w:tab/>
      </w:r>
      <w:r w:rsidR="009B1518" w:rsidRPr="007B2B1F">
        <w:t xml:space="preserve">Transmitted by the </w:t>
      </w:r>
      <w:r w:rsidR="00853EBC" w:rsidRPr="007B2B1F">
        <w:t>International Organisation for Standardisation (ISO</w:t>
      </w:r>
      <w:r w:rsidR="00077628" w:rsidRPr="007B2B1F">
        <w:t>)</w:t>
      </w:r>
      <w:r w:rsidR="001F4E61">
        <w:rPr>
          <w:rStyle w:val="FootnoteReference"/>
        </w:rPr>
        <w:footnoteReference w:id="2"/>
      </w:r>
    </w:p>
    <w:p w:rsidR="001D7F46" w:rsidRPr="007B2B1F" w:rsidRDefault="001E0B9E" w:rsidP="00926AD6">
      <w:pPr>
        <w:pStyle w:val="HChG"/>
      </w:pPr>
      <w:r w:rsidRPr="007B2B1F">
        <w:tab/>
      </w:r>
      <w:r w:rsidRPr="007B2B1F">
        <w:tab/>
      </w:r>
      <w:r w:rsidR="001D7F46" w:rsidRPr="00926AD6">
        <w:t>Introduction</w:t>
      </w:r>
    </w:p>
    <w:p w:rsidR="00C42B3C" w:rsidRPr="000D2F52" w:rsidRDefault="00CC1ADB" w:rsidP="00926AD6">
      <w:pPr>
        <w:pStyle w:val="SingleTxtG"/>
      </w:pPr>
      <w:r w:rsidRPr="000D2F52">
        <w:t>1.</w:t>
      </w:r>
      <w:r w:rsidRPr="000D2F52">
        <w:tab/>
      </w:r>
      <w:r w:rsidR="00EE61F4" w:rsidRPr="000D2F52">
        <w:t>When the LC</w:t>
      </w:r>
      <w:r w:rsidR="00EE61F4" w:rsidRPr="000D2F52">
        <w:rPr>
          <w:vertAlign w:val="subscript"/>
        </w:rPr>
        <w:t>50</w:t>
      </w:r>
      <w:r w:rsidR="00EE61F4" w:rsidRPr="000D2F52">
        <w:t xml:space="preserve"> values of the toxic gases were added to P200, ISO 10298:1995 </w:t>
      </w:r>
      <w:r w:rsidR="00926AD6">
        <w:rPr>
          <w:i/>
        </w:rPr>
        <w:t xml:space="preserve">Gas cylinders - Gases and gas mixtures </w:t>
      </w:r>
      <w:r w:rsidR="000D2F52" w:rsidRPr="000D2F52">
        <w:rPr>
          <w:i/>
        </w:rPr>
        <w:t>- Determination of toxicity for the selection of cylinder valve outlets</w:t>
      </w:r>
      <w:r w:rsidR="000D2F52" w:rsidRPr="000D2F52">
        <w:t xml:space="preserve"> </w:t>
      </w:r>
      <w:r w:rsidR="00EE61F4" w:rsidRPr="000D2F52">
        <w:t>was used as the reference source</w:t>
      </w:r>
      <w:r w:rsidR="00926AD6">
        <w:t xml:space="preserve">. </w:t>
      </w:r>
      <w:r w:rsidR="000D2F52" w:rsidRPr="000D2F52">
        <w:t xml:space="preserve">These values were verified by </w:t>
      </w:r>
      <w:r w:rsidR="00152433">
        <w:t>the National Institute of Standards and Technology (</w:t>
      </w:r>
      <w:r w:rsidR="000D2F52" w:rsidRPr="000D2F52">
        <w:t>NIST</w:t>
      </w:r>
      <w:r w:rsidR="00152433">
        <w:t>)</w:t>
      </w:r>
      <w:r w:rsidR="000D2F52" w:rsidRPr="000D2F52">
        <w:t xml:space="preserve"> in the U</w:t>
      </w:r>
      <w:r w:rsidR="00926AD6">
        <w:t xml:space="preserve">nited States of America </w:t>
      </w:r>
      <w:r w:rsidR="000D2F52" w:rsidRPr="000D2F52">
        <w:t xml:space="preserve">and </w:t>
      </w:r>
      <w:r w:rsidR="00152433">
        <w:t>The Federal Institute for Materials Research and Testing (</w:t>
      </w:r>
      <w:r w:rsidR="000D2F52" w:rsidRPr="000D2F52">
        <w:t>BAM</w:t>
      </w:r>
      <w:r w:rsidR="00152433">
        <w:t>)</w:t>
      </w:r>
      <w:r w:rsidR="00926AD6">
        <w:t xml:space="preserve"> in Germany. </w:t>
      </w:r>
      <w:r w:rsidR="000D2F52">
        <w:t xml:space="preserve">The 1995 version of this </w:t>
      </w:r>
      <w:r w:rsidR="00DA6DAD">
        <w:t>standard has been up</w:t>
      </w:r>
      <w:r w:rsidR="00926AD6">
        <w:t xml:space="preserve">dated twice, in 2010 and 2018. </w:t>
      </w:r>
      <w:r w:rsidR="00DA6DAD">
        <w:t xml:space="preserve">This has prompted a review of the values in P200 in the </w:t>
      </w:r>
      <w:r w:rsidR="00926AD6">
        <w:t xml:space="preserve">twentieth revision of the </w:t>
      </w:r>
      <w:r w:rsidR="00DA6DAD">
        <w:t xml:space="preserve">Model Regulations and there are </w:t>
      </w:r>
      <w:r w:rsidR="00152433">
        <w:t>eight</w:t>
      </w:r>
      <w:r w:rsidR="00DA6DAD">
        <w:t xml:space="preserve"> toxic gases which show different</w:t>
      </w:r>
      <w:r w:rsidR="00926AD6">
        <w:t xml:space="preserve"> values from the ISO standard. </w:t>
      </w:r>
      <w:r w:rsidR="00DA6DAD">
        <w:t xml:space="preserve">It is therefore proposed that </w:t>
      </w:r>
      <w:r w:rsidR="005561E5">
        <w:t>P200 is aligned with ISO 10298:2018.</w:t>
      </w:r>
    </w:p>
    <w:p w:rsidR="00021776" w:rsidRPr="007B2B1F" w:rsidRDefault="00926AD6" w:rsidP="00926AD6">
      <w:pPr>
        <w:pStyle w:val="HChG"/>
      </w:pPr>
      <w:r>
        <w:tab/>
      </w:r>
      <w:r>
        <w:tab/>
      </w:r>
      <w:r w:rsidR="00021776" w:rsidRPr="007B2B1F">
        <w:t>P</w:t>
      </w:r>
      <w:r w:rsidR="00111981">
        <w:t xml:space="preserve">roposal </w:t>
      </w:r>
    </w:p>
    <w:p w:rsidR="00111981" w:rsidRDefault="00B9414F" w:rsidP="003461FF">
      <w:pPr>
        <w:pStyle w:val="SingleTxtG"/>
      </w:pPr>
      <w:r w:rsidRPr="007B2B1F">
        <w:t>2</w:t>
      </w:r>
      <w:r w:rsidR="0029750B" w:rsidRPr="007B2B1F">
        <w:t>.</w:t>
      </w:r>
      <w:r w:rsidR="0029750B" w:rsidRPr="007B2B1F">
        <w:tab/>
      </w:r>
      <w:r w:rsidR="00087B55">
        <w:t>The table</w:t>
      </w:r>
      <w:bookmarkStart w:id="0" w:name="_GoBack"/>
      <w:bookmarkEnd w:id="0"/>
      <w:r w:rsidR="00087B55">
        <w:t xml:space="preserve"> below show the LC</w:t>
      </w:r>
      <w:r w:rsidR="00087B55" w:rsidRPr="00087B55">
        <w:rPr>
          <w:vertAlign w:val="subscript"/>
        </w:rPr>
        <w:t>50</w:t>
      </w:r>
      <w:r w:rsidR="00087B55">
        <w:t xml:space="preserve"> values in ml/</w:t>
      </w:r>
      <w:r w:rsidR="00087B55" w:rsidRPr="00087B55">
        <w:t>m</w:t>
      </w:r>
      <w:r w:rsidR="00087B55" w:rsidRPr="00087B55">
        <w:rPr>
          <w:vertAlign w:val="superscript"/>
        </w:rPr>
        <w:t>3</w:t>
      </w:r>
      <w:r w:rsidR="00087B55">
        <w:t xml:space="preserve"> </w:t>
      </w:r>
      <w:r w:rsidR="00087B55" w:rsidRPr="00087B55">
        <w:t>for</w:t>
      </w:r>
      <w:r w:rsidR="00087B55">
        <w:t xml:space="preserve"> eight toxic gases both in 4.1.1.4 P200 Table 2 </w:t>
      </w:r>
      <w:r w:rsidR="00111981">
        <w:t>(</w:t>
      </w:r>
      <w:r w:rsidR="00926AD6">
        <w:t>twentieth r</w:t>
      </w:r>
      <w:r w:rsidR="00111981">
        <w:t xml:space="preserve">evision) </w:t>
      </w:r>
      <w:r w:rsidR="00087B55">
        <w:t xml:space="preserve">and in ISO 10298:2018 Annex </w:t>
      </w:r>
      <w:r w:rsidR="00926AD6">
        <w:t xml:space="preserve">B, Table B.1. </w:t>
      </w:r>
      <w:r w:rsidR="00111981">
        <w:t xml:space="preserve">It is proposed that the values shown in the far-right column replace those currently in the </w:t>
      </w:r>
      <w:r w:rsidR="00152433">
        <w:t xml:space="preserve">Model </w:t>
      </w:r>
      <w:r w:rsidR="00111981">
        <w:t>Regulations.</w:t>
      </w:r>
    </w:p>
    <w:p w:rsidR="00152433" w:rsidRDefault="00152433">
      <w:pPr>
        <w:suppressAutoHyphens w:val="0"/>
        <w:spacing w:line="240" w:lineRule="auto"/>
      </w:pPr>
      <w:r>
        <w:br w:type="page"/>
      </w:r>
    </w:p>
    <w:tbl>
      <w:tblPr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66"/>
        <w:gridCol w:w="1787"/>
        <w:gridCol w:w="1788"/>
      </w:tblGrid>
      <w:tr w:rsidR="00111981" w:rsidRPr="00F90C80" w:rsidTr="00F90C80">
        <w:tc>
          <w:tcPr>
            <w:tcW w:w="940" w:type="dxa"/>
            <w:shd w:val="clear" w:color="auto" w:fill="auto"/>
            <w:vAlign w:val="center"/>
          </w:tcPr>
          <w:p w:rsidR="00111981" w:rsidRPr="00F90C80" w:rsidRDefault="00111981" w:rsidP="00F90C80">
            <w:pPr>
              <w:jc w:val="center"/>
              <w:rPr>
                <w:b/>
              </w:rPr>
            </w:pPr>
            <w:r w:rsidRPr="00F90C80">
              <w:rPr>
                <w:b/>
              </w:rPr>
              <w:lastRenderedPageBreak/>
              <w:t>UN No.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111981" w:rsidRPr="00F90C80" w:rsidRDefault="00111981" w:rsidP="00F90C80">
            <w:pPr>
              <w:jc w:val="center"/>
              <w:rPr>
                <w:b/>
              </w:rPr>
            </w:pPr>
            <w:r w:rsidRPr="00F90C80">
              <w:rPr>
                <w:b/>
              </w:rPr>
              <w:t>Proper Shipping Name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Pr="00F90C80" w:rsidRDefault="00111981" w:rsidP="00F90C80">
            <w:pPr>
              <w:jc w:val="center"/>
              <w:rPr>
                <w:b/>
              </w:rPr>
            </w:pPr>
            <w:r w:rsidRPr="00F90C80">
              <w:rPr>
                <w:b/>
              </w:rPr>
              <w:t>LC</w:t>
            </w:r>
            <w:r w:rsidRPr="00F90C80">
              <w:rPr>
                <w:b/>
                <w:vertAlign w:val="subscript"/>
              </w:rPr>
              <w:t>50</w:t>
            </w:r>
            <w:r w:rsidRPr="00F90C80">
              <w:rPr>
                <w:b/>
              </w:rPr>
              <w:t xml:space="preserve"> in ml/m</w:t>
            </w:r>
            <w:r w:rsidRPr="00F90C80">
              <w:rPr>
                <w:b/>
                <w:vertAlign w:val="superscript"/>
              </w:rPr>
              <w:t>3</w:t>
            </w:r>
            <w:r w:rsidRPr="00F90C80">
              <w:rPr>
                <w:b/>
              </w:rPr>
              <w:t xml:space="preserve"> in P200, 20</w:t>
            </w:r>
            <w:r w:rsidRPr="00F90C80">
              <w:rPr>
                <w:b/>
                <w:vertAlign w:val="superscript"/>
              </w:rPr>
              <w:t>th</w:t>
            </w:r>
            <w:r w:rsidRPr="00F90C80">
              <w:rPr>
                <w:b/>
              </w:rPr>
              <w:t xml:space="preserve"> Rev.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Pr="00F90C80" w:rsidRDefault="00111981" w:rsidP="00F90C80">
            <w:pPr>
              <w:jc w:val="center"/>
              <w:rPr>
                <w:b/>
              </w:rPr>
            </w:pPr>
            <w:r w:rsidRPr="00F90C80">
              <w:rPr>
                <w:b/>
              </w:rPr>
              <w:t>LC</w:t>
            </w:r>
            <w:r w:rsidRPr="00F90C80">
              <w:rPr>
                <w:b/>
                <w:vertAlign w:val="subscript"/>
              </w:rPr>
              <w:t>50</w:t>
            </w:r>
            <w:r w:rsidRPr="00F90C80">
              <w:rPr>
                <w:b/>
              </w:rPr>
              <w:t xml:space="preserve"> in ml/m</w:t>
            </w:r>
            <w:r w:rsidRPr="00F90C80">
              <w:rPr>
                <w:b/>
                <w:vertAlign w:val="superscript"/>
              </w:rPr>
              <w:t>3</w:t>
            </w:r>
            <w:r w:rsidRPr="00F90C80">
              <w:rPr>
                <w:b/>
              </w:rPr>
              <w:t xml:space="preserve"> in ISO 10298:2010</w:t>
            </w:r>
          </w:p>
        </w:tc>
      </w:tr>
      <w:tr w:rsidR="00111981" w:rsidTr="00F90C80"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1008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BORON TRIFLUORIDE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387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864</w:t>
            </w:r>
          </w:p>
        </w:tc>
      </w:tr>
      <w:tr w:rsidR="00111981" w:rsidTr="00F90C80"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1859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SILICON TETRAFLUORIDE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450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922</w:t>
            </w:r>
          </w:p>
        </w:tc>
      </w:tr>
      <w:tr w:rsidR="00111981" w:rsidTr="00F90C80"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2188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ARSINE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20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178</w:t>
            </w:r>
          </w:p>
        </w:tc>
      </w:tr>
      <w:tr w:rsidR="00111981" w:rsidTr="00F90C80"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2196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TUNGSTEN HEXAFLUORIDE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160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218</w:t>
            </w:r>
          </w:p>
        </w:tc>
      </w:tr>
      <w:tr w:rsidR="00111981" w:rsidTr="00F90C80">
        <w:trPr>
          <w:trHeight w:val="218"/>
        </w:trPr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2198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PHOSPHOROUS PENTAFLUORIDE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190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261</w:t>
            </w:r>
          </w:p>
        </w:tc>
      </w:tr>
      <w:tr w:rsidR="00111981" w:rsidTr="00F90C80">
        <w:trPr>
          <w:trHeight w:val="218"/>
        </w:trPr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2202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HYDROGEN SELENIDE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51</w:t>
            </w:r>
          </w:p>
        </w:tc>
      </w:tr>
      <w:tr w:rsidR="00111981" w:rsidTr="00F90C80"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2534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METHYLCHLOROSILANE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600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2 810</w:t>
            </w:r>
          </w:p>
        </w:tc>
      </w:tr>
      <w:tr w:rsidR="00111981" w:rsidTr="00F90C80">
        <w:tc>
          <w:tcPr>
            <w:tcW w:w="940" w:type="dxa"/>
            <w:shd w:val="clear" w:color="auto" w:fill="auto"/>
          </w:tcPr>
          <w:p w:rsidR="00111981" w:rsidRDefault="00111981" w:rsidP="00F90C80">
            <w:pPr>
              <w:jc w:val="center"/>
            </w:pPr>
            <w:r>
              <w:t>2676</w:t>
            </w:r>
          </w:p>
        </w:tc>
        <w:tc>
          <w:tcPr>
            <w:tcW w:w="3366" w:type="dxa"/>
            <w:shd w:val="clear" w:color="auto" w:fill="auto"/>
          </w:tcPr>
          <w:p w:rsidR="00111981" w:rsidRDefault="00111981" w:rsidP="00F90C80">
            <w:r>
              <w:t>STIBINE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20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1981" w:rsidRDefault="00111981" w:rsidP="00F90C80">
            <w:pPr>
              <w:jc w:val="center"/>
            </w:pPr>
            <w:r>
              <w:t>178</w:t>
            </w:r>
          </w:p>
        </w:tc>
      </w:tr>
    </w:tbl>
    <w:p w:rsidR="00BC38BF" w:rsidRPr="007B2B1F" w:rsidRDefault="00926AD6" w:rsidP="00926AD6">
      <w:pPr>
        <w:pStyle w:val="HChG"/>
      </w:pPr>
      <w:r>
        <w:tab/>
      </w:r>
      <w:r>
        <w:tab/>
      </w:r>
      <w:r w:rsidR="00BC38BF" w:rsidRPr="007B2B1F">
        <w:t xml:space="preserve">Justification </w:t>
      </w:r>
    </w:p>
    <w:p w:rsidR="00EB2884" w:rsidRPr="007B2B1F" w:rsidRDefault="00B9414F" w:rsidP="00926AD6">
      <w:pPr>
        <w:pStyle w:val="SingleTxtG"/>
      </w:pPr>
      <w:r w:rsidRPr="007B2B1F">
        <w:t>3</w:t>
      </w:r>
      <w:r w:rsidR="00FC7CF8" w:rsidRPr="007B2B1F">
        <w:t>.</w:t>
      </w:r>
      <w:r w:rsidR="00FC7CF8" w:rsidRPr="007B2B1F">
        <w:tab/>
      </w:r>
      <w:r w:rsidR="00111981">
        <w:t xml:space="preserve">ISO 10298:2018 and </w:t>
      </w:r>
      <w:r w:rsidR="00152433">
        <w:t xml:space="preserve">its </w:t>
      </w:r>
      <w:r w:rsidR="00111981">
        <w:t xml:space="preserve">previous </w:t>
      </w:r>
      <w:r w:rsidR="00152433">
        <w:t xml:space="preserve">2010 </w:t>
      </w:r>
      <w:r w:rsidR="00111981">
        <w:t xml:space="preserve">edition were based on wide-ranging </w:t>
      </w:r>
      <w:r w:rsidR="00311AF1">
        <w:t xml:space="preserve">research into the latest toxicological data on these gases and the </w:t>
      </w:r>
      <w:r w:rsidR="005850BD">
        <w:t>standard</w:t>
      </w:r>
      <w:r w:rsidR="00311AF1">
        <w:t xml:space="preserve"> list</w:t>
      </w:r>
      <w:r w:rsidR="005850BD">
        <w:t>s</w:t>
      </w:r>
      <w:r w:rsidR="00311AF1">
        <w:t xml:space="preserve"> the references </w:t>
      </w:r>
      <w:r w:rsidR="008E6430">
        <w:t>on which these LC</w:t>
      </w:r>
      <w:r w:rsidR="008E6430" w:rsidRPr="008E6430">
        <w:rPr>
          <w:vertAlign w:val="subscript"/>
        </w:rPr>
        <w:t>50</w:t>
      </w:r>
      <w:r w:rsidR="008E6430">
        <w:t xml:space="preserve"> values were based.  The 1995 edition has proved to be a sound basis for P200 and there are relatively few changes given the fact that scientific knowledge continues to advance.</w:t>
      </w:r>
    </w:p>
    <w:p w:rsidR="00F65671" w:rsidRDefault="008E6430" w:rsidP="00926AD6">
      <w:pPr>
        <w:pStyle w:val="SingleTxtG"/>
      </w:pPr>
      <w:r>
        <w:t>4.</w:t>
      </w:r>
      <w:r>
        <w:tab/>
        <w:t>It is acknowledged by the proposers that all these chang</w:t>
      </w:r>
      <w:r w:rsidR="005850BD">
        <w:t xml:space="preserve">es show that these gases are less toxic than previously believed </w:t>
      </w:r>
      <w:r>
        <w:t>and</w:t>
      </w:r>
      <w:r w:rsidR="00152433">
        <w:t xml:space="preserve"> therefore the Sub-</w:t>
      </w:r>
      <w:r w:rsidR="005850BD">
        <w:t>Committee</w:t>
      </w:r>
      <w:r>
        <w:t xml:space="preserve"> may wish to seek independent advice before </w:t>
      </w:r>
      <w:r w:rsidR="005850BD">
        <w:t>agreeing to this proposal.</w:t>
      </w:r>
    </w:p>
    <w:p w:rsidR="00F65671" w:rsidRPr="00926AD6" w:rsidRDefault="00926AD6" w:rsidP="00926AD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0FB" w:rsidRPr="007B2B1F" w:rsidRDefault="005360FB" w:rsidP="00F65671">
      <w:pPr>
        <w:jc w:val="center"/>
      </w:pPr>
    </w:p>
    <w:sectPr w:rsidR="005360FB" w:rsidRPr="007B2B1F" w:rsidSect="00181506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80" w:rsidRDefault="00F90C80"/>
  </w:endnote>
  <w:endnote w:type="continuationSeparator" w:id="0">
    <w:p w:rsidR="00F90C80" w:rsidRDefault="00F90C80"/>
  </w:endnote>
  <w:endnote w:type="continuationNotice" w:id="1">
    <w:p w:rsidR="00F90C80" w:rsidRDefault="00F90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9D2A5B" w:rsidRDefault="00AA6F5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608C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9D2A5B" w:rsidRDefault="00AA6F5C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E6430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80" w:rsidRPr="000B175B" w:rsidRDefault="00F90C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0C80" w:rsidRPr="00FC68B7" w:rsidRDefault="00F90C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0C80" w:rsidRDefault="00F90C80"/>
  </w:footnote>
  <w:footnote w:id="2">
    <w:p w:rsidR="001F4E61" w:rsidRPr="001F4E61" w:rsidRDefault="001F4E61" w:rsidP="001F4E61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023445" w:rsidRDefault="00AA6F5C" w:rsidP="00023445">
    <w:pPr>
      <w:pStyle w:val="Header"/>
      <w:rPr>
        <w:szCs w:val="18"/>
      </w:rPr>
    </w:pPr>
    <w:r w:rsidRPr="00023445">
      <w:rPr>
        <w:szCs w:val="18"/>
      </w:rPr>
      <w:t>S</w:t>
    </w:r>
    <w:r>
      <w:rPr>
        <w:szCs w:val="18"/>
      </w:rPr>
      <w:t>T/SG/AC.10/C.3/201</w:t>
    </w:r>
    <w:r w:rsidR="00A15A38">
      <w:rPr>
        <w:szCs w:val="18"/>
      </w:rPr>
      <w:t>8</w:t>
    </w:r>
    <w:r w:rsidR="00926AD6">
      <w:rPr>
        <w:szCs w:val="18"/>
      </w:rPr>
      <w:t>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5C" w:rsidRPr="00023445" w:rsidRDefault="00AA6F5C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>
      <w:rPr>
        <w:szCs w:val="18"/>
      </w:rPr>
      <w:t>/SG/AC.10/C.3/201</w:t>
    </w:r>
    <w:r w:rsidR="00A15A38">
      <w:rPr>
        <w:szCs w:val="18"/>
      </w:rPr>
      <w:t>8</w:t>
    </w:r>
    <w:r>
      <w:rPr>
        <w:szCs w:val="18"/>
      </w:rP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D44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4041"/>
    <w:rsid w:val="000062D2"/>
    <w:rsid w:val="00007271"/>
    <w:rsid w:val="00021776"/>
    <w:rsid w:val="00023445"/>
    <w:rsid w:val="000274B3"/>
    <w:rsid w:val="00030391"/>
    <w:rsid w:val="00037350"/>
    <w:rsid w:val="00037C49"/>
    <w:rsid w:val="00037F90"/>
    <w:rsid w:val="00046B1F"/>
    <w:rsid w:val="00050F6B"/>
    <w:rsid w:val="00051986"/>
    <w:rsid w:val="00051B9C"/>
    <w:rsid w:val="00057447"/>
    <w:rsid w:val="00057E97"/>
    <w:rsid w:val="00066DF5"/>
    <w:rsid w:val="0006793E"/>
    <w:rsid w:val="00072C8C"/>
    <w:rsid w:val="000733B5"/>
    <w:rsid w:val="00077628"/>
    <w:rsid w:val="00081815"/>
    <w:rsid w:val="000862B1"/>
    <w:rsid w:val="00087B55"/>
    <w:rsid w:val="0009003C"/>
    <w:rsid w:val="0009020C"/>
    <w:rsid w:val="000931C0"/>
    <w:rsid w:val="000972A0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D2F52"/>
    <w:rsid w:val="000E0415"/>
    <w:rsid w:val="000E47CA"/>
    <w:rsid w:val="000F3402"/>
    <w:rsid w:val="00107320"/>
    <w:rsid w:val="001103AA"/>
    <w:rsid w:val="00111981"/>
    <w:rsid w:val="00112D01"/>
    <w:rsid w:val="0011666B"/>
    <w:rsid w:val="00117D3E"/>
    <w:rsid w:val="00121DE7"/>
    <w:rsid w:val="001234B8"/>
    <w:rsid w:val="00124839"/>
    <w:rsid w:val="001275B3"/>
    <w:rsid w:val="001370F8"/>
    <w:rsid w:val="00152433"/>
    <w:rsid w:val="00153694"/>
    <w:rsid w:val="00154A06"/>
    <w:rsid w:val="00155068"/>
    <w:rsid w:val="001608CE"/>
    <w:rsid w:val="00160E58"/>
    <w:rsid w:val="00165F3A"/>
    <w:rsid w:val="00173E78"/>
    <w:rsid w:val="00181506"/>
    <w:rsid w:val="00183C52"/>
    <w:rsid w:val="00197FE9"/>
    <w:rsid w:val="001A3501"/>
    <w:rsid w:val="001A354A"/>
    <w:rsid w:val="001B13A5"/>
    <w:rsid w:val="001B4B04"/>
    <w:rsid w:val="001C526E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21BB"/>
    <w:rsid w:val="001F4E61"/>
    <w:rsid w:val="001F602E"/>
    <w:rsid w:val="001F7435"/>
    <w:rsid w:val="00202CD0"/>
    <w:rsid w:val="00202DA8"/>
    <w:rsid w:val="0021157B"/>
    <w:rsid w:val="00211E0B"/>
    <w:rsid w:val="00231BA1"/>
    <w:rsid w:val="00234C80"/>
    <w:rsid w:val="0025047F"/>
    <w:rsid w:val="00260C8D"/>
    <w:rsid w:val="002653E7"/>
    <w:rsid w:val="00267F5F"/>
    <w:rsid w:val="00274EB4"/>
    <w:rsid w:val="00282200"/>
    <w:rsid w:val="00286B4D"/>
    <w:rsid w:val="0029049E"/>
    <w:rsid w:val="0029750B"/>
    <w:rsid w:val="00297EA8"/>
    <w:rsid w:val="002A4361"/>
    <w:rsid w:val="002A523D"/>
    <w:rsid w:val="002A603B"/>
    <w:rsid w:val="002A6B8F"/>
    <w:rsid w:val="002C03A0"/>
    <w:rsid w:val="002C18EF"/>
    <w:rsid w:val="002C674A"/>
    <w:rsid w:val="002D4643"/>
    <w:rsid w:val="002D4B6C"/>
    <w:rsid w:val="002E09CE"/>
    <w:rsid w:val="002F175C"/>
    <w:rsid w:val="003027FF"/>
    <w:rsid w:val="00302E18"/>
    <w:rsid w:val="0030721A"/>
    <w:rsid w:val="00307AB6"/>
    <w:rsid w:val="00311AF1"/>
    <w:rsid w:val="00320B22"/>
    <w:rsid w:val="003229D8"/>
    <w:rsid w:val="0034446B"/>
    <w:rsid w:val="00344559"/>
    <w:rsid w:val="003453B6"/>
    <w:rsid w:val="003461FF"/>
    <w:rsid w:val="00347DDB"/>
    <w:rsid w:val="00350DA4"/>
    <w:rsid w:val="00352709"/>
    <w:rsid w:val="00363336"/>
    <w:rsid w:val="00371178"/>
    <w:rsid w:val="00383179"/>
    <w:rsid w:val="00392301"/>
    <w:rsid w:val="003927BA"/>
    <w:rsid w:val="00392DE1"/>
    <w:rsid w:val="003A0690"/>
    <w:rsid w:val="003A6810"/>
    <w:rsid w:val="003B1CA9"/>
    <w:rsid w:val="003B4A67"/>
    <w:rsid w:val="003B5F03"/>
    <w:rsid w:val="003C2CC4"/>
    <w:rsid w:val="003D4B23"/>
    <w:rsid w:val="003E312F"/>
    <w:rsid w:val="003E3D8A"/>
    <w:rsid w:val="003E7B83"/>
    <w:rsid w:val="00407087"/>
    <w:rsid w:val="00410C89"/>
    <w:rsid w:val="0042129D"/>
    <w:rsid w:val="00422E03"/>
    <w:rsid w:val="00425DBB"/>
    <w:rsid w:val="00426B9B"/>
    <w:rsid w:val="004325CB"/>
    <w:rsid w:val="0043402F"/>
    <w:rsid w:val="00442A83"/>
    <w:rsid w:val="0045413A"/>
    <w:rsid w:val="0045495B"/>
    <w:rsid w:val="0048397A"/>
    <w:rsid w:val="004A0E10"/>
    <w:rsid w:val="004A12F2"/>
    <w:rsid w:val="004B4482"/>
    <w:rsid w:val="004B64EB"/>
    <w:rsid w:val="004C2461"/>
    <w:rsid w:val="004C333F"/>
    <w:rsid w:val="004C4010"/>
    <w:rsid w:val="004C40B9"/>
    <w:rsid w:val="004C4EE9"/>
    <w:rsid w:val="004C7462"/>
    <w:rsid w:val="004D4E04"/>
    <w:rsid w:val="004D5426"/>
    <w:rsid w:val="004D5ABD"/>
    <w:rsid w:val="004D7E81"/>
    <w:rsid w:val="004E0C05"/>
    <w:rsid w:val="004E15A8"/>
    <w:rsid w:val="004E5A51"/>
    <w:rsid w:val="004E77B2"/>
    <w:rsid w:val="004F2670"/>
    <w:rsid w:val="00503DEB"/>
    <w:rsid w:val="00504B2D"/>
    <w:rsid w:val="0052136D"/>
    <w:rsid w:val="00522B58"/>
    <w:rsid w:val="0052775E"/>
    <w:rsid w:val="00527D3F"/>
    <w:rsid w:val="00533623"/>
    <w:rsid w:val="00535C90"/>
    <w:rsid w:val="005360FB"/>
    <w:rsid w:val="005413FA"/>
    <w:rsid w:val="005420F2"/>
    <w:rsid w:val="00544E1B"/>
    <w:rsid w:val="0054542B"/>
    <w:rsid w:val="00546993"/>
    <w:rsid w:val="00552A39"/>
    <w:rsid w:val="005561E5"/>
    <w:rsid w:val="00560D99"/>
    <w:rsid w:val="005628B6"/>
    <w:rsid w:val="005850BD"/>
    <w:rsid w:val="00591D40"/>
    <w:rsid w:val="005A575C"/>
    <w:rsid w:val="005B3DB3"/>
    <w:rsid w:val="005B4E13"/>
    <w:rsid w:val="005B6F4B"/>
    <w:rsid w:val="005B7982"/>
    <w:rsid w:val="005C6FBC"/>
    <w:rsid w:val="005D2D66"/>
    <w:rsid w:val="005D4BE6"/>
    <w:rsid w:val="005D68F4"/>
    <w:rsid w:val="005E6A77"/>
    <w:rsid w:val="005F6DF9"/>
    <w:rsid w:val="005F7B75"/>
    <w:rsid w:val="006001EE"/>
    <w:rsid w:val="00605042"/>
    <w:rsid w:val="00605B54"/>
    <w:rsid w:val="00611232"/>
    <w:rsid w:val="00611681"/>
    <w:rsid w:val="00611FC4"/>
    <w:rsid w:val="00613196"/>
    <w:rsid w:val="006174F9"/>
    <w:rsid w:val="006176FB"/>
    <w:rsid w:val="00621BDE"/>
    <w:rsid w:val="00622024"/>
    <w:rsid w:val="00625568"/>
    <w:rsid w:val="00634B2E"/>
    <w:rsid w:val="00640B26"/>
    <w:rsid w:val="00652D0A"/>
    <w:rsid w:val="006623D5"/>
    <w:rsid w:val="00662BB6"/>
    <w:rsid w:val="00667F8F"/>
    <w:rsid w:val="00675ACA"/>
    <w:rsid w:val="00682C07"/>
    <w:rsid w:val="00684C21"/>
    <w:rsid w:val="006A155E"/>
    <w:rsid w:val="006A2530"/>
    <w:rsid w:val="006A6E31"/>
    <w:rsid w:val="006B30B8"/>
    <w:rsid w:val="006B5767"/>
    <w:rsid w:val="006C1296"/>
    <w:rsid w:val="006C3589"/>
    <w:rsid w:val="006C4652"/>
    <w:rsid w:val="006C5451"/>
    <w:rsid w:val="006C779F"/>
    <w:rsid w:val="006D37AF"/>
    <w:rsid w:val="006D3E0B"/>
    <w:rsid w:val="006D51D0"/>
    <w:rsid w:val="006E564B"/>
    <w:rsid w:val="006E638E"/>
    <w:rsid w:val="006E7191"/>
    <w:rsid w:val="006F01EF"/>
    <w:rsid w:val="006F0DDB"/>
    <w:rsid w:val="006F33DD"/>
    <w:rsid w:val="00700EE8"/>
    <w:rsid w:val="00703577"/>
    <w:rsid w:val="00705894"/>
    <w:rsid w:val="00715700"/>
    <w:rsid w:val="00720D0C"/>
    <w:rsid w:val="0072632A"/>
    <w:rsid w:val="00731FF0"/>
    <w:rsid w:val="007327D5"/>
    <w:rsid w:val="00741709"/>
    <w:rsid w:val="007429B8"/>
    <w:rsid w:val="007567AF"/>
    <w:rsid w:val="007611CF"/>
    <w:rsid w:val="007629C8"/>
    <w:rsid w:val="007642A4"/>
    <w:rsid w:val="0077047D"/>
    <w:rsid w:val="0078065F"/>
    <w:rsid w:val="00786E2F"/>
    <w:rsid w:val="007A2287"/>
    <w:rsid w:val="007B2B1F"/>
    <w:rsid w:val="007B6BA5"/>
    <w:rsid w:val="007C3390"/>
    <w:rsid w:val="007C4F4B"/>
    <w:rsid w:val="007E01E9"/>
    <w:rsid w:val="007E63F3"/>
    <w:rsid w:val="007F1888"/>
    <w:rsid w:val="007F6611"/>
    <w:rsid w:val="007F7106"/>
    <w:rsid w:val="008100FC"/>
    <w:rsid w:val="00811920"/>
    <w:rsid w:val="00815AD0"/>
    <w:rsid w:val="00817DBA"/>
    <w:rsid w:val="008242D7"/>
    <w:rsid w:val="008257B1"/>
    <w:rsid w:val="00826E9A"/>
    <w:rsid w:val="00843767"/>
    <w:rsid w:val="008458AA"/>
    <w:rsid w:val="008521A5"/>
    <w:rsid w:val="00853EBC"/>
    <w:rsid w:val="0086081B"/>
    <w:rsid w:val="0086171D"/>
    <w:rsid w:val="008679D9"/>
    <w:rsid w:val="00871389"/>
    <w:rsid w:val="00872459"/>
    <w:rsid w:val="00872DFA"/>
    <w:rsid w:val="008760E8"/>
    <w:rsid w:val="00882E80"/>
    <w:rsid w:val="00883999"/>
    <w:rsid w:val="00885B73"/>
    <w:rsid w:val="00887899"/>
    <w:rsid w:val="008878DE"/>
    <w:rsid w:val="008912EC"/>
    <w:rsid w:val="00892603"/>
    <w:rsid w:val="008979B1"/>
    <w:rsid w:val="008A6B25"/>
    <w:rsid w:val="008A6C4F"/>
    <w:rsid w:val="008B2335"/>
    <w:rsid w:val="008B5DF2"/>
    <w:rsid w:val="008B717B"/>
    <w:rsid w:val="008D2DF0"/>
    <w:rsid w:val="008D6F3C"/>
    <w:rsid w:val="008E0678"/>
    <w:rsid w:val="008E57F4"/>
    <w:rsid w:val="008E6430"/>
    <w:rsid w:val="008F03AD"/>
    <w:rsid w:val="0090194D"/>
    <w:rsid w:val="009079FF"/>
    <w:rsid w:val="00910A62"/>
    <w:rsid w:val="009119B2"/>
    <w:rsid w:val="0091237E"/>
    <w:rsid w:val="00916E19"/>
    <w:rsid w:val="009223CA"/>
    <w:rsid w:val="00926AD6"/>
    <w:rsid w:val="00927A75"/>
    <w:rsid w:val="009321E8"/>
    <w:rsid w:val="00932F3F"/>
    <w:rsid w:val="0093509F"/>
    <w:rsid w:val="00940F93"/>
    <w:rsid w:val="0094154D"/>
    <w:rsid w:val="00944398"/>
    <w:rsid w:val="0094558F"/>
    <w:rsid w:val="00954711"/>
    <w:rsid w:val="009554F4"/>
    <w:rsid w:val="009603D2"/>
    <w:rsid w:val="009605B0"/>
    <w:rsid w:val="00961690"/>
    <w:rsid w:val="00962F62"/>
    <w:rsid w:val="00965EE3"/>
    <w:rsid w:val="009665DB"/>
    <w:rsid w:val="00972CFB"/>
    <w:rsid w:val="009730AF"/>
    <w:rsid w:val="009760F3"/>
    <w:rsid w:val="009839CD"/>
    <w:rsid w:val="00983C3B"/>
    <w:rsid w:val="009873ED"/>
    <w:rsid w:val="00991F58"/>
    <w:rsid w:val="009969E0"/>
    <w:rsid w:val="009A016F"/>
    <w:rsid w:val="009A0E8D"/>
    <w:rsid w:val="009A0F88"/>
    <w:rsid w:val="009B1518"/>
    <w:rsid w:val="009B26E7"/>
    <w:rsid w:val="009C454F"/>
    <w:rsid w:val="009D2A5B"/>
    <w:rsid w:val="009E7FD0"/>
    <w:rsid w:val="009F4DE9"/>
    <w:rsid w:val="009F6A26"/>
    <w:rsid w:val="00A00A3F"/>
    <w:rsid w:val="00A01489"/>
    <w:rsid w:val="00A14A62"/>
    <w:rsid w:val="00A15A38"/>
    <w:rsid w:val="00A176A0"/>
    <w:rsid w:val="00A17DBF"/>
    <w:rsid w:val="00A2573C"/>
    <w:rsid w:val="00A3009E"/>
    <w:rsid w:val="00A3026E"/>
    <w:rsid w:val="00A338F1"/>
    <w:rsid w:val="00A35910"/>
    <w:rsid w:val="00A36DE6"/>
    <w:rsid w:val="00A43CEC"/>
    <w:rsid w:val="00A51C2B"/>
    <w:rsid w:val="00A658A6"/>
    <w:rsid w:val="00A72F22"/>
    <w:rsid w:val="00A7360F"/>
    <w:rsid w:val="00A748A6"/>
    <w:rsid w:val="00A74AB0"/>
    <w:rsid w:val="00A769F4"/>
    <w:rsid w:val="00A776B4"/>
    <w:rsid w:val="00A9176C"/>
    <w:rsid w:val="00A94361"/>
    <w:rsid w:val="00A9587B"/>
    <w:rsid w:val="00A97439"/>
    <w:rsid w:val="00AA293C"/>
    <w:rsid w:val="00AA3817"/>
    <w:rsid w:val="00AA4BD0"/>
    <w:rsid w:val="00AA6F5C"/>
    <w:rsid w:val="00AB1C7D"/>
    <w:rsid w:val="00AB232E"/>
    <w:rsid w:val="00AC6790"/>
    <w:rsid w:val="00AC72CA"/>
    <w:rsid w:val="00AE0FDA"/>
    <w:rsid w:val="00AE1804"/>
    <w:rsid w:val="00AE4A41"/>
    <w:rsid w:val="00AE76C0"/>
    <w:rsid w:val="00AF0E53"/>
    <w:rsid w:val="00B04B62"/>
    <w:rsid w:val="00B0538F"/>
    <w:rsid w:val="00B11BB4"/>
    <w:rsid w:val="00B136A4"/>
    <w:rsid w:val="00B22BC2"/>
    <w:rsid w:val="00B240A1"/>
    <w:rsid w:val="00B24349"/>
    <w:rsid w:val="00B30179"/>
    <w:rsid w:val="00B31895"/>
    <w:rsid w:val="00B421C1"/>
    <w:rsid w:val="00B45128"/>
    <w:rsid w:val="00B518AA"/>
    <w:rsid w:val="00B54EAD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58B2"/>
    <w:rsid w:val="00B86014"/>
    <w:rsid w:val="00B9414F"/>
    <w:rsid w:val="00BA4ED2"/>
    <w:rsid w:val="00BB7CD1"/>
    <w:rsid w:val="00BC38BF"/>
    <w:rsid w:val="00BC3FA0"/>
    <w:rsid w:val="00BC74E9"/>
    <w:rsid w:val="00BD28B6"/>
    <w:rsid w:val="00BE73BF"/>
    <w:rsid w:val="00BF68A8"/>
    <w:rsid w:val="00C00584"/>
    <w:rsid w:val="00C050DF"/>
    <w:rsid w:val="00C10FE6"/>
    <w:rsid w:val="00C11A03"/>
    <w:rsid w:val="00C14945"/>
    <w:rsid w:val="00C22C0C"/>
    <w:rsid w:val="00C33595"/>
    <w:rsid w:val="00C37144"/>
    <w:rsid w:val="00C40026"/>
    <w:rsid w:val="00C42B3C"/>
    <w:rsid w:val="00C4527F"/>
    <w:rsid w:val="00C463DD"/>
    <w:rsid w:val="00C4724C"/>
    <w:rsid w:val="00C557D6"/>
    <w:rsid w:val="00C60319"/>
    <w:rsid w:val="00C629A0"/>
    <w:rsid w:val="00C62C07"/>
    <w:rsid w:val="00C63D2D"/>
    <w:rsid w:val="00C64629"/>
    <w:rsid w:val="00C66798"/>
    <w:rsid w:val="00C745C3"/>
    <w:rsid w:val="00C84A21"/>
    <w:rsid w:val="00C90189"/>
    <w:rsid w:val="00CB3E03"/>
    <w:rsid w:val="00CB5F93"/>
    <w:rsid w:val="00CC1ADB"/>
    <w:rsid w:val="00CD305F"/>
    <w:rsid w:val="00CD6056"/>
    <w:rsid w:val="00CE4A8F"/>
    <w:rsid w:val="00CE53C4"/>
    <w:rsid w:val="00CF559A"/>
    <w:rsid w:val="00D0663B"/>
    <w:rsid w:val="00D07D06"/>
    <w:rsid w:val="00D17DC5"/>
    <w:rsid w:val="00D2031B"/>
    <w:rsid w:val="00D25FE2"/>
    <w:rsid w:val="00D43252"/>
    <w:rsid w:val="00D47EEA"/>
    <w:rsid w:val="00D550D4"/>
    <w:rsid w:val="00D669EA"/>
    <w:rsid w:val="00D66F7C"/>
    <w:rsid w:val="00D773DF"/>
    <w:rsid w:val="00D838E4"/>
    <w:rsid w:val="00D84C5B"/>
    <w:rsid w:val="00D85E66"/>
    <w:rsid w:val="00D9255F"/>
    <w:rsid w:val="00D94663"/>
    <w:rsid w:val="00D95303"/>
    <w:rsid w:val="00D978C6"/>
    <w:rsid w:val="00DA3C1C"/>
    <w:rsid w:val="00DA6DAD"/>
    <w:rsid w:val="00DB6229"/>
    <w:rsid w:val="00DB62C7"/>
    <w:rsid w:val="00DC179E"/>
    <w:rsid w:val="00DD6F43"/>
    <w:rsid w:val="00DE4B5B"/>
    <w:rsid w:val="00DF1772"/>
    <w:rsid w:val="00DF469C"/>
    <w:rsid w:val="00DF7EE9"/>
    <w:rsid w:val="00E0214B"/>
    <w:rsid w:val="00E046DF"/>
    <w:rsid w:val="00E15557"/>
    <w:rsid w:val="00E240D2"/>
    <w:rsid w:val="00E27346"/>
    <w:rsid w:val="00E300A7"/>
    <w:rsid w:val="00E36F73"/>
    <w:rsid w:val="00E41E29"/>
    <w:rsid w:val="00E428FB"/>
    <w:rsid w:val="00E46DAD"/>
    <w:rsid w:val="00E536D3"/>
    <w:rsid w:val="00E54C9E"/>
    <w:rsid w:val="00E71132"/>
    <w:rsid w:val="00E71610"/>
    <w:rsid w:val="00E71BC8"/>
    <w:rsid w:val="00E7260F"/>
    <w:rsid w:val="00E73F5D"/>
    <w:rsid w:val="00E77E4E"/>
    <w:rsid w:val="00E822CB"/>
    <w:rsid w:val="00E86A12"/>
    <w:rsid w:val="00E92A64"/>
    <w:rsid w:val="00E96630"/>
    <w:rsid w:val="00EB2884"/>
    <w:rsid w:val="00EC106A"/>
    <w:rsid w:val="00EC22C2"/>
    <w:rsid w:val="00EC5341"/>
    <w:rsid w:val="00EC73C8"/>
    <w:rsid w:val="00ED7A2A"/>
    <w:rsid w:val="00EE10AF"/>
    <w:rsid w:val="00EE32ED"/>
    <w:rsid w:val="00EE61F4"/>
    <w:rsid w:val="00EE6B3A"/>
    <w:rsid w:val="00EF1D7F"/>
    <w:rsid w:val="00F009F4"/>
    <w:rsid w:val="00F049A3"/>
    <w:rsid w:val="00F15FDD"/>
    <w:rsid w:val="00F2270C"/>
    <w:rsid w:val="00F2392F"/>
    <w:rsid w:val="00F31E5F"/>
    <w:rsid w:val="00F32BB7"/>
    <w:rsid w:val="00F37110"/>
    <w:rsid w:val="00F44668"/>
    <w:rsid w:val="00F454F0"/>
    <w:rsid w:val="00F6100A"/>
    <w:rsid w:val="00F61ACB"/>
    <w:rsid w:val="00F65671"/>
    <w:rsid w:val="00F66565"/>
    <w:rsid w:val="00F72EB8"/>
    <w:rsid w:val="00F74D57"/>
    <w:rsid w:val="00F76B2F"/>
    <w:rsid w:val="00F84187"/>
    <w:rsid w:val="00F90C80"/>
    <w:rsid w:val="00F93781"/>
    <w:rsid w:val="00FA2FE2"/>
    <w:rsid w:val="00FA7D7F"/>
    <w:rsid w:val="00FB1B60"/>
    <w:rsid w:val="00FB4DF6"/>
    <w:rsid w:val="00FB613B"/>
    <w:rsid w:val="00FC302D"/>
    <w:rsid w:val="00FC68B7"/>
    <w:rsid w:val="00FC6BBC"/>
    <w:rsid w:val="00FC7CF8"/>
    <w:rsid w:val="00FD1538"/>
    <w:rsid w:val="00FE106A"/>
    <w:rsid w:val="00FE298B"/>
    <w:rsid w:val="00FE595C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1C78720D-0E05-49F1-9D2F-DE6055C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9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037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745">
          <w:marLeft w:val="-8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BFCC-BF78-499E-9D9B-E8A2A871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2104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Manager/>
  <Company>CSD</Company>
  <LinksUpToDate>false</LinksUpToDate>
  <CharactersWithSpaces>2471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Laurence Berthet</cp:lastModifiedBy>
  <cp:revision>7</cp:revision>
  <cp:lastPrinted>2018-03-28T14:40:00Z</cp:lastPrinted>
  <dcterms:created xsi:type="dcterms:W3CDTF">2018-03-27T09:04:00Z</dcterms:created>
  <dcterms:modified xsi:type="dcterms:W3CDTF">2018-03-28T14:45:00Z</dcterms:modified>
  <cp:category/>
</cp:coreProperties>
</file>