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3214"/>
        <w:gridCol w:w="2930"/>
      </w:tblGrid>
      <w:tr w:rsidR="00C14945" w:rsidRPr="007B2B1F" w:rsidTr="00C14945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14945" w:rsidRPr="007B2B1F" w:rsidRDefault="00C14945" w:rsidP="00C14945">
            <w:pPr>
              <w:spacing w:after="80" w:line="340" w:lineRule="exact"/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14945" w:rsidRPr="007B2B1F" w:rsidRDefault="00C14945" w:rsidP="00C14945">
            <w:pPr>
              <w:spacing w:after="80" w:line="340" w:lineRule="exact"/>
              <w:rPr>
                <w:sz w:val="28"/>
                <w:szCs w:val="28"/>
              </w:rPr>
            </w:pPr>
            <w:r w:rsidRPr="007B2B1F">
              <w:rPr>
                <w:sz w:val="28"/>
                <w:szCs w:val="28"/>
              </w:rPr>
              <w:t>United Nations</w:t>
            </w:r>
          </w:p>
        </w:tc>
        <w:tc>
          <w:tcPr>
            <w:tcW w:w="6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14945" w:rsidRPr="007B2B1F" w:rsidRDefault="00C14945" w:rsidP="00A15A38">
            <w:pPr>
              <w:suppressAutoHyphens w:val="0"/>
              <w:spacing w:after="20"/>
              <w:jc w:val="right"/>
            </w:pPr>
            <w:r w:rsidRPr="007B2B1F">
              <w:rPr>
                <w:sz w:val="40"/>
              </w:rPr>
              <w:t>ST</w:t>
            </w:r>
            <w:r w:rsidR="00077628" w:rsidRPr="007B2B1F">
              <w:t>/SG/AC.10/C.3/201</w:t>
            </w:r>
            <w:r w:rsidR="00A15A38">
              <w:t>8</w:t>
            </w:r>
            <w:r w:rsidR="00077628" w:rsidRPr="007B2B1F">
              <w:t>/</w:t>
            </w:r>
            <w:r w:rsidR="00B50642">
              <w:t>23</w:t>
            </w:r>
          </w:p>
        </w:tc>
      </w:tr>
      <w:tr w:rsidR="00C14945" w:rsidRPr="007B2B1F" w:rsidTr="00C14945">
        <w:trPr>
          <w:trHeight w:val="2835"/>
        </w:trPr>
        <w:tc>
          <w:tcPr>
            <w:tcW w:w="12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C14945" w:rsidRPr="007B2B1F" w:rsidRDefault="0019169E" w:rsidP="00C14945">
            <w:pPr>
              <w:spacing w:before="120"/>
              <w:jc w:val="center"/>
            </w:pPr>
            <w:r w:rsidRPr="007B2B1F">
              <w:rPr>
                <w:noProof/>
                <w:lang w:eastAsia="en-GB"/>
              </w:rPr>
              <w:drawing>
                <wp:inline distT="0" distB="0" distL="0" distR="0">
                  <wp:extent cx="714375" cy="590550"/>
                  <wp:effectExtent l="0" t="0" r="0" b="0"/>
                  <wp:docPr id="1" name="Bild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C14945" w:rsidRPr="007B2B1F" w:rsidRDefault="00C14945" w:rsidP="00C14945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7B2B1F">
              <w:rPr>
                <w:b/>
                <w:sz w:val="40"/>
                <w:szCs w:val="40"/>
              </w:rPr>
              <w:t>Secretariat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C14945" w:rsidRPr="007B2B1F" w:rsidRDefault="00C14945" w:rsidP="00C14945">
            <w:pPr>
              <w:suppressAutoHyphens w:val="0"/>
              <w:spacing w:before="240" w:line="240" w:lineRule="exact"/>
            </w:pPr>
            <w:r w:rsidRPr="007B2B1F">
              <w:t>Distr.: General</w:t>
            </w:r>
          </w:p>
          <w:p w:rsidR="00C14945" w:rsidRPr="007B2B1F" w:rsidRDefault="00FC6BBC" w:rsidP="00C14945">
            <w:pPr>
              <w:suppressAutoHyphens w:val="0"/>
            </w:pPr>
            <w:r>
              <w:t>2</w:t>
            </w:r>
            <w:r w:rsidR="00953E97">
              <w:t>8</w:t>
            </w:r>
            <w:r w:rsidR="00C66798" w:rsidRPr="007B2B1F">
              <w:t xml:space="preserve"> March 201</w:t>
            </w:r>
            <w:r w:rsidR="000862B1">
              <w:t>8</w:t>
            </w:r>
          </w:p>
          <w:p w:rsidR="00C14945" w:rsidRPr="007B2B1F" w:rsidRDefault="00C14945" w:rsidP="00C14945">
            <w:pPr>
              <w:suppressAutoHyphens w:val="0"/>
            </w:pPr>
          </w:p>
          <w:p w:rsidR="00C14945" w:rsidRPr="007B2B1F" w:rsidRDefault="00C14945" w:rsidP="00C14945">
            <w:pPr>
              <w:suppressAutoHyphens w:val="0"/>
            </w:pPr>
            <w:r w:rsidRPr="007B2B1F">
              <w:t>Original: English</w:t>
            </w:r>
          </w:p>
        </w:tc>
      </w:tr>
    </w:tbl>
    <w:p w:rsidR="00C14945" w:rsidRPr="007B2B1F" w:rsidRDefault="00C14945" w:rsidP="00C14945">
      <w:pPr>
        <w:spacing w:before="120" w:after="120"/>
        <w:rPr>
          <w:b/>
          <w:sz w:val="24"/>
          <w:szCs w:val="24"/>
        </w:rPr>
      </w:pPr>
      <w:r w:rsidRPr="007B2B1F">
        <w:rPr>
          <w:b/>
          <w:sz w:val="24"/>
          <w:szCs w:val="24"/>
        </w:rPr>
        <w:t>Committee of Experts on the Transport of Dangerous Goods</w:t>
      </w:r>
      <w:r w:rsidRPr="007B2B1F">
        <w:rPr>
          <w:b/>
          <w:sz w:val="24"/>
          <w:szCs w:val="24"/>
        </w:rPr>
        <w:br/>
        <w:t>and on the Globally Harmonized System of Classification</w:t>
      </w:r>
      <w:r w:rsidRPr="007B2B1F">
        <w:rPr>
          <w:b/>
          <w:sz w:val="24"/>
          <w:szCs w:val="24"/>
        </w:rPr>
        <w:br/>
        <w:t>and Labelling of Chemicals</w:t>
      </w:r>
    </w:p>
    <w:p w:rsidR="00C14945" w:rsidRPr="007B2B1F" w:rsidRDefault="00C14945" w:rsidP="00C14945">
      <w:pPr>
        <w:spacing w:before="120"/>
        <w:rPr>
          <w:b/>
        </w:rPr>
      </w:pPr>
      <w:r w:rsidRPr="007B2B1F">
        <w:rPr>
          <w:b/>
        </w:rPr>
        <w:t>Sub-Committee of Experts on the Transport of Dangerous Goods</w:t>
      </w:r>
    </w:p>
    <w:p w:rsidR="00C14945" w:rsidRPr="007B2B1F" w:rsidRDefault="00953E97" w:rsidP="00C14945">
      <w:pPr>
        <w:spacing w:before="120"/>
        <w:rPr>
          <w:b/>
        </w:rPr>
      </w:pPr>
      <w:r>
        <w:rPr>
          <w:b/>
        </w:rPr>
        <w:t>Fifty-</w:t>
      </w:r>
      <w:r w:rsidR="00D85E66">
        <w:rPr>
          <w:b/>
        </w:rPr>
        <w:t>third</w:t>
      </w:r>
      <w:r w:rsidR="00C14945" w:rsidRPr="007B2B1F">
        <w:rPr>
          <w:b/>
        </w:rPr>
        <w:t xml:space="preserve"> session</w:t>
      </w:r>
    </w:p>
    <w:p w:rsidR="00C14945" w:rsidRPr="007B2B1F" w:rsidRDefault="00C14945" w:rsidP="00C14945">
      <w:r w:rsidRPr="007B2B1F">
        <w:t xml:space="preserve">Geneva, </w:t>
      </w:r>
      <w:r w:rsidR="001F50AE">
        <w:t>25 June</w:t>
      </w:r>
      <w:r w:rsidR="00FC6BBC">
        <w:t>-</w:t>
      </w:r>
      <w:r w:rsidR="00D85E66">
        <w:t>4</w:t>
      </w:r>
      <w:r w:rsidRPr="007B2B1F">
        <w:t xml:space="preserve"> </w:t>
      </w:r>
      <w:r w:rsidR="00D85E66">
        <w:t>July 2018</w:t>
      </w:r>
    </w:p>
    <w:p w:rsidR="00C14945" w:rsidRPr="007B2B1F" w:rsidRDefault="00C14945" w:rsidP="00C14945">
      <w:pPr>
        <w:rPr>
          <w:b/>
        </w:rPr>
      </w:pPr>
      <w:r w:rsidRPr="007B2B1F">
        <w:t xml:space="preserve">Item </w:t>
      </w:r>
      <w:r w:rsidR="00C42B3C" w:rsidRPr="007B2B1F">
        <w:t>5 (b)</w:t>
      </w:r>
      <w:r w:rsidRPr="007B2B1F">
        <w:t xml:space="preserve"> of the provisional agenda</w:t>
      </w:r>
      <w:r w:rsidRPr="007B2B1F">
        <w:rPr>
          <w:b/>
        </w:rPr>
        <w:t xml:space="preserve"> </w:t>
      </w:r>
      <w:r w:rsidRPr="007B2B1F">
        <w:rPr>
          <w:b/>
        </w:rPr>
        <w:br/>
      </w:r>
      <w:r w:rsidR="00C42B3C" w:rsidRPr="007B2B1F">
        <w:rPr>
          <w:b/>
        </w:rPr>
        <w:t xml:space="preserve">Transport of gases: miscellaneous </w:t>
      </w:r>
    </w:p>
    <w:p w:rsidR="000062D2" w:rsidRPr="007B2B1F" w:rsidRDefault="00C42B3C" w:rsidP="000062D2">
      <w:pPr>
        <w:pStyle w:val="HChG"/>
      </w:pPr>
      <w:r w:rsidRPr="007B2B1F">
        <w:tab/>
      </w:r>
      <w:r w:rsidRPr="007B2B1F">
        <w:tab/>
      </w:r>
      <w:r w:rsidR="004E15A8">
        <w:t>New and u</w:t>
      </w:r>
      <w:r w:rsidR="005413FA">
        <w:t>pdate</w:t>
      </w:r>
      <w:r w:rsidR="004E15A8">
        <w:t>d</w:t>
      </w:r>
      <w:r w:rsidR="005413FA">
        <w:t xml:space="preserve"> </w:t>
      </w:r>
      <w:r w:rsidR="000062D2" w:rsidRPr="007B2B1F">
        <w:t>ISO standard</w:t>
      </w:r>
      <w:r w:rsidRPr="007B2B1F">
        <w:t>s</w:t>
      </w:r>
      <w:r w:rsidR="00197FE9">
        <w:t xml:space="preserve"> in </w:t>
      </w:r>
      <w:r w:rsidR="00FD1538">
        <w:t>Class 2</w:t>
      </w:r>
    </w:p>
    <w:p w:rsidR="009B1518" w:rsidRPr="007B2B1F" w:rsidRDefault="002D4B6C" w:rsidP="001F602E">
      <w:pPr>
        <w:pStyle w:val="H1G"/>
        <w:jc w:val="both"/>
      </w:pPr>
      <w:r w:rsidRPr="007B2B1F">
        <w:tab/>
      </w:r>
      <w:r w:rsidRPr="007B2B1F">
        <w:tab/>
      </w:r>
      <w:r w:rsidR="009B1518" w:rsidRPr="007B2B1F">
        <w:t xml:space="preserve">Transmitted by the </w:t>
      </w:r>
      <w:r w:rsidR="00853EBC" w:rsidRPr="007B2B1F">
        <w:t>International Organisation for Standardisation (ISO</w:t>
      </w:r>
      <w:r w:rsidR="00077628" w:rsidRPr="007B2B1F">
        <w:t>)</w:t>
      </w:r>
      <w:r w:rsidR="001F50AE">
        <w:rPr>
          <w:rStyle w:val="FootnoteReference"/>
        </w:rPr>
        <w:footnoteReference w:id="2"/>
      </w:r>
    </w:p>
    <w:p w:rsidR="001D7F46" w:rsidRPr="007B2B1F" w:rsidRDefault="001E0B9E" w:rsidP="001F50AE">
      <w:pPr>
        <w:pStyle w:val="HChG"/>
      </w:pPr>
      <w:r w:rsidRPr="007B2B1F">
        <w:tab/>
      </w:r>
      <w:r w:rsidRPr="007B2B1F">
        <w:tab/>
      </w:r>
      <w:r w:rsidR="001D7F46" w:rsidRPr="001F50AE">
        <w:t>Introduction</w:t>
      </w:r>
    </w:p>
    <w:p w:rsidR="006C779F" w:rsidRDefault="00CC1ADB" w:rsidP="001F50AE">
      <w:pPr>
        <w:pStyle w:val="SingleTxtG"/>
      </w:pPr>
      <w:r w:rsidRPr="007B2B1F">
        <w:t>1.</w:t>
      </w:r>
      <w:r w:rsidRPr="007B2B1F">
        <w:tab/>
      </w:r>
      <w:r w:rsidR="00C42B3C" w:rsidRPr="007B2B1F">
        <w:t>T</w:t>
      </w:r>
      <w:r w:rsidR="0094154D" w:rsidRPr="007B2B1F">
        <w:t>he</w:t>
      </w:r>
      <w:r w:rsidR="006B5767">
        <w:t>se</w:t>
      </w:r>
      <w:r w:rsidR="0094154D" w:rsidRPr="007B2B1F">
        <w:t xml:space="preserve"> </w:t>
      </w:r>
      <w:r w:rsidR="00C42B3C" w:rsidRPr="007B2B1F">
        <w:t>proposa</w:t>
      </w:r>
      <w:r w:rsidR="0009003C" w:rsidRPr="007B2B1F">
        <w:t>l</w:t>
      </w:r>
      <w:r w:rsidR="006B5767">
        <w:t>s</w:t>
      </w:r>
      <w:r w:rsidR="0009003C" w:rsidRPr="007B2B1F">
        <w:t xml:space="preserve"> concern</w:t>
      </w:r>
      <w:r w:rsidR="006B5767">
        <w:t xml:space="preserve"> </w:t>
      </w:r>
      <w:r w:rsidR="00AA6F5C">
        <w:t>f</w:t>
      </w:r>
      <w:r w:rsidR="00817DBA">
        <w:t>ive</w:t>
      </w:r>
      <w:r w:rsidR="00953E97">
        <w:t xml:space="preserve"> standards of which</w:t>
      </w:r>
      <w:r w:rsidR="00AA6F5C">
        <w:t xml:space="preserve"> </w:t>
      </w:r>
      <w:r w:rsidR="006B5767">
        <w:t>three</w:t>
      </w:r>
      <w:r w:rsidR="0009003C" w:rsidRPr="007B2B1F">
        <w:t xml:space="preserve"> </w:t>
      </w:r>
      <w:r w:rsidR="00A74AB0" w:rsidRPr="007B2B1F">
        <w:t xml:space="preserve">are </w:t>
      </w:r>
      <w:r w:rsidR="0042129D">
        <w:t>new standards, one is a revised standard and one is an amendment.</w:t>
      </w:r>
      <w:r w:rsidR="00A74AB0" w:rsidRPr="007B2B1F">
        <w:t xml:space="preserve"> </w:t>
      </w:r>
    </w:p>
    <w:p w:rsidR="00C42B3C" w:rsidRPr="007B2B1F" w:rsidRDefault="00C42B3C" w:rsidP="001F50AE">
      <w:pPr>
        <w:pStyle w:val="SingleTxtG"/>
      </w:pPr>
      <w:r w:rsidRPr="007B2B1F">
        <w:t>The</w:t>
      </w:r>
      <w:r w:rsidR="0009003C" w:rsidRPr="007B2B1F">
        <w:t xml:space="preserve"> </w:t>
      </w:r>
      <w:r w:rsidR="00260C8D" w:rsidRPr="007B2B1F">
        <w:t xml:space="preserve">titles </w:t>
      </w:r>
      <w:r w:rsidR="00965EE3" w:rsidRPr="007B2B1F">
        <w:t xml:space="preserve">of the standards </w:t>
      </w:r>
      <w:r w:rsidRPr="007B2B1F">
        <w:t>are:</w:t>
      </w:r>
    </w:p>
    <w:p w:rsidR="0009003C" w:rsidRDefault="00E536D3" w:rsidP="00953E97">
      <w:pPr>
        <w:pStyle w:val="Bullet1G"/>
        <w:rPr>
          <w:color w:val="000000"/>
        </w:rPr>
      </w:pPr>
      <w:r w:rsidRPr="00E536D3">
        <w:t xml:space="preserve">ISO </w:t>
      </w:r>
      <w:r w:rsidR="0042129D">
        <w:t>10156</w:t>
      </w:r>
      <w:r w:rsidRPr="00E536D3">
        <w:t>:201</w:t>
      </w:r>
      <w:r w:rsidR="0042129D">
        <w:t>7</w:t>
      </w:r>
      <w:r>
        <w:t xml:space="preserve"> </w:t>
      </w:r>
      <w:r w:rsidRPr="00E536D3">
        <w:t xml:space="preserve">Gas cylinders </w:t>
      </w:r>
      <w:r w:rsidR="00DF1772">
        <w:t>–</w:t>
      </w:r>
      <w:r w:rsidRPr="00E536D3">
        <w:t xml:space="preserve"> </w:t>
      </w:r>
      <w:r w:rsidR="008D2DF0" w:rsidRPr="008D2DF0">
        <w:rPr>
          <w:lang w:val="en-US"/>
        </w:rPr>
        <w:t>Gases and gas mixtures</w:t>
      </w:r>
      <w:r w:rsidR="008D2DF0">
        <w:rPr>
          <w:lang w:val="en-US"/>
        </w:rPr>
        <w:t xml:space="preserve"> – </w:t>
      </w:r>
      <w:r w:rsidR="008D2DF0" w:rsidRPr="008D2DF0">
        <w:rPr>
          <w:lang w:val="en-US"/>
        </w:rPr>
        <w:t>Determination of fire potential and oxidizing ability for the selection of cylinder valve outlets</w:t>
      </w:r>
      <w:r w:rsidR="00C66798" w:rsidRPr="007B2B1F">
        <w:rPr>
          <w:color w:val="000000"/>
        </w:rPr>
        <w:t xml:space="preserve">; </w:t>
      </w:r>
    </w:p>
    <w:p w:rsidR="00AE1804" w:rsidRPr="007B2B1F" w:rsidRDefault="00AE1804" w:rsidP="00953E97">
      <w:pPr>
        <w:pStyle w:val="Bullet1G"/>
        <w:rPr>
          <w:color w:val="000000"/>
        </w:rPr>
      </w:pPr>
      <w:r>
        <w:rPr>
          <w:color w:val="000000"/>
        </w:rPr>
        <w:t xml:space="preserve">ISO 11119-4:2016 </w:t>
      </w:r>
      <w:r>
        <w:t>Gas cylinders – Refillable composite gas cylinders – Design, construction and testing – Part 4: Fully wrapped fibre reinforced composite gas cylinders up to 150 l with load-sharing welded metallic liners.</w:t>
      </w:r>
    </w:p>
    <w:p w:rsidR="00954711" w:rsidRPr="00954711" w:rsidRDefault="0078065F" w:rsidP="00953E97">
      <w:pPr>
        <w:pStyle w:val="Bullet1G"/>
        <w:rPr>
          <w:color w:val="000000"/>
        </w:rPr>
      </w:pPr>
      <w:r w:rsidRPr="0078065F">
        <w:rPr>
          <w:bCs/>
          <w:color w:val="000000"/>
          <w:lang w:val="en-US"/>
        </w:rPr>
        <w:t>ISO 142</w:t>
      </w:r>
      <w:r>
        <w:rPr>
          <w:bCs/>
          <w:color w:val="000000"/>
          <w:lang w:val="en-US"/>
        </w:rPr>
        <w:t xml:space="preserve">46:2014 + Amd.1:2017 </w:t>
      </w:r>
      <w:r w:rsidRPr="0078065F">
        <w:rPr>
          <w:color w:val="000000"/>
          <w:lang w:val="en-US"/>
        </w:rPr>
        <w:t>Gas cylinders — Cylinder valves — Manufacturing tests and examinations</w:t>
      </w:r>
      <w:r w:rsidR="00DF1772">
        <w:rPr>
          <w:color w:val="000000"/>
        </w:rPr>
        <w:t>;</w:t>
      </w:r>
    </w:p>
    <w:p w:rsidR="00FE298B" w:rsidRPr="00AF17DB" w:rsidRDefault="00FE298B" w:rsidP="00953E97">
      <w:pPr>
        <w:pStyle w:val="Bullet1G"/>
        <w:rPr>
          <w:lang w:val="en-US"/>
        </w:rPr>
      </w:pPr>
      <w:r w:rsidRPr="00FE298B">
        <w:rPr>
          <w:bCs/>
          <w:color w:val="000000"/>
          <w:lang w:val="en-US"/>
        </w:rPr>
        <w:t>ISO 17879:2017</w:t>
      </w:r>
      <w:r w:rsidRPr="00FE298B">
        <w:rPr>
          <w:color w:val="000000"/>
          <w:lang w:val="en-US"/>
        </w:rPr>
        <w:t xml:space="preserve"> Gas cylinders – Self-closing cylinder valves – Specification and type </w:t>
      </w:r>
      <w:r w:rsidRPr="00AF17DB">
        <w:rPr>
          <w:lang w:val="en-US"/>
        </w:rPr>
        <w:t>testing;</w:t>
      </w:r>
    </w:p>
    <w:p w:rsidR="006B5767" w:rsidRPr="00AF17DB" w:rsidRDefault="00DF1772" w:rsidP="00953E97">
      <w:pPr>
        <w:pStyle w:val="Bullet1G"/>
      </w:pPr>
      <w:r w:rsidRPr="00AF17DB">
        <w:t>ISO 2</w:t>
      </w:r>
      <w:r w:rsidR="00FE298B" w:rsidRPr="00AF17DB">
        <w:t>0</w:t>
      </w:r>
      <w:r w:rsidRPr="00AF17DB">
        <w:t>4</w:t>
      </w:r>
      <w:r w:rsidR="00FE298B" w:rsidRPr="00AF17DB">
        <w:t>75</w:t>
      </w:r>
      <w:r w:rsidR="00C16653" w:rsidRPr="00AF17DB">
        <w:t>:201</w:t>
      </w:r>
      <w:r w:rsidR="00FE298B" w:rsidRPr="00AF17DB">
        <w:t>8</w:t>
      </w:r>
      <w:r w:rsidRPr="00AF17DB">
        <w:t xml:space="preserve"> </w:t>
      </w:r>
      <w:r w:rsidR="0054542B" w:rsidRPr="00AF17DB">
        <w:rPr>
          <w:lang w:val="en-US"/>
        </w:rPr>
        <w:t>Gas cylinders -- Cylinder bundles -- Periodic inspection and testing</w:t>
      </w:r>
      <w:r w:rsidRPr="00AF17DB">
        <w:t>;</w:t>
      </w:r>
    </w:p>
    <w:p w:rsidR="00C42B3C" w:rsidRPr="00AF17DB" w:rsidRDefault="00953E97" w:rsidP="001F50AE">
      <w:pPr>
        <w:pStyle w:val="SingleTxtG"/>
      </w:pPr>
      <w:r>
        <w:lastRenderedPageBreak/>
        <w:t>2.</w:t>
      </w:r>
      <w:r>
        <w:tab/>
      </w:r>
      <w:r w:rsidR="00DE4B5B" w:rsidRPr="00AF17DB">
        <w:t xml:space="preserve">The </w:t>
      </w:r>
      <w:r w:rsidR="00C42B3C" w:rsidRPr="00AF17DB">
        <w:t xml:space="preserve">usual arrangements have been made with the Secretariat to circulate PDF copies of these documents to the </w:t>
      </w:r>
      <w:r w:rsidR="004E15A8" w:rsidRPr="00AF17DB">
        <w:t>E</w:t>
      </w:r>
      <w:r w:rsidR="00C42B3C" w:rsidRPr="00AF17DB">
        <w:t xml:space="preserve">xperts. </w:t>
      </w:r>
    </w:p>
    <w:p w:rsidR="00E06DD7" w:rsidRPr="00AF17DB" w:rsidRDefault="00953E97" w:rsidP="00872459">
      <w:pPr>
        <w:pStyle w:val="Default"/>
        <w:spacing w:after="120"/>
        <w:ind w:left="1134" w:right="1134"/>
        <w:jc w:val="both"/>
        <w:rPr>
          <w:color w:val="auto"/>
          <w:sz w:val="20"/>
          <w:szCs w:val="20"/>
          <w:lang w:val="en-GB"/>
        </w:rPr>
      </w:pPr>
      <w:r>
        <w:rPr>
          <w:color w:val="auto"/>
          <w:sz w:val="20"/>
          <w:szCs w:val="20"/>
          <w:lang w:val="en-GB"/>
        </w:rPr>
        <w:t>3.</w:t>
      </w:r>
      <w:r>
        <w:rPr>
          <w:color w:val="auto"/>
          <w:sz w:val="20"/>
          <w:szCs w:val="20"/>
          <w:lang w:val="en-GB"/>
        </w:rPr>
        <w:tab/>
      </w:r>
      <w:r w:rsidR="00E06DD7" w:rsidRPr="00AF17DB">
        <w:rPr>
          <w:color w:val="auto"/>
          <w:sz w:val="20"/>
          <w:szCs w:val="20"/>
          <w:lang w:val="en-GB"/>
        </w:rPr>
        <w:t>Also, it is proposed to delete a superseded standard for periodic inspection of acetylene cylinders.</w:t>
      </w:r>
    </w:p>
    <w:p w:rsidR="00021776" w:rsidRPr="007B2B1F" w:rsidRDefault="001F50AE" w:rsidP="00953E97">
      <w:pPr>
        <w:pStyle w:val="HChG"/>
      </w:pPr>
      <w:r>
        <w:tab/>
      </w:r>
      <w:r>
        <w:tab/>
      </w:r>
      <w:r w:rsidR="00021776" w:rsidRPr="007B2B1F">
        <w:t>Proposal 1</w:t>
      </w:r>
    </w:p>
    <w:p w:rsidR="009730AF" w:rsidRPr="007B2B1F" w:rsidRDefault="00953E97" w:rsidP="003461FF">
      <w:pPr>
        <w:pStyle w:val="SingleTxtG"/>
        <w:rPr>
          <w:i/>
        </w:rPr>
      </w:pPr>
      <w:r>
        <w:t>4</w:t>
      </w:r>
      <w:r w:rsidR="0029750B" w:rsidRPr="007B2B1F">
        <w:t>.</w:t>
      </w:r>
      <w:r w:rsidR="0029750B" w:rsidRPr="007B2B1F">
        <w:tab/>
      </w:r>
      <w:r w:rsidR="009A016F">
        <w:t>Replace ‘ISO 1</w:t>
      </w:r>
      <w:r w:rsidR="006F33DD">
        <w:t>0156</w:t>
      </w:r>
      <w:r w:rsidR="003A0690">
        <w:t>:2010</w:t>
      </w:r>
      <w:r w:rsidR="009A016F">
        <w:t xml:space="preserve">’ </w:t>
      </w:r>
      <w:r w:rsidR="003B4A67">
        <w:t>with</w:t>
      </w:r>
      <w:r w:rsidR="009A016F">
        <w:t xml:space="preserve"> ‘</w:t>
      </w:r>
      <w:r w:rsidR="006F33DD">
        <w:t>ISO 10156</w:t>
      </w:r>
      <w:r w:rsidR="009A016F">
        <w:t>:201</w:t>
      </w:r>
      <w:r w:rsidR="006F33DD">
        <w:t>7</w:t>
      </w:r>
      <w:r w:rsidR="009A016F">
        <w:t xml:space="preserve">’ in the following places: </w:t>
      </w:r>
      <w:r w:rsidR="006F33DD">
        <w:t>2.2.2.1 (a) (ii)</w:t>
      </w:r>
      <w:r w:rsidR="003A0690">
        <w:t>,</w:t>
      </w:r>
      <w:r w:rsidR="006F33DD">
        <w:t xml:space="preserve"> </w:t>
      </w:r>
      <w:r w:rsidR="003A0690">
        <w:t xml:space="preserve">in the </w:t>
      </w:r>
      <w:r w:rsidR="003A0690" w:rsidRPr="003B4A67">
        <w:rPr>
          <w:b/>
          <w:i/>
        </w:rPr>
        <w:t>NOTE</w:t>
      </w:r>
      <w:r w:rsidR="003A0690">
        <w:t xml:space="preserve"> </w:t>
      </w:r>
      <w:r w:rsidR="000972A0">
        <w:t>following</w:t>
      </w:r>
      <w:r w:rsidR="003A0690">
        <w:t xml:space="preserve"> 2.2.2.1 (b) (iii), in 2.2.3 </w:t>
      </w:r>
      <w:r w:rsidR="002A523D">
        <w:t>(</w:t>
      </w:r>
      <w:r w:rsidR="00CD6056">
        <w:t xml:space="preserve">a) </w:t>
      </w:r>
      <w:r w:rsidR="003B4A67">
        <w:t xml:space="preserve">and </w:t>
      </w:r>
      <w:r w:rsidR="00CD6056">
        <w:t>in</w:t>
      </w:r>
      <w:r w:rsidR="003B4A67">
        <w:t xml:space="preserve"> 2.2.3 (d).</w:t>
      </w:r>
    </w:p>
    <w:p w:rsidR="00BC38BF" w:rsidRPr="007B2B1F" w:rsidRDefault="001F50AE" w:rsidP="001F50AE">
      <w:pPr>
        <w:pStyle w:val="H1G"/>
      </w:pPr>
      <w:r>
        <w:tab/>
      </w:r>
      <w:r>
        <w:tab/>
      </w:r>
      <w:r w:rsidR="00BC38BF" w:rsidRPr="007B2B1F">
        <w:t>Justification</w:t>
      </w:r>
    </w:p>
    <w:p w:rsidR="00EB2884" w:rsidRPr="007B2B1F" w:rsidRDefault="00953E97" w:rsidP="001F50AE">
      <w:pPr>
        <w:pStyle w:val="SingleTxtG"/>
      </w:pPr>
      <w:r>
        <w:t>5</w:t>
      </w:r>
      <w:r w:rsidR="00FC7CF8" w:rsidRPr="007B2B1F">
        <w:t>.</w:t>
      </w:r>
      <w:r w:rsidR="00FC7CF8" w:rsidRPr="007B2B1F">
        <w:tab/>
      </w:r>
      <w:r w:rsidR="00173E78">
        <w:t xml:space="preserve">ISO 10156:1996 was referenced at least as long ago as the </w:t>
      </w:r>
      <w:r>
        <w:t xml:space="preserve">twelfth revised edition of the </w:t>
      </w:r>
      <w:r w:rsidR="00173E78">
        <w:t xml:space="preserve">Model </w:t>
      </w:r>
      <w:r w:rsidR="00173E78" w:rsidRPr="001F50AE">
        <w:t>Regulations</w:t>
      </w:r>
      <w:r w:rsidR="00173E78">
        <w:t xml:space="preserve"> for the tests an</w:t>
      </w:r>
      <w:r>
        <w:t xml:space="preserve">d calculation of flammability. </w:t>
      </w:r>
      <w:r w:rsidR="002C03A0">
        <w:t xml:space="preserve">The </w:t>
      </w:r>
      <w:r>
        <w:t>fifteenth</w:t>
      </w:r>
      <w:r w:rsidR="002C03A0">
        <w:t xml:space="preserve"> </w:t>
      </w:r>
      <w:r>
        <w:t>r</w:t>
      </w:r>
      <w:r w:rsidR="002C03A0">
        <w:t>evis</w:t>
      </w:r>
      <w:r>
        <w:t>ed edition</w:t>
      </w:r>
      <w:r w:rsidR="002C03A0">
        <w:t xml:space="preserve"> of the Model Regulations saw the introduction of ISO 10156-2:2005 </w:t>
      </w:r>
      <w:r w:rsidR="00173E78">
        <w:t xml:space="preserve">which </w:t>
      </w:r>
      <w:r w:rsidR="002C03A0">
        <w:t xml:space="preserve">added the methods </w:t>
      </w:r>
      <w:r w:rsidR="00F65671">
        <w:t xml:space="preserve">of </w:t>
      </w:r>
      <w:r w:rsidR="00173E78">
        <w:t xml:space="preserve">test and calculation </w:t>
      </w:r>
      <w:r w:rsidR="00F65671">
        <w:t>for</w:t>
      </w:r>
      <w:r w:rsidR="00173E78">
        <w:t xml:space="preserve"> oxidising ability. </w:t>
      </w:r>
      <w:r w:rsidR="00F72EB8">
        <w:t xml:space="preserve"> </w:t>
      </w:r>
      <w:r w:rsidR="002C03A0">
        <w:t>T</w:t>
      </w:r>
      <w:r w:rsidR="00F72EB8">
        <w:t xml:space="preserve">hese two standards were </w:t>
      </w:r>
      <w:r w:rsidR="002C03A0">
        <w:t xml:space="preserve">subsequently </w:t>
      </w:r>
      <w:r w:rsidR="00F72EB8">
        <w:t>merged into ISO 10156:</w:t>
      </w:r>
      <w:r w:rsidR="002C03A0">
        <w:t>2010</w:t>
      </w:r>
      <w:r w:rsidR="00F72EB8">
        <w:t>.</w:t>
      </w:r>
      <w:r w:rsidR="002C03A0">
        <w:t xml:space="preserve"> </w:t>
      </w:r>
      <w:r w:rsidR="00173E78">
        <w:t xml:space="preserve"> </w:t>
      </w:r>
      <w:r w:rsidR="004C4010">
        <w:t xml:space="preserve">ISO 10156:2017 updates the standard by adding a </w:t>
      </w:r>
      <w:r w:rsidR="004C4010" w:rsidRPr="004C4010">
        <w:rPr>
          <w:lang w:val="en-US"/>
        </w:rPr>
        <w:t xml:space="preserve">calculation method for </w:t>
      </w:r>
      <w:r w:rsidR="004C4010">
        <w:rPr>
          <w:lang w:val="en-US"/>
        </w:rPr>
        <w:t xml:space="preserve">determining the </w:t>
      </w:r>
      <w:r w:rsidR="004C4010" w:rsidRPr="004C4010">
        <w:rPr>
          <w:lang w:val="en-US"/>
        </w:rPr>
        <w:t>lower flammability limit of gas mixtures</w:t>
      </w:r>
      <w:r w:rsidR="00EC5341">
        <w:rPr>
          <w:lang w:val="en-US"/>
        </w:rPr>
        <w:t>.</w:t>
      </w:r>
    </w:p>
    <w:p w:rsidR="00EC5341" w:rsidRDefault="001F50AE" w:rsidP="00953E97">
      <w:pPr>
        <w:pStyle w:val="HChG"/>
      </w:pPr>
      <w:r>
        <w:tab/>
      </w:r>
      <w:r>
        <w:tab/>
      </w:r>
      <w:r w:rsidR="00EC5341" w:rsidRPr="00720D0C">
        <w:t xml:space="preserve">Proposal </w:t>
      </w:r>
      <w:r w:rsidR="00EC5341">
        <w:t>2</w:t>
      </w:r>
    </w:p>
    <w:p w:rsidR="00EC5341" w:rsidRDefault="00953E97" w:rsidP="00EC5341">
      <w:pPr>
        <w:ind w:left="1134" w:right="1134"/>
        <w:jc w:val="both"/>
      </w:pPr>
      <w:r>
        <w:t>6</w:t>
      </w:r>
      <w:r w:rsidR="00EC5341">
        <w:t>.</w:t>
      </w:r>
      <w:r w:rsidR="00EC5341">
        <w:tab/>
        <w:t>In 6.2.2.1.1 add the following new row to the end of the table (after ISO 11119-3:2013):</w:t>
      </w:r>
    </w:p>
    <w:p w:rsidR="00EC5341" w:rsidRDefault="00EC5341" w:rsidP="00EC5341">
      <w:pPr>
        <w:ind w:left="1134" w:right="1134"/>
      </w:pP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4820"/>
        <w:gridCol w:w="1275"/>
      </w:tblGrid>
      <w:tr w:rsidR="00EC5341" w:rsidRPr="00AA6F5C" w:rsidTr="006A6E31">
        <w:tc>
          <w:tcPr>
            <w:tcW w:w="1384" w:type="dxa"/>
            <w:shd w:val="clear" w:color="auto" w:fill="auto"/>
          </w:tcPr>
          <w:p w:rsidR="00EC5341" w:rsidRPr="00AA6F5C" w:rsidRDefault="009873ED" w:rsidP="006A6E31">
            <w:r>
              <w:t>ISO </w:t>
            </w:r>
            <w:r w:rsidR="00EC5341" w:rsidRPr="00AA6F5C">
              <w:t>11119-4:</w:t>
            </w:r>
            <w:r>
              <w:t xml:space="preserve"> </w:t>
            </w:r>
            <w:r w:rsidR="00EC5341" w:rsidRPr="00AA6F5C">
              <w:t xml:space="preserve">2016 </w:t>
            </w:r>
          </w:p>
        </w:tc>
        <w:tc>
          <w:tcPr>
            <w:tcW w:w="4820" w:type="dxa"/>
            <w:shd w:val="clear" w:color="auto" w:fill="auto"/>
          </w:tcPr>
          <w:p w:rsidR="00EC5341" w:rsidRPr="00AA6F5C" w:rsidRDefault="00EC5341" w:rsidP="006A6E31">
            <w:r w:rsidRPr="00AA6F5C">
              <w:t>Gas cylinders – Refillable composite gas cylinders – Design, construction and testing – Part 4: Fully wrapped fibre reinforced composite gas cylinders up to 150 l with load-sharing welded metallic liners</w:t>
            </w:r>
          </w:p>
        </w:tc>
        <w:tc>
          <w:tcPr>
            <w:tcW w:w="1275" w:type="dxa"/>
            <w:shd w:val="clear" w:color="auto" w:fill="auto"/>
          </w:tcPr>
          <w:p w:rsidR="00EC5341" w:rsidRPr="00AA6F5C" w:rsidRDefault="00EC5341" w:rsidP="006A6E31">
            <w:r w:rsidRPr="00AA6F5C">
              <w:t>Until further notice</w:t>
            </w:r>
          </w:p>
        </w:tc>
      </w:tr>
    </w:tbl>
    <w:p w:rsidR="00EC5341" w:rsidRPr="007B2B1F" w:rsidRDefault="00953E97" w:rsidP="001F50AE">
      <w:pPr>
        <w:pStyle w:val="H1G"/>
      </w:pPr>
      <w:r>
        <w:tab/>
      </w:r>
      <w:r>
        <w:tab/>
        <w:t>Justification</w:t>
      </w:r>
    </w:p>
    <w:p w:rsidR="00EC5341" w:rsidRDefault="00953E97" w:rsidP="00EC5341">
      <w:pPr>
        <w:ind w:left="1134" w:right="1134"/>
        <w:jc w:val="both"/>
      </w:pPr>
      <w:r>
        <w:t>7</w:t>
      </w:r>
      <w:r w:rsidR="00EC5341">
        <w:t>.</w:t>
      </w:r>
      <w:r w:rsidR="00EC5341">
        <w:tab/>
        <w:t>The first three parts of the ISO 11119 series cover various designs of composite cylinders with a seamless liner.  This fourth part defines the requirements for design, construction and testing of composite cylinders with a welded metallic liner.  This proposal was</w:t>
      </w:r>
      <w:r w:rsidR="00F44668">
        <w:t xml:space="preserve"> previously</w:t>
      </w:r>
      <w:r w:rsidR="00EC5341">
        <w:t xml:space="preserve"> included in paper </w:t>
      </w:r>
      <w:r w:rsidR="00C33595" w:rsidRPr="00C33595">
        <w:t>ST/SG/AC.10/C.3/2017/17</w:t>
      </w:r>
      <w:r w:rsidR="00C33595">
        <w:t xml:space="preserve"> presented at the fifty first session of this Sub Committee.  The proposal was withdrawn for further </w:t>
      </w:r>
      <w:r w:rsidR="005B7982">
        <w:t xml:space="preserve">discussion on </w:t>
      </w:r>
      <w:r w:rsidR="00C33595">
        <w:t xml:space="preserve">technical </w:t>
      </w:r>
      <w:r w:rsidR="005B7982">
        <w:t>issues</w:t>
      </w:r>
      <w:r w:rsidR="00C33595">
        <w:t xml:space="preserve"> which are</w:t>
      </w:r>
      <w:r w:rsidR="005B7982">
        <w:t xml:space="preserve"> all</w:t>
      </w:r>
      <w:r w:rsidR="00C33595">
        <w:t xml:space="preserve"> now resolved</w:t>
      </w:r>
      <w:r w:rsidR="005B7982">
        <w:t>.</w:t>
      </w:r>
    </w:p>
    <w:p w:rsidR="00720D0C" w:rsidRPr="00720D0C" w:rsidRDefault="001F50AE" w:rsidP="00953E97">
      <w:pPr>
        <w:pStyle w:val="HChG"/>
      </w:pPr>
      <w:r>
        <w:tab/>
      </w:r>
      <w:r>
        <w:tab/>
      </w:r>
      <w:r w:rsidR="00720D0C" w:rsidRPr="00720D0C">
        <w:t>Proposal 3</w:t>
      </w:r>
    </w:p>
    <w:p w:rsidR="006C4652" w:rsidRDefault="00953E97" w:rsidP="004E5A51">
      <w:pPr>
        <w:pStyle w:val="SingleTxtG"/>
      </w:pPr>
      <w:r>
        <w:t>8</w:t>
      </w:r>
      <w:r w:rsidR="006F0DDB" w:rsidRPr="007B2B1F">
        <w:t>.</w:t>
      </w:r>
      <w:r w:rsidR="006F0DDB" w:rsidRPr="007B2B1F">
        <w:tab/>
      </w:r>
      <w:r w:rsidR="006D3E0B">
        <w:t xml:space="preserve">In </w:t>
      </w:r>
      <w:r w:rsidR="00E46DAD">
        <w:t>6.2.2.3</w:t>
      </w:r>
      <w:r w:rsidR="006D3E0B">
        <w:t xml:space="preserve"> </w:t>
      </w:r>
      <w:r w:rsidR="007A2287">
        <w:t xml:space="preserve">in the row starting ISO 14246:2014 replace ‘Until further notice’ with </w:t>
      </w:r>
      <w:r w:rsidR="001A3501">
        <w:t>‘</w:t>
      </w:r>
      <w:r w:rsidR="007A2287">
        <w:t>Un</w:t>
      </w:r>
      <w:r w:rsidR="001A3501">
        <w:t>til 31 December 202</w:t>
      </w:r>
      <w:r w:rsidR="00344559">
        <w:t>4</w:t>
      </w:r>
      <w:r w:rsidR="001A3501">
        <w:t>’.  Insert a</w:t>
      </w:r>
      <w:r w:rsidR="007A2287">
        <w:t xml:space="preserve"> new row beneath this row as follows:</w:t>
      </w: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4"/>
        <w:gridCol w:w="4820"/>
        <w:gridCol w:w="1275"/>
      </w:tblGrid>
      <w:tr w:rsidR="007A2287" w:rsidRPr="00AA6F5C" w:rsidTr="006A6E31">
        <w:tc>
          <w:tcPr>
            <w:tcW w:w="1384" w:type="dxa"/>
            <w:shd w:val="clear" w:color="auto" w:fill="auto"/>
          </w:tcPr>
          <w:p w:rsidR="007A2287" w:rsidRPr="00AA6F5C" w:rsidRDefault="009873ED" w:rsidP="007A2287">
            <w:r>
              <w:t>ISO </w:t>
            </w:r>
            <w:r w:rsidR="007A2287">
              <w:t>14246</w:t>
            </w:r>
            <w:r w:rsidR="007A2287" w:rsidRPr="00AA6F5C">
              <w:t>:201</w:t>
            </w:r>
            <w:r w:rsidR="007A2287">
              <w:t xml:space="preserve">4 + </w:t>
            </w:r>
            <w:proofErr w:type="spellStart"/>
            <w:r w:rsidR="007A2287">
              <w:t>Amd</w:t>
            </w:r>
            <w:proofErr w:type="spellEnd"/>
            <w:r w:rsidR="007A2287">
              <w:t xml:space="preserve"> 1:2017</w:t>
            </w:r>
            <w:r w:rsidR="007A2287" w:rsidRPr="00AA6F5C">
              <w:t xml:space="preserve"> </w:t>
            </w:r>
          </w:p>
        </w:tc>
        <w:tc>
          <w:tcPr>
            <w:tcW w:w="4820" w:type="dxa"/>
            <w:shd w:val="clear" w:color="auto" w:fill="auto"/>
          </w:tcPr>
          <w:p w:rsidR="007A2287" w:rsidRPr="00AA6F5C" w:rsidRDefault="007A2287" w:rsidP="000862B1">
            <w:r w:rsidRPr="00AA6F5C">
              <w:t xml:space="preserve">Gas cylinders – </w:t>
            </w:r>
            <w:r w:rsidR="001A3501">
              <w:rPr>
                <w:lang w:val="en-US"/>
              </w:rPr>
              <w:t>Cylinder valves –</w:t>
            </w:r>
            <w:r w:rsidR="001A3501" w:rsidRPr="001A3501">
              <w:rPr>
                <w:lang w:val="en-US"/>
              </w:rPr>
              <w:t xml:space="preserve"> Manufacturing tests and examinations</w:t>
            </w:r>
          </w:p>
        </w:tc>
        <w:tc>
          <w:tcPr>
            <w:tcW w:w="1275" w:type="dxa"/>
            <w:shd w:val="clear" w:color="auto" w:fill="auto"/>
          </w:tcPr>
          <w:p w:rsidR="007A2287" w:rsidRPr="00AA6F5C" w:rsidRDefault="007A2287" w:rsidP="006A6E31">
            <w:r w:rsidRPr="00AA6F5C">
              <w:t>Until further notice</w:t>
            </w:r>
          </w:p>
        </w:tc>
      </w:tr>
    </w:tbl>
    <w:p w:rsidR="004E5A51" w:rsidRPr="007B2B1F" w:rsidRDefault="004E5A51" w:rsidP="00953E97">
      <w:pPr>
        <w:pStyle w:val="H1G"/>
        <w:spacing w:before="240" w:after="120"/>
      </w:pPr>
      <w:r w:rsidRPr="007B2B1F">
        <w:tab/>
      </w:r>
      <w:r w:rsidRPr="007B2B1F">
        <w:tab/>
        <w:t>Justification</w:t>
      </w:r>
    </w:p>
    <w:p w:rsidR="005360FB" w:rsidRPr="007B2B1F" w:rsidRDefault="00953E97" w:rsidP="001F50AE">
      <w:pPr>
        <w:pStyle w:val="SingleTxtG"/>
      </w:pPr>
      <w:r>
        <w:t>9</w:t>
      </w:r>
      <w:r w:rsidR="004E5A51" w:rsidRPr="007B2B1F">
        <w:t>.</w:t>
      </w:r>
      <w:r w:rsidR="004E5A51" w:rsidRPr="007B2B1F">
        <w:tab/>
      </w:r>
      <w:r w:rsidR="001A3501" w:rsidRPr="0009020C">
        <w:t>This is a short amendment specifying the pressures to be used in the pressure</w:t>
      </w:r>
      <w:r w:rsidR="001A3501">
        <w:rPr>
          <w:sz w:val="22"/>
          <w:szCs w:val="22"/>
          <w:lang w:val="en-US"/>
        </w:rPr>
        <w:t xml:space="preserve"> test and lea</w:t>
      </w:r>
      <w:r w:rsidR="001A3501">
        <w:t>kproofness test of acetylene valves.</w:t>
      </w:r>
    </w:p>
    <w:p w:rsidR="001A3501" w:rsidRPr="00720D0C" w:rsidRDefault="001F50AE" w:rsidP="00953E97">
      <w:pPr>
        <w:pStyle w:val="HChG"/>
      </w:pPr>
      <w:r>
        <w:lastRenderedPageBreak/>
        <w:tab/>
      </w:r>
      <w:r>
        <w:tab/>
      </w:r>
      <w:r w:rsidR="001A3501" w:rsidRPr="00720D0C">
        <w:t xml:space="preserve">Proposal </w:t>
      </w:r>
      <w:r w:rsidR="001A3501">
        <w:t>4</w:t>
      </w:r>
    </w:p>
    <w:p w:rsidR="007429B8" w:rsidRDefault="00953E97" w:rsidP="001F50AE">
      <w:pPr>
        <w:pStyle w:val="SingleTxtG"/>
      </w:pPr>
      <w:r>
        <w:t>10</w:t>
      </w:r>
      <w:r w:rsidR="00634B2E">
        <w:t>.</w:t>
      </w:r>
      <w:r w:rsidR="00634B2E">
        <w:tab/>
        <w:t xml:space="preserve">In 4.1.6.1.8 after the </w:t>
      </w:r>
      <w:r w:rsidR="0009020C">
        <w:t>paragraph</w:t>
      </w:r>
      <w:r w:rsidR="00634B2E">
        <w:t xml:space="preserve"> </w:t>
      </w:r>
      <w:r w:rsidR="00FB4DF6">
        <w:t xml:space="preserve">starting </w:t>
      </w:r>
      <w:r w:rsidR="0009020C">
        <w:t>‘For pressure receptacles with valves …’ and ending ‘…annex A of ISO10297:2014 shall be met.’ Insert a new paragraph as follows:</w:t>
      </w:r>
    </w:p>
    <w:p w:rsidR="0009020C" w:rsidRDefault="001F50AE" w:rsidP="001F50AE">
      <w:pPr>
        <w:spacing w:after="120"/>
        <w:ind w:left="1701" w:right="1134"/>
        <w:jc w:val="both"/>
      </w:pPr>
      <w:r>
        <w:t>“</w:t>
      </w:r>
      <w:r w:rsidR="0009020C">
        <w:t>For pressure receptacles with self-closing valves with inherent protection, the requirements of annex A of ISO 17879:2017 shall be met.</w:t>
      </w:r>
      <w:r>
        <w:t>”</w:t>
      </w:r>
    </w:p>
    <w:p w:rsidR="0009020C" w:rsidRDefault="00953E97" w:rsidP="009873ED">
      <w:pPr>
        <w:spacing w:after="120"/>
        <w:ind w:left="1134" w:right="1134"/>
        <w:jc w:val="both"/>
      </w:pPr>
      <w:r>
        <w:t>11.</w:t>
      </w:r>
      <w:r>
        <w:tab/>
      </w:r>
      <w:r w:rsidR="0009020C">
        <w:t>In the table in 6.2.2.3 add a new row at the end as follows:</w:t>
      </w: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4"/>
        <w:gridCol w:w="4820"/>
        <w:gridCol w:w="1275"/>
      </w:tblGrid>
      <w:tr w:rsidR="00B31895" w:rsidRPr="00AA6F5C" w:rsidTr="006A6E31">
        <w:tc>
          <w:tcPr>
            <w:tcW w:w="1384" w:type="dxa"/>
            <w:shd w:val="clear" w:color="auto" w:fill="auto"/>
          </w:tcPr>
          <w:p w:rsidR="00B31895" w:rsidRPr="00AA6F5C" w:rsidRDefault="009873ED" w:rsidP="00B31895">
            <w:r>
              <w:t>ISO </w:t>
            </w:r>
            <w:r w:rsidR="00B31895">
              <w:t>17879</w:t>
            </w:r>
            <w:r w:rsidR="00B31895" w:rsidRPr="00AA6F5C">
              <w:t>:201</w:t>
            </w:r>
            <w:r w:rsidR="00B31895">
              <w:t>7</w:t>
            </w:r>
          </w:p>
        </w:tc>
        <w:tc>
          <w:tcPr>
            <w:tcW w:w="4820" w:type="dxa"/>
            <w:shd w:val="clear" w:color="auto" w:fill="auto"/>
          </w:tcPr>
          <w:p w:rsidR="00B31895" w:rsidRPr="00AA6F5C" w:rsidRDefault="00B31895" w:rsidP="00CE53C4">
            <w:r w:rsidRPr="00AA6F5C">
              <w:t xml:space="preserve">Gas cylinders – </w:t>
            </w:r>
            <w:r w:rsidR="00CE53C4">
              <w:rPr>
                <w:lang w:val="en-US"/>
              </w:rPr>
              <w:t>Self-closing cylinder valves –</w:t>
            </w:r>
            <w:r w:rsidR="00CE53C4" w:rsidRPr="00CE53C4">
              <w:rPr>
                <w:lang w:val="en-US"/>
              </w:rPr>
              <w:t xml:space="preserve"> Specification and type testing</w:t>
            </w:r>
          </w:p>
        </w:tc>
        <w:tc>
          <w:tcPr>
            <w:tcW w:w="1275" w:type="dxa"/>
            <w:shd w:val="clear" w:color="auto" w:fill="auto"/>
          </w:tcPr>
          <w:p w:rsidR="00B31895" w:rsidRPr="00AA6F5C" w:rsidRDefault="00B31895" w:rsidP="006A6E31">
            <w:r w:rsidRPr="00AA6F5C">
              <w:t>Until further notice</w:t>
            </w:r>
          </w:p>
        </w:tc>
      </w:tr>
    </w:tbl>
    <w:p w:rsidR="00CE53C4" w:rsidRPr="007B2B1F" w:rsidRDefault="00953E97" w:rsidP="001F50AE">
      <w:pPr>
        <w:pStyle w:val="H1G"/>
      </w:pPr>
      <w:r>
        <w:tab/>
      </w:r>
      <w:r>
        <w:tab/>
        <w:t>Justification</w:t>
      </w:r>
    </w:p>
    <w:p w:rsidR="005413FA" w:rsidRDefault="00953E97" w:rsidP="009873ED">
      <w:pPr>
        <w:spacing w:after="120"/>
        <w:ind w:left="1134" w:right="1134"/>
        <w:jc w:val="both"/>
      </w:pPr>
      <w:r>
        <w:t>12</w:t>
      </w:r>
      <w:r w:rsidR="00A17DBF">
        <w:t>.</w:t>
      </w:r>
      <w:r w:rsidR="00A17DBF">
        <w:tab/>
      </w:r>
      <w:r w:rsidR="00CE53C4">
        <w:t>ISO 17879:2017 is a new standard for self-closing valves which are used for calibration gases and gases used in the beverage industry although they may be found in other applications</w:t>
      </w:r>
      <w:r w:rsidR="00991F58">
        <w:t xml:space="preserve"> such as medical gases</w:t>
      </w:r>
      <w:r w:rsidR="00CE53C4">
        <w:t>.</w:t>
      </w:r>
      <w:r w:rsidR="00991F58">
        <w:t xml:space="preserve">  It is not applicable to </w:t>
      </w:r>
      <w:r w:rsidR="00A17DBF">
        <w:t>liquefied petroleum gases</w:t>
      </w:r>
      <w:r w:rsidR="00991F58">
        <w:t>.</w:t>
      </w:r>
    </w:p>
    <w:p w:rsidR="00A17DBF" w:rsidRDefault="00A17DBF" w:rsidP="00953E97">
      <w:pPr>
        <w:pStyle w:val="HChG"/>
      </w:pPr>
      <w:r>
        <w:tab/>
      </w:r>
      <w:r>
        <w:tab/>
      </w:r>
      <w:r w:rsidRPr="00A17DBF">
        <w:t>Proposal 5</w:t>
      </w:r>
    </w:p>
    <w:p w:rsidR="00A17DBF" w:rsidRDefault="00953E97" w:rsidP="002D141D">
      <w:pPr>
        <w:spacing w:after="120"/>
        <w:ind w:left="1134" w:right="1134"/>
        <w:jc w:val="both"/>
      </w:pPr>
      <w:r>
        <w:t>13</w:t>
      </w:r>
      <w:r w:rsidR="00F009F4">
        <w:t>.</w:t>
      </w:r>
      <w:r w:rsidR="00F009F4">
        <w:tab/>
      </w:r>
      <w:r w:rsidR="00E06187" w:rsidRPr="00E06187">
        <w:t>In 6.2.2.4 add a new row at the end of the first table immediately after the row starting ISO 22434:2006 as follows.</w:t>
      </w: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4"/>
        <w:gridCol w:w="4820"/>
        <w:gridCol w:w="1275"/>
      </w:tblGrid>
      <w:tr w:rsidR="006B30B8" w:rsidRPr="00AA6F5C" w:rsidTr="006A6E31">
        <w:tc>
          <w:tcPr>
            <w:tcW w:w="1384" w:type="dxa"/>
            <w:shd w:val="clear" w:color="auto" w:fill="auto"/>
          </w:tcPr>
          <w:p w:rsidR="006B30B8" w:rsidRPr="00AA6F5C" w:rsidRDefault="009873ED" w:rsidP="006B30B8">
            <w:r>
              <w:t>ISO </w:t>
            </w:r>
            <w:r w:rsidR="006B30B8">
              <w:t>20475</w:t>
            </w:r>
            <w:r w:rsidR="006B30B8" w:rsidRPr="00AA6F5C">
              <w:t>:201</w:t>
            </w:r>
            <w:r w:rsidR="006B30B8">
              <w:t>8</w:t>
            </w:r>
          </w:p>
        </w:tc>
        <w:tc>
          <w:tcPr>
            <w:tcW w:w="4820" w:type="dxa"/>
            <w:shd w:val="clear" w:color="auto" w:fill="auto"/>
          </w:tcPr>
          <w:p w:rsidR="006B30B8" w:rsidRPr="00AA6F5C" w:rsidRDefault="00F009F4" w:rsidP="009873ED">
            <w:r w:rsidRPr="00F009F4">
              <w:rPr>
                <w:lang w:val="en-US"/>
              </w:rPr>
              <w:t>G</w:t>
            </w:r>
            <w:r>
              <w:rPr>
                <w:lang w:val="en-US"/>
              </w:rPr>
              <w:t>as cylinders – Cylinder bundles –</w:t>
            </w:r>
            <w:r w:rsidRPr="00F009F4">
              <w:rPr>
                <w:lang w:val="en-US"/>
              </w:rPr>
              <w:t xml:space="preserve"> Periodic inspection and testing</w:t>
            </w:r>
          </w:p>
        </w:tc>
        <w:tc>
          <w:tcPr>
            <w:tcW w:w="1275" w:type="dxa"/>
            <w:shd w:val="clear" w:color="auto" w:fill="auto"/>
          </w:tcPr>
          <w:p w:rsidR="006B30B8" w:rsidRPr="00AA6F5C" w:rsidRDefault="006B30B8" w:rsidP="006A6E31">
            <w:r w:rsidRPr="00AA6F5C">
              <w:t>Until further notice</w:t>
            </w:r>
          </w:p>
        </w:tc>
      </w:tr>
    </w:tbl>
    <w:p w:rsidR="006B30B8" w:rsidRDefault="009873ED" w:rsidP="001F50AE">
      <w:pPr>
        <w:pStyle w:val="H1G"/>
      </w:pPr>
      <w:r>
        <w:tab/>
      </w:r>
      <w:r>
        <w:tab/>
      </w:r>
      <w:r w:rsidR="00953E97">
        <w:t>Justification</w:t>
      </w:r>
    </w:p>
    <w:p w:rsidR="009873ED" w:rsidRPr="00AF17DB" w:rsidRDefault="00953E97" w:rsidP="009873ED">
      <w:pPr>
        <w:ind w:left="1134" w:right="1134"/>
        <w:jc w:val="both"/>
      </w:pPr>
      <w:r>
        <w:t>14</w:t>
      </w:r>
      <w:r w:rsidR="002D141D">
        <w:t>.</w:t>
      </w:r>
      <w:r w:rsidR="002D141D">
        <w:tab/>
        <w:t>T</w:t>
      </w:r>
      <w:r w:rsidR="009873ED">
        <w:t>he standard ISO 10961:2010</w:t>
      </w:r>
      <w:r w:rsidR="00944398">
        <w:t>,</w:t>
      </w:r>
      <w:r w:rsidR="009873ED">
        <w:t xml:space="preserve"> </w:t>
      </w:r>
      <w:r w:rsidR="003027FF">
        <w:t xml:space="preserve">which gives the requirements for the design, construction and initial inspection and test for bundles </w:t>
      </w:r>
      <w:r w:rsidR="00944398">
        <w:t xml:space="preserve">of cylinders, </w:t>
      </w:r>
      <w:r w:rsidR="009873ED">
        <w:t xml:space="preserve">has been in the Model Regulations </w:t>
      </w:r>
      <w:r w:rsidR="003027FF">
        <w:t>since the 18</w:t>
      </w:r>
      <w:r w:rsidR="003027FF" w:rsidRPr="003027FF">
        <w:rPr>
          <w:vertAlign w:val="superscript"/>
        </w:rPr>
        <w:t>th</w:t>
      </w:r>
      <w:r w:rsidR="003027FF">
        <w:t xml:space="preserve"> revision but there has been no detailed procedure for their periodic inspection and test.  </w:t>
      </w:r>
      <w:r w:rsidR="002D141D" w:rsidRPr="00AF17DB">
        <w:t xml:space="preserve">The standard ISO 20475 provides this detailed procedure. </w:t>
      </w:r>
      <w:r w:rsidR="003027FF" w:rsidRPr="00AF17DB">
        <w:t xml:space="preserve">As well as </w:t>
      </w:r>
      <w:r w:rsidR="00944398" w:rsidRPr="00AF17DB">
        <w:t xml:space="preserve">covering </w:t>
      </w:r>
      <w:r w:rsidR="003027FF" w:rsidRPr="00AF17DB">
        <w:t xml:space="preserve">periodic inspection, the standard also </w:t>
      </w:r>
      <w:r w:rsidR="00944398" w:rsidRPr="00AF17DB">
        <w:t>establishes general principles for the maintenance of bundles of cylinders.</w:t>
      </w:r>
    </w:p>
    <w:p w:rsidR="00F65671" w:rsidRDefault="00E06DD7" w:rsidP="00953E97">
      <w:pPr>
        <w:pStyle w:val="HChG"/>
      </w:pPr>
      <w:r w:rsidRPr="00AF17DB">
        <w:tab/>
      </w:r>
      <w:r w:rsidRPr="00AF17DB">
        <w:tab/>
        <w:t>Proposal 6</w:t>
      </w:r>
    </w:p>
    <w:p w:rsidR="00953E97" w:rsidRDefault="00953E97" w:rsidP="00953E97">
      <w:pPr>
        <w:pStyle w:val="H1G"/>
      </w:pPr>
      <w:r>
        <w:tab/>
      </w:r>
      <w:r>
        <w:tab/>
        <w:t>Justification</w:t>
      </w:r>
    </w:p>
    <w:p w:rsidR="00953E97" w:rsidRPr="00953E97" w:rsidRDefault="00953E97" w:rsidP="00953E97">
      <w:pPr>
        <w:pStyle w:val="SingleTxtG"/>
      </w:pPr>
      <w:r>
        <w:t>15.</w:t>
      </w:r>
      <w:r>
        <w:tab/>
        <w:t>In 6.2.2.4 delete the row for ISO 10462:2005.</w:t>
      </w:r>
    </w:p>
    <w:p w:rsidR="00F65671" w:rsidRPr="00AF17DB" w:rsidRDefault="00953E97" w:rsidP="00E06DD7">
      <w:pPr>
        <w:ind w:left="1134" w:right="1134"/>
        <w:jc w:val="both"/>
      </w:pPr>
      <w:r>
        <w:t>16</w:t>
      </w:r>
      <w:r w:rsidR="00E06DD7" w:rsidRPr="00AF17DB">
        <w:t>.</w:t>
      </w:r>
      <w:r w:rsidR="00E06DD7" w:rsidRPr="00AF17DB">
        <w:tab/>
        <w:t xml:space="preserve">ISO 10462:2005 Gas cylinders – </w:t>
      </w:r>
      <w:r w:rsidR="00321B4C" w:rsidRPr="00AF17DB">
        <w:t xml:space="preserve">Transportable cylinders for dissolved acetylene – Periodic inspection and maintenance, </w:t>
      </w:r>
      <w:r w:rsidR="00E06DD7" w:rsidRPr="00AF17DB">
        <w:t>is no longer applicable after the end of 2018 and this reference should be deleted from the table in 6.2.2.4.</w:t>
      </w:r>
      <w:r w:rsidR="00321B4C" w:rsidRPr="00AF17DB">
        <w:t xml:space="preserve"> </w:t>
      </w:r>
    </w:p>
    <w:p w:rsidR="00F65671" w:rsidRPr="001F50AE" w:rsidRDefault="001F50AE" w:rsidP="001F50AE">
      <w:pPr>
        <w:spacing w:before="240"/>
        <w:ind w:left="1134" w:right="1134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65671" w:rsidRPr="007B2B1F" w:rsidRDefault="00F65671" w:rsidP="00F65671">
      <w:pPr>
        <w:jc w:val="center"/>
      </w:pPr>
    </w:p>
    <w:p w:rsidR="005360FB" w:rsidRPr="007B2B1F" w:rsidRDefault="005360FB" w:rsidP="00F65671">
      <w:pPr>
        <w:jc w:val="center"/>
      </w:pPr>
    </w:p>
    <w:sectPr w:rsidR="005360FB" w:rsidRPr="007B2B1F" w:rsidSect="00181506">
      <w:headerReference w:type="even" r:id="rId9"/>
      <w:headerReference w:type="default" r:id="rId10"/>
      <w:footerReference w:type="even" r:id="rId11"/>
      <w:footerReference w:type="default" r:id="rId12"/>
      <w:footnotePr>
        <w:numFmt w:val="chicago"/>
      </w:footnotePr>
      <w:endnotePr>
        <w:numFmt w:val="decimal"/>
      </w:endnotePr>
      <w:type w:val="continuous"/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3266" w:rsidRDefault="00413266"/>
  </w:endnote>
  <w:endnote w:type="continuationSeparator" w:id="0">
    <w:p w:rsidR="00413266" w:rsidRDefault="00413266"/>
  </w:endnote>
  <w:endnote w:type="continuationNotice" w:id="1">
    <w:p w:rsidR="00413266" w:rsidRDefault="0041326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6F5C" w:rsidRPr="009D2A5B" w:rsidRDefault="00AA6F5C" w:rsidP="009D2A5B">
    <w:pPr>
      <w:pStyle w:val="Footer"/>
      <w:tabs>
        <w:tab w:val="right" w:pos="9598"/>
      </w:tabs>
    </w:pPr>
    <w:r w:rsidRPr="009D2A5B">
      <w:rPr>
        <w:b/>
        <w:sz w:val="18"/>
      </w:rPr>
      <w:fldChar w:fldCharType="begin"/>
    </w:r>
    <w:r w:rsidRPr="009D2A5B">
      <w:rPr>
        <w:b/>
        <w:sz w:val="18"/>
      </w:rPr>
      <w:instrText xml:space="preserve"> PAGE  \* MERGEFORMAT </w:instrText>
    </w:r>
    <w:r w:rsidRPr="009D2A5B">
      <w:rPr>
        <w:b/>
        <w:sz w:val="18"/>
      </w:rPr>
      <w:fldChar w:fldCharType="separate"/>
    </w:r>
    <w:r w:rsidR="009A4BFF">
      <w:rPr>
        <w:b/>
        <w:noProof/>
        <w:sz w:val="18"/>
      </w:rPr>
      <w:t>2</w:t>
    </w:r>
    <w:r w:rsidRPr="009D2A5B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6F5C" w:rsidRPr="009D2A5B" w:rsidRDefault="00AA6F5C" w:rsidP="009D2A5B">
    <w:pPr>
      <w:pStyle w:val="Footer"/>
      <w:tabs>
        <w:tab w:val="right" w:pos="9598"/>
      </w:tabs>
      <w:rPr>
        <w:b/>
        <w:sz w:val="18"/>
      </w:rPr>
    </w:pPr>
    <w:r>
      <w:tab/>
    </w:r>
    <w:r w:rsidRPr="009D2A5B">
      <w:rPr>
        <w:b/>
        <w:sz w:val="18"/>
      </w:rPr>
      <w:fldChar w:fldCharType="begin"/>
    </w:r>
    <w:r w:rsidRPr="009D2A5B">
      <w:rPr>
        <w:b/>
        <w:sz w:val="18"/>
      </w:rPr>
      <w:instrText xml:space="preserve"> PAGE  \* MERGEFORMAT </w:instrText>
    </w:r>
    <w:r w:rsidRPr="009D2A5B">
      <w:rPr>
        <w:b/>
        <w:sz w:val="18"/>
      </w:rPr>
      <w:fldChar w:fldCharType="separate"/>
    </w:r>
    <w:r w:rsidR="009A4BFF">
      <w:rPr>
        <w:b/>
        <w:noProof/>
        <w:sz w:val="18"/>
      </w:rPr>
      <w:t>3</w:t>
    </w:r>
    <w:r w:rsidRPr="009D2A5B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3266" w:rsidRPr="000B175B" w:rsidRDefault="00413266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413266" w:rsidRPr="00FC68B7" w:rsidRDefault="00413266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413266" w:rsidRDefault="00413266"/>
  </w:footnote>
  <w:footnote w:id="2">
    <w:p w:rsidR="001F50AE" w:rsidRPr="001F50AE" w:rsidRDefault="001F50AE" w:rsidP="009A4BFF">
      <w:pPr>
        <w:pStyle w:val="FootnoteText"/>
        <w:ind w:firstLine="0"/>
        <w:rPr>
          <w:lang w:val="fr-CH"/>
        </w:rPr>
      </w:pPr>
      <w:r>
        <w:rPr>
          <w:rStyle w:val="FootnoteReference"/>
        </w:rPr>
        <w:footnoteRef/>
      </w:r>
      <w:r>
        <w:t xml:space="preserve"> </w:t>
      </w:r>
      <w:bookmarkStart w:id="0" w:name="_GoBack"/>
      <w:r w:rsidRPr="0086261F">
        <w:rPr>
          <w:color w:val="000000"/>
          <w:lang w:eastAsia="en-GB"/>
        </w:rPr>
        <w:t>In accordance with the programme of work of the Sub-Committee for</w:t>
      </w:r>
      <w:r w:rsidRPr="0086261F">
        <w:t xml:space="preserve"> 201</w:t>
      </w:r>
      <w:r>
        <w:t>7</w:t>
      </w:r>
      <w:r w:rsidRPr="0086261F">
        <w:t>–201</w:t>
      </w:r>
      <w:r>
        <w:t>8</w:t>
      </w:r>
      <w:r w:rsidRPr="0086261F">
        <w:t xml:space="preserve"> approved by the Committee at its </w:t>
      </w:r>
      <w:r>
        <w:t>eigh</w:t>
      </w:r>
      <w:r w:rsidRPr="0086261F">
        <w:t>th session (see ST/SG/AC.10/C.3/</w:t>
      </w:r>
      <w:r w:rsidRPr="00284946">
        <w:t>100, paragra</w:t>
      </w:r>
      <w:r>
        <w:t>ph 98 and ST/SG/AC.10/44, para. </w:t>
      </w:r>
      <w:r w:rsidRPr="00284946">
        <w:t>14</w:t>
      </w:r>
      <w:r w:rsidRPr="0086261F">
        <w:t>)</w:t>
      </w:r>
      <w:r w:rsidRPr="0086261F">
        <w:rPr>
          <w:color w:val="000000"/>
          <w:lang w:eastAsia="en-GB"/>
        </w:rPr>
        <w:t>.</w:t>
      </w:r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6F5C" w:rsidRPr="00023445" w:rsidRDefault="00AA6F5C" w:rsidP="00023445">
    <w:pPr>
      <w:pStyle w:val="Header"/>
      <w:rPr>
        <w:szCs w:val="18"/>
      </w:rPr>
    </w:pPr>
    <w:r w:rsidRPr="00023445">
      <w:rPr>
        <w:szCs w:val="18"/>
      </w:rPr>
      <w:t>S</w:t>
    </w:r>
    <w:r>
      <w:rPr>
        <w:szCs w:val="18"/>
      </w:rPr>
      <w:t>T/SG/AC.10/C.3/201</w:t>
    </w:r>
    <w:r w:rsidR="00A15A38">
      <w:rPr>
        <w:szCs w:val="18"/>
      </w:rPr>
      <w:t>8</w:t>
    </w:r>
    <w:r w:rsidR="001F50AE">
      <w:rPr>
        <w:szCs w:val="18"/>
      </w:rPr>
      <w:t>/23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6F5C" w:rsidRPr="00023445" w:rsidRDefault="00AA6F5C" w:rsidP="00023445">
    <w:pPr>
      <w:pStyle w:val="Header"/>
      <w:jc w:val="right"/>
      <w:rPr>
        <w:szCs w:val="18"/>
      </w:rPr>
    </w:pPr>
    <w:r w:rsidRPr="00023445">
      <w:rPr>
        <w:szCs w:val="18"/>
      </w:rPr>
      <w:t>ST</w:t>
    </w:r>
    <w:r>
      <w:rPr>
        <w:szCs w:val="18"/>
      </w:rPr>
      <w:t>/SG/AC.10/C.3/201</w:t>
    </w:r>
    <w:r w:rsidR="00A15A38">
      <w:rPr>
        <w:szCs w:val="18"/>
      </w:rPr>
      <w:t>8</w:t>
    </w:r>
    <w:r w:rsidR="001F50AE">
      <w:rPr>
        <w:szCs w:val="18"/>
      </w:rPr>
      <w:t>/23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4C4C8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10C49F8"/>
    <w:multiLevelType w:val="hybridMultilevel"/>
    <w:tmpl w:val="57E679C2"/>
    <w:lvl w:ilvl="0" w:tplc="075A6416">
      <w:start w:val="1"/>
      <w:numFmt w:val="decimal"/>
      <w:pStyle w:val="ParaNoG"/>
      <w:lvlText w:val="%1."/>
      <w:lvlJc w:val="left"/>
      <w:pPr>
        <w:tabs>
          <w:tab w:val="num" w:pos="1494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0D3C5898"/>
    <w:multiLevelType w:val="hybridMultilevel"/>
    <w:tmpl w:val="46CA02CC"/>
    <w:lvl w:ilvl="0" w:tplc="1528F3B0">
      <w:numFmt w:val="bullet"/>
      <w:lvlText w:val="—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4" w15:restartNumberingAfterBreak="0">
    <w:nsid w:val="0E212C73"/>
    <w:multiLevelType w:val="multilevel"/>
    <w:tmpl w:val="DF30E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0AC37C2"/>
    <w:multiLevelType w:val="hybridMultilevel"/>
    <w:tmpl w:val="26AE6266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240A41"/>
    <w:multiLevelType w:val="hybridMultilevel"/>
    <w:tmpl w:val="07CC6F44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7954A9"/>
    <w:multiLevelType w:val="hybridMultilevel"/>
    <w:tmpl w:val="3C5285AC"/>
    <w:lvl w:ilvl="0" w:tplc="1528F3B0">
      <w:numFmt w:val="bullet"/>
      <w:lvlText w:val="—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2" w15:restartNumberingAfterBreak="0">
    <w:nsid w:val="70704973"/>
    <w:multiLevelType w:val="hybridMultilevel"/>
    <w:tmpl w:val="2BE8D6B4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9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19"/>
  </w:num>
  <w:num w:numId="12">
    <w:abstractNumId w:val="17"/>
  </w:num>
  <w:num w:numId="13">
    <w:abstractNumId w:val="11"/>
  </w:num>
  <w:num w:numId="14">
    <w:abstractNumId w:val="21"/>
  </w:num>
  <w:num w:numId="15">
    <w:abstractNumId w:val="16"/>
  </w:num>
  <w:num w:numId="16">
    <w:abstractNumId w:val="12"/>
  </w:num>
  <w:num w:numId="17">
    <w:abstractNumId w:val="0"/>
  </w:num>
  <w:num w:numId="18">
    <w:abstractNumId w:val="14"/>
  </w:num>
  <w:num w:numId="19">
    <w:abstractNumId w:val="18"/>
  </w:num>
  <w:num w:numId="20">
    <w:abstractNumId w:val="22"/>
  </w:num>
  <w:num w:numId="21">
    <w:abstractNumId w:val="13"/>
  </w:num>
  <w:num w:numId="22">
    <w:abstractNumId w:val="20"/>
  </w:num>
  <w:num w:numId="23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7169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D51"/>
    <w:rsid w:val="00004041"/>
    <w:rsid w:val="000062D2"/>
    <w:rsid w:val="00007271"/>
    <w:rsid w:val="00021776"/>
    <w:rsid w:val="00023445"/>
    <w:rsid w:val="000274B3"/>
    <w:rsid w:val="00030391"/>
    <w:rsid w:val="00037350"/>
    <w:rsid w:val="00037C49"/>
    <w:rsid w:val="00037F90"/>
    <w:rsid w:val="00046B1F"/>
    <w:rsid w:val="00050F6B"/>
    <w:rsid w:val="00051986"/>
    <w:rsid w:val="00051B9C"/>
    <w:rsid w:val="00057447"/>
    <w:rsid w:val="00057E97"/>
    <w:rsid w:val="00066DF5"/>
    <w:rsid w:val="0006793E"/>
    <w:rsid w:val="00072C8C"/>
    <w:rsid w:val="000733B5"/>
    <w:rsid w:val="00077628"/>
    <w:rsid w:val="00081815"/>
    <w:rsid w:val="000862B1"/>
    <w:rsid w:val="0009003C"/>
    <w:rsid w:val="0009020C"/>
    <w:rsid w:val="000931C0"/>
    <w:rsid w:val="000972A0"/>
    <w:rsid w:val="000B0595"/>
    <w:rsid w:val="000B175B"/>
    <w:rsid w:val="000B3A0F"/>
    <w:rsid w:val="000B4EF7"/>
    <w:rsid w:val="000B57A4"/>
    <w:rsid w:val="000B75BF"/>
    <w:rsid w:val="000C15A9"/>
    <w:rsid w:val="000C2C03"/>
    <w:rsid w:val="000C2D2E"/>
    <w:rsid w:val="000C4D51"/>
    <w:rsid w:val="000C5384"/>
    <w:rsid w:val="000E0415"/>
    <w:rsid w:val="000E47CA"/>
    <w:rsid w:val="000F3402"/>
    <w:rsid w:val="001058BF"/>
    <w:rsid w:val="00107320"/>
    <w:rsid w:val="001103AA"/>
    <w:rsid w:val="00112D01"/>
    <w:rsid w:val="0011666B"/>
    <w:rsid w:val="00117D3E"/>
    <w:rsid w:val="00121DE7"/>
    <w:rsid w:val="001234B8"/>
    <w:rsid w:val="00124839"/>
    <w:rsid w:val="001275B3"/>
    <w:rsid w:val="001370F8"/>
    <w:rsid w:val="00153694"/>
    <w:rsid w:val="00154A06"/>
    <w:rsid w:val="00155068"/>
    <w:rsid w:val="00157F2E"/>
    <w:rsid w:val="00160E58"/>
    <w:rsid w:val="00165F3A"/>
    <w:rsid w:val="00173E78"/>
    <w:rsid w:val="00181506"/>
    <w:rsid w:val="00183C52"/>
    <w:rsid w:val="0019169E"/>
    <w:rsid w:val="00197FE9"/>
    <w:rsid w:val="001A3501"/>
    <w:rsid w:val="001A354A"/>
    <w:rsid w:val="001B13A5"/>
    <w:rsid w:val="001B4B04"/>
    <w:rsid w:val="001C6663"/>
    <w:rsid w:val="001C7895"/>
    <w:rsid w:val="001C7C7A"/>
    <w:rsid w:val="001D0C8C"/>
    <w:rsid w:val="001D1419"/>
    <w:rsid w:val="001D26DF"/>
    <w:rsid w:val="001D3A03"/>
    <w:rsid w:val="001D7F46"/>
    <w:rsid w:val="001E0B9E"/>
    <w:rsid w:val="001E7B67"/>
    <w:rsid w:val="001F21BB"/>
    <w:rsid w:val="001F50AE"/>
    <w:rsid w:val="001F602E"/>
    <w:rsid w:val="001F7435"/>
    <w:rsid w:val="00202CD0"/>
    <w:rsid w:val="00202DA8"/>
    <w:rsid w:val="0021157B"/>
    <w:rsid w:val="00211E0B"/>
    <w:rsid w:val="00231BA1"/>
    <w:rsid w:val="00234C80"/>
    <w:rsid w:val="0023583E"/>
    <w:rsid w:val="0025047F"/>
    <w:rsid w:val="00260C8D"/>
    <w:rsid w:val="002653E7"/>
    <w:rsid w:val="00267F5F"/>
    <w:rsid w:val="00274EB4"/>
    <w:rsid w:val="00282200"/>
    <w:rsid w:val="00286B4D"/>
    <w:rsid w:val="0029049E"/>
    <w:rsid w:val="0029750B"/>
    <w:rsid w:val="00297EA8"/>
    <w:rsid w:val="002A4361"/>
    <w:rsid w:val="002A523D"/>
    <w:rsid w:val="002A603B"/>
    <w:rsid w:val="002A6B8F"/>
    <w:rsid w:val="002C03A0"/>
    <w:rsid w:val="002C18EF"/>
    <w:rsid w:val="002C674A"/>
    <w:rsid w:val="002D141D"/>
    <w:rsid w:val="002D4643"/>
    <w:rsid w:val="002D4B6C"/>
    <w:rsid w:val="002E09CE"/>
    <w:rsid w:val="002F175C"/>
    <w:rsid w:val="003027FF"/>
    <w:rsid w:val="00302E18"/>
    <w:rsid w:val="0030721A"/>
    <w:rsid w:val="00307AB6"/>
    <w:rsid w:val="00320B22"/>
    <w:rsid w:val="00321B4C"/>
    <w:rsid w:val="003229D8"/>
    <w:rsid w:val="0034446B"/>
    <w:rsid w:val="00344559"/>
    <w:rsid w:val="003453B6"/>
    <w:rsid w:val="003461FF"/>
    <w:rsid w:val="00347DDB"/>
    <w:rsid w:val="00350DA4"/>
    <w:rsid w:val="00352709"/>
    <w:rsid w:val="00363336"/>
    <w:rsid w:val="00371178"/>
    <w:rsid w:val="00383179"/>
    <w:rsid w:val="00392301"/>
    <w:rsid w:val="003927BA"/>
    <w:rsid w:val="00392DE1"/>
    <w:rsid w:val="003A0690"/>
    <w:rsid w:val="003A6810"/>
    <w:rsid w:val="003B1CA9"/>
    <w:rsid w:val="003B4A67"/>
    <w:rsid w:val="003B5F03"/>
    <w:rsid w:val="003C2CC4"/>
    <w:rsid w:val="003D4B23"/>
    <w:rsid w:val="003E312F"/>
    <w:rsid w:val="003E3D8A"/>
    <w:rsid w:val="003E7B83"/>
    <w:rsid w:val="00407087"/>
    <w:rsid w:val="00410C89"/>
    <w:rsid w:val="00413266"/>
    <w:rsid w:val="0042129D"/>
    <w:rsid w:val="00422E03"/>
    <w:rsid w:val="00425DBB"/>
    <w:rsid w:val="00426B9B"/>
    <w:rsid w:val="004325CB"/>
    <w:rsid w:val="0043402F"/>
    <w:rsid w:val="00442A83"/>
    <w:rsid w:val="0045413A"/>
    <w:rsid w:val="0045495B"/>
    <w:rsid w:val="0048397A"/>
    <w:rsid w:val="004A0E10"/>
    <w:rsid w:val="004A12F2"/>
    <w:rsid w:val="004B4482"/>
    <w:rsid w:val="004B64EB"/>
    <w:rsid w:val="004C2461"/>
    <w:rsid w:val="004C333F"/>
    <w:rsid w:val="004C4010"/>
    <w:rsid w:val="004C40B9"/>
    <w:rsid w:val="004C4EE9"/>
    <w:rsid w:val="004C7462"/>
    <w:rsid w:val="004D4E04"/>
    <w:rsid w:val="004D5426"/>
    <w:rsid w:val="004D5ABD"/>
    <w:rsid w:val="004D7E81"/>
    <w:rsid w:val="004E0C05"/>
    <w:rsid w:val="004E15A8"/>
    <w:rsid w:val="004E5A51"/>
    <w:rsid w:val="004E77B2"/>
    <w:rsid w:val="004F2670"/>
    <w:rsid w:val="00503DEB"/>
    <w:rsid w:val="00504B2D"/>
    <w:rsid w:val="0052136D"/>
    <w:rsid w:val="00522B58"/>
    <w:rsid w:val="0052775E"/>
    <w:rsid w:val="00527D3F"/>
    <w:rsid w:val="00533623"/>
    <w:rsid w:val="00535C90"/>
    <w:rsid w:val="005360FB"/>
    <w:rsid w:val="005413FA"/>
    <w:rsid w:val="005420F2"/>
    <w:rsid w:val="00544E1B"/>
    <w:rsid w:val="0054542B"/>
    <w:rsid w:val="00546993"/>
    <w:rsid w:val="00552A39"/>
    <w:rsid w:val="00560D99"/>
    <w:rsid w:val="005628B6"/>
    <w:rsid w:val="00591D40"/>
    <w:rsid w:val="005A575C"/>
    <w:rsid w:val="005B3DB3"/>
    <w:rsid w:val="005B4E13"/>
    <w:rsid w:val="005B6F4B"/>
    <w:rsid w:val="005B7982"/>
    <w:rsid w:val="005C6FBC"/>
    <w:rsid w:val="005D2D66"/>
    <w:rsid w:val="005D4BE6"/>
    <w:rsid w:val="005D68F4"/>
    <w:rsid w:val="005D7970"/>
    <w:rsid w:val="005E6A77"/>
    <w:rsid w:val="005F6DF9"/>
    <w:rsid w:val="005F7B75"/>
    <w:rsid w:val="006001EE"/>
    <w:rsid w:val="00605042"/>
    <w:rsid w:val="00605B54"/>
    <w:rsid w:val="00611232"/>
    <w:rsid w:val="00611681"/>
    <w:rsid w:val="00611FC4"/>
    <w:rsid w:val="00613196"/>
    <w:rsid w:val="006174F9"/>
    <w:rsid w:val="006176FB"/>
    <w:rsid w:val="00621BDE"/>
    <w:rsid w:val="00622024"/>
    <w:rsid w:val="00625568"/>
    <w:rsid w:val="00634B2E"/>
    <w:rsid w:val="00640B26"/>
    <w:rsid w:val="00652D0A"/>
    <w:rsid w:val="006623D5"/>
    <w:rsid w:val="00662BB6"/>
    <w:rsid w:val="00667F8F"/>
    <w:rsid w:val="00675ACA"/>
    <w:rsid w:val="00682C07"/>
    <w:rsid w:val="00684C21"/>
    <w:rsid w:val="006A155E"/>
    <w:rsid w:val="006A2530"/>
    <w:rsid w:val="006A6E31"/>
    <w:rsid w:val="006B30B8"/>
    <w:rsid w:val="006B5767"/>
    <w:rsid w:val="006C1296"/>
    <w:rsid w:val="006C3589"/>
    <w:rsid w:val="006C4652"/>
    <w:rsid w:val="006C5451"/>
    <w:rsid w:val="006C779F"/>
    <w:rsid w:val="006D37AF"/>
    <w:rsid w:val="006D3E0B"/>
    <w:rsid w:val="006D51D0"/>
    <w:rsid w:val="006E564B"/>
    <w:rsid w:val="006E638E"/>
    <w:rsid w:val="006E7191"/>
    <w:rsid w:val="006F01EF"/>
    <w:rsid w:val="006F0DDB"/>
    <w:rsid w:val="006F1496"/>
    <w:rsid w:val="006F33DD"/>
    <w:rsid w:val="00700EE8"/>
    <w:rsid w:val="00703577"/>
    <w:rsid w:val="00705894"/>
    <w:rsid w:val="00715700"/>
    <w:rsid w:val="00720D0C"/>
    <w:rsid w:val="00722BA8"/>
    <w:rsid w:val="0072632A"/>
    <w:rsid w:val="00731FF0"/>
    <w:rsid w:val="007327D5"/>
    <w:rsid w:val="00741709"/>
    <w:rsid w:val="007429B8"/>
    <w:rsid w:val="007567AF"/>
    <w:rsid w:val="007611CF"/>
    <w:rsid w:val="007629C8"/>
    <w:rsid w:val="007642A4"/>
    <w:rsid w:val="0077047D"/>
    <w:rsid w:val="0078065F"/>
    <w:rsid w:val="00786E2F"/>
    <w:rsid w:val="007A2287"/>
    <w:rsid w:val="007B2B1F"/>
    <w:rsid w:val="007B6BA5"/>
    <w:rsid w:val="007C3390"/>
    <w:rsid w:val="007C4F4B"/>
    <w:rsid w:val="007E01E9"/>
    <w:rsid w:val="007E63F3"/>
    <w:rsid w:val="007F1888"/>
    <w:rsid w:val="007F6611"/>
    <w:rsid w:val="007F7106"/>
    <w:rsid w:val="008100FC"/>
    <w:rsid w:val="00811920"/>
    <w:rsid w:val="00815AD0"/>
    <w:rsid w:val="00817DBA"/>
    <w:rsid w:val="008242D7"/>
    <w:rsid w:val="008257B1"/>
    <w:rsid w:val="00826E9A"/>
    <w:rsid w:val="008343BE"/>
    <w:rsid w:val="00843767"/>
    <w:rsid w:val="008458AA"/>
    <w:rsid w:val="008521A5"/>
    <w:rsid w:val="00853EBC"/>
    <w:rsid w:val="0086081B"/>
    <w:rsid w:val="0086171D"/>
    <w:rsid w:val="008679D9"/>
    <w:rsid w:val="00871389"/>
    <w:rsid w:val="00872459"/>
    <w:rsid w:val="00872DFA"/>
    <w:rsid w:val="008760E8"/>
    <w:rsid w:val="00882E80"/>
    <w:rsid w:val="00883999"/>
    <w:rsid w:val="00885B73"/>
    <w:rsid w:val="00887899"/>
    <w:rsid w:val="008878DE"/>
    <w:rsid w:val="008912EC"/>
    <w:rsid w:val="00892603"/>
    <w:rsid w:val="008979B1"/>
    <w:rsid w:val="008A6B25"/>
    <w:rsid w:val="008A6C4F"/>
    <w:rsid w:val="008B2335"/>
    <w:rsid w:val="008B5DF2"/>
    <w:rsid w:val="008B717B"/>
    <w:rsid w:val="008D2DF0"/>
    <w:rsid w:val="008D6F3C"/>
    <w:rsid w:val="008E0678"/>
    <w:rsid w:val="008E57F4"/>
    <w:rsid w:val="008F03AD"/>
    <w:rsid w:val="0090194D"/>
    <w:rsid w:val="009079FF"/>
    <w:rsid w:val="00910A62"/>
    <w:rsid w:val="009119B2"/>
    <w:rsid w:val="0091237E"/>
    <w:rsid w:val="00916E19"/>
    <w:rsid w:val="009223CA"/>
    <w:rsid w:val="00927A75"/>
    <w:rsid w:val="009321E8"/>
    <w:rsid w:val="00932F3F"/>
    <w:rsid w:val="0093509F"/>
    <w:rsid w:val="00940F93"/>
    <w:rsid w:val="0094154D"/>
    <w:rsid w:val="00944398"/>
    <w:rsid w:val="0094558F"/>
    <w:rsid w:val="00953E97"/>
    <w:rsid w:val="00954711"/>
    <w:rsid w:val="009554F4"/>
    <w:rsid w:val="009603D2"/>
    <w:rsid w:val="009605B0"/>
    <w:rsid w:val="00961690"/>
    <w:rsid w:val="00962F62"/>
    <w:rsid w:val="00965EE3"/>
    <w:rsid w:val="009665DB"/>
    <w:rsid w:val="00972CFB"/>
    <w:rsid w:val="009730AF"/>
    <w:rsid w:val="009760F3"/>
    <w:rsid w:val="009839CD"/>
    <w:rsid w:val="00983C3B"/>
    <w:rsid w:val="009873ED"/>
    <w:rsid w:val="00991F58"/>
    <w:rsid w:val="009969E0"/>
    <w:rsid w:val="009A016F"/>
    <w:rsid w:val="009A0E8D"/>
    <w:rsid w:val="009A0F88"/>
    <w:rsid w:val="009A4BFF"/>
    <w:rsid w:val="009B1518"/>
    <w:rsid w:val="009B26E7"/>
    <w:rsid w:val="009C454F"/>
    <w:rsid w:val="009D2A5B"/>
    <w:rsid w:val="009F4DE9"/>
    <w:rsid w:val="009F6A26"/>
    <w:rsid w:val="00A00A3F"/>
    <w:rsid w:val="00A01489"/>
    <w:rsid w:val="00A14A62"/>
    <w:rsid w:val="00A15A38"/>
    <w:rsid w:val="00A176A0"/>
    <w:rsid w:val="00A17DBF"/>
    <w:rsid w:val="00A2573C"/>
    <w:rsid w:val="00A3009E"/>
    <w:rsid w:val="00A3026E"/>
    <w:rsid w:val="00A338F1"/>
    <w:rsid w:val="00A35910"/>
    <w:rsid w:val="00A36DE6"/>
    <w:rsid w:val="00A43CEC"/>
    <w:rsid w:val="00A51C2B"/>
    <w:rsid w:val="00A658A6"/>
    <w:rsid w:val="00A66BB4"/>
    <w:rsid w:val="00A72F22"/>
    <w:rsid w:val="00A7360F"/>
    <w:rsid w:val="00A748A6"/>
    <w:rsid w:val="00A74AB0"/>
    <w:rsid w:val="00A769F4"/>
    <w:rsid w:val="00A776B4"/>
    <w:rsid w:val="00A9176C"/>
    <w:rsid w:val="00A94361"/>
    <w:rsid w:val="00A9587B"/>
    <w:rsid w:val="00A97439"/>
    <w:rsid w:val="00AA293C"/>
    <w:rsid w:val="00AA3817"/>
    <w:rsid w:val="00AA4BD0"/>
    <w:rsid w:val="00AA6F5C"/>
    <w:rsid w:val="00AB1C7D"/>
    <w:rsid w:val="00AB232E"/>
    <w:rsid w:val="00AC6790"/>
    <w:rsid w:val="00AC72CA"/>
    <w:rsid w:val="00AE0FDA"/>
    <w:rsid w:val="00AE1804"/>
    <w:rsid w:val="00AE4A41"/>
    <w:rsid w:val="00AE76C0"/>
    <w:rsid w:val="00AF0E53"/>
    <w:rsid w:val="00AF17DB"/>
    <w:rsid w:val="00B04B62"/>
    <w:rsid w:val="00B0538F"/>
    <w:rsid w:val="00B11BB4"/>
    <w:rsid w:val="00B136A4"/>
    <w:rsid w:val="00B22BC2"/>
    <w:rsid w:val="00B240A1"/>
    <w:rsid w:val="00B24349"/>
    <w:rsid w:val="00B30179"/>
    <w:rsid w:val="00B31895"/>
    <w:rsid w:val="00B421C1"/>
    <w:rsid w:val="00B45128"/>
    <w:rsid w:val="00B50642"/>
    <w:rsid w:val="00B518AA"/>
    <w:rsid w:val="00B54EAD"/>
    <w:rsid w:val="00B55C71"/>
    <w:rsid w:val="00B56E4A"/>
    <w:rsid w:val="00B56E9C"/>
    <w:rsid w:val="00B61320"/>
    <w:rsid w:val="00B64B1F"/>
    <w:rsid w:val="00B6553F"/>
    <w:rsid w:val="00B70F1E"/>
    <w:rsid w:val="00B77D05"/>
    <w:rsid w:val="00B81206"/>
    <w:rsid w:val="00B81E12"/>
    <w:rsid w:val="00B858B2"/>
    <w:rsid w:val="00B86014"/>
    <w:rsid w:val="00B9414F"/>
    <w:rsid w:val="00BA4ED2"/>
    <w:rsid w:val="00BB7CD1"/>
    <w:rsid w:val="00BC38BF"/>
    <w:rsid w:val="00BC3FA0"/>
    <w:rsid w:val="00BC74E9"/>
    <w:rsid w:val="00BD28B6"/>
    <w:rsid w:val="00BF68A8"/>
    <w:rsid w:val="00C00584"/>
    <w:rsid w:val="00C050DF"/>
    <w:rsid w:val="00C10FE6"/>
    <w:rsid w:val="00C11A03"/>
    <w:rsid w:val="00C14945"/>
    <w:rsid w:val="00C16653"/>
    <w:rsid w:val="00C22C0C"/>
    <w:rsid w:val="00C33595"/>
    <w:rsid w:val="00C37144"/>
    <w:rsid w:val="00C40026"/>
    <w:rsid w:val="00C42B3C"/>
    <w:rsid w:val="00C4527F"/>
    <w:rsid w:val="00C463DD"/>
    <w:rsid w:val="00C4724C"/>
    <w:rsid w:val="00C557D6"/>
    <w:rsid w:val="00C60319"/>
    <w:rsid w:val="00C629A0"/>
    <w:rsid w:val="00C62C07"/>
    <w:rsid w:val="00C63D2D"/>
    <w:rsid w:val="00C64629"/>
    <w:rsid w:val="00C66798"/>
    <w:rsid w:val="00C745C3"/>
    <w:rsid w:val="00C84A21"/>
    <w:rsid w:val="00C90189"/>
    <w:rsid w:val="00CA5E01"/>
    <w:rsid w:val="00CB3E03"/>
    <w:rsid w:val="00CB5F93"/>
    <w:rsid w:val="00CC1ADB"/>
    <w:rsid w:val="00CD305F"/>
    <w:rsid w:val="00CD6056"/>
    <w:rsid w:val="00CE4A8F"/>
    <w:rsid w:val="00CE53C4"/>
    <w:rsid w:val="00CF559A"/>
    <w:rsid w:val="00D0663B"/>
    <w:rsid w:val="00D07D06"/>
    <w:rsid w:val="00D17DC5"/>
    <w:rsid w:val="00D2031B"/>
    <w:rsid w:val="00D25FE2"/>
    <w:rsid w:val="00D43252"/>
    <w:rsid w:val="00D47EEA"/>
    <w:rsid w:val="00D550D4"/>
    <w:rsid w:val="00D669EA"/>
    <w:rsid w:val="00D66F7C"/>
    <w:rsid w:val="00D773DF"/>
    <w:rsid w:val="00D838E4"/>
    <w:rsid w:val="00D84C5B"/>
    <w:rsid w:val="00D85E66"/>
    <w:rsid w:val="00D9255F"/>
    <w:rsid w:val="00D94663"/>
    <w:rsid w:val="00D95303"/>
    <w:rsid w:val="00D978C6"/>
    <w:rsid w:val="00DA3C1C"/>
    <w:rsid w:val="00DB6229"/>
    <w:rsid w:val="00DB62C7"/>
    <w:rsid w:val="00DC179E"/>
    <w:rsid w:val="00DD6F43"/>
    <w:rsid w:val="00DE4B5B"/>
    <w:rsid w:val="00DF1772"/>
    <w:rsid w:val="00DF469C"/>
    <w:rsid w:val="00DF7EE9"/>
    <w:rsid w:val="00E0214B"/>
    <w:rsid w:val="00E046DF"/>
    <w:rsid w:val="00E06187"/>
    <w:rsid w:val="00E06DD7"/>
    <w:rsid w:val="00E15557"/>
    <w:rsid w:val="00E17039"/>
    <w:rsid w:val="00E240D2"/>
    <w:rsid w:val="00E27346"/>
    <w:rsid w:val="00E300A7"/>
    <w:rsid w:val="00E36F73"/>
    <w:rsid w:val="00E41E29"/>
    <w:rsid w:val="00E46DAD"/>
    <w:rsid w:val="00E536D3"/>
    <w:rsid w:val="00E54C9E"/>
    <w:rsid w:val="00E71132"/>
    <w:rsid w:val="00E71610"/>
    <w:rsid w:val="00E71BC8"/>
    <w:rsid w:val="00E7260F"/>
    <w:rsid w:val="00E73F5D"/>
    <w:rsid w:val="00E77E4E"/>
    <w:rsid w:val="00E822CB"/>
    <w:rsid w:val="00E86A12"/>
    <w:rsid w:val="00E96630"/>
    <w:rsid w:val="00EB2884"/>
    <w:rsid w:val="00EC106A"/>
    <w:rsid w:val="00EC22C2"/>
    <w:rsid w:val="00EC5341"/>
    <w:rsid w:val="00EC73C8"/>
    <w:rsid w:val="00ED7A2A"/>
    <w:rsid w:val="00EE10AF"/>
    <w:rsid w:val="00EE32ED"/>
    <w:rsid w:val="00EE6B3A"/>
    <w:rsid w:val="00EF1D7F"/>
    <w:rsid w:val="00F009F4"/>
    <w:rsid w:val="00F049A3"/>
    <w:rsid w:val="00F15FDD"/>
    <w:rsid w:val="00F2270C"/>
    <w:rsid w:val="00F2392F"/>
    <w:rsid w:val="00F31E5F"/>
    <w:rsid w:val="00F32BB7"/>
    <w:rsid w:val="00F37110"/>
    <w:rsid w:val="00F44668"/>
    <w:rsid w:val="00F454F0"/>
    <w:rsid w:val="00F6100A"/>
    <w:rsid w:val="00F61ACB"/>
    <w:rsid w:val="00F65671"/>
    <w:rsid w:val="00F66565"/>
    <w:rsid w:val="00F72EB8"/>
    <w:rsid w:val="00F74D57"/>
    <w:rsid w:val="00F76B2F"/>
    <w:rsid w:val="00F84187"/>
    <w:rsid w:val="00F93781"/>
    <w:rsid w:val="00FA2FE2"/>
    <w:rsid w:val="00FA7D7F"/>
    <w:rsid w:val="00FB1B60"/>
    <w:rsid w:val="00FB4DF6"/>
    <w:rsid w:val="00FB613B"/>
    <w:rsid w:val="00FC302D"/>
    <w:rsid w:val="00FC68B7"/>
    <w:rsid w:val="00FC6BBC"/>
    <w:rsid w:val="00FC7CF8"/>
    <w:rsid w:val="00FD1538"/>
    <w:rsid w:val="00FE106A"/>
    <w:rsid w:val="00FE298B"/>
    <w:rsid w:val="00FE595C"/>
    <w:rsid w:val="00FF145D"/>
    <w:rsid w:val="00FF190E"/>
    <w:rsid w:val="00FF600F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  <w14:defaultImageDpi w14:val="300"/>
  <w15:chartTrackingRefBased/>
  <w15:docId w15:val="{4DBCD104-4365-4FE2-95EB-CBED88495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56E9C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ED7A2A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lang w:eastAsia="x-none"/>
    </w:rPr>
  </w:style>
  <w:style w:type="paragraph" w:customStyle="1" w:styleId="ParaNoG">
    <w:name w:val="_ParaNo._G"/>
    <w:basedOn w:val="SingleTxtG"/>
    <w:pPr>
      <w:numPr>
        <w:numId w:val="13"/>
      </w:numPr>
      <w:tabs>
        <w:tab w:val="clear" w:pos="1494"/>
      </w:tabs>
    </w:pPr>
  </w:style>
  <w:style w:type="paragraph" w:customStyle="1" w:styleId="SingleTxtG">
    <w:name w:val="_ Single Txt_G"/>
    <w:basedOn w:val="Normal"/>
    <w:link w:val="SingleTxtGChar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8979B1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52775E"/>
    <w:pPr>
      <w:tabs>
        <w:tab w:val="right" w:pos="1021"/>
      </w:tabs>
      <w:spacing w:line="220" w:lineRule="exact"/>
      <w:ind w:left="1134" w:right="1134" w:hanging="1134"/>
    </w:pPr>
    <w:rPr>
      <w:sz w:val="18"/>
      <w:lang w:val="x-none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72632A"/>
    <w:pPr>
      <w:numPr>
        <w:numId w:val="11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7B6BA5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3C2CC4"/>
    <w:pPr>
      <w:numPr>
        <w:numId w:val="1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4"/>
      </w:numPr>
    </w:pPr>
  </w:style>
  <w:style w:type="numbering" w:styleId="1ai">
    <w:name w:val="Outline List 1"/>
    <w:basedOn w:val="NoList"/>
    <w:semiHidden/>
    <w:rsid w:val="008A6C4F"/>
    <w:pPr>
      <w:numPr>
        <w:numId w:val="15"/>
      </w:numPr>
    </w:pPr>
  </w:style>
  <w:style w:type="numbering" w:styleId="ArticleSection">
    <w:name w:val="Outline List 3"/>
    <w:basedOn w:val="NoList"/>
    <w:semiHidden/>
    <w:rsid w:val="008A6C4F"/>
    <w:pPr>
      <w:numPr>
        <w:numId w:val="16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8A6C4F"/>
    <w:rPr>
      <w:color w:val="800080"/>
      <w:u w:val="singl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8A6C4F"/>
    <w:rPr>
      <w:color w:val="0000FF"/>
      <w:u w:val="singl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8878DE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50F6B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1GChar">
    <w:name w:val="_ H_1_G Char"/>
    <w:link w:val="H1G"/>
    <w:rsid w:val="001F7435"/>
    <w:rPr>
      <w:b/>
      <w:sz w:val="24"/>
      <w:lang w:val="en-GB" w:eastAsia="en-US" w:bidi="ar-SA"/>
    </w:rPr>
  </w:style>
  <w:style w:type="paragraph" w:styleId="BalloonText">
    <w:name w:val="Balloon Text"/>
    <w:basedOn w:val="Normal"/>
    <w:link w:val="BalloonTextChar"/>
    <w:rsid w:val="00D550D4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D550D4"/>
    <w:rPr>
      <w:rFonts w:ascii="Tahoma" w:hAnsi="Tahoma" w:cs="Tahoma"/>
      <w:sz w:val="16"/>
      <w:szCs w:val="16"/>
      <w:lang w:eastAsia="en-US"/>
    </w:rPr>
  </w:style>
  <w:style w:type="character" w:customStyle="1" w:styleId="FootnoteTextChar">
    <w:name w:val="Footnote Text Char"/>
    <w:aliases w:val="5_G Char"/>
    <w:link w:val="FootnoteText"/>
    <w:rsid w:val="001D7F46"/>
    <w:rPr>
      <w:sz w:val="18"/>
      <w:lang w:eastAsia="en-US"/>
    </w:rPr>
  </w:style>
  <w:style w:type="paragraph" w:customStyle="1" w:styleId="Default">
    <w:name w:val="Default"/>
    <w:rsid w:val="00202CD0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HChGChar">
    <w:name w:val="_ H _Ch_G Char"/>
    <w:link w:val="HChG"/>
    <w:locked/>
    <w:rsid w:val="00181506"/>
    <w:rPr>
      <w:b/>
      <w:sz w:val="28"/>
      <w:lang w:val="en-GB"/>
    </w:rPr>
  </w:style>
  <w:style w:type="character" w:customStyle="1" w:styleId="SingleTxtGChar">
    <w:name w:val="_ Single Txt_G Char"/>
    <w:link w:val="SingleTxtG"/>
    <w:rsid w:val="009839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7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06037">
          <w:marLeft w:val="-8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4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9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18745">
          <w:marLeft w:val="-8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8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8056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1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8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6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4316E5-17B6-4D66-9C6C-5838A2874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812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1126259</vt:lpstr>
    </vt:vector>
  </TitlesOfParts>
  <Company>CSD</Company>
  <LinksUpToDate>false</LinksUpToDate>
  <CharactersWithSpaces>5434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1126259</dc:title>
  <dc:subject/>
  <dc:creator>BAC</dc:creator>
  <cp:keywords>ECE/TRANS/WP.15/AC.1/2012/8</cp:keywords>
  <dc:description>Final</dc:description>
  <cp:lastModifiedBy>Laurence Berthet</cp:lastModifiedBy>
  <cp:revision>6</cp:revision>
  <cp:lastPrinted>2018-03-28T14:30:00Z</cp:lastPrinted>
  <dcterms:created xsi:type="dcterms:W3CDTF">2018-03-27T08:46:00Z</dcterms:created>
  <dcterms:modified xsi:type="dcterms:W3CDTF">2018-03-28T14:45:00Z</dcterms:modified>
</cp:coreProperties>
</file>