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EA06C3" w:rsidRPr="00471D64" w:rsidTr="00D76673">
        <w:trPr>
          <w:trHeight w:val="851"/>
        </w:trPr>
        <w:tc>
          <w:tcPr>
            <w:tcW w:w="1260" w:type="dxa"/>
            <w:tcBorders>
              <w:top w:val="nil"/>
              <w:left w:val="nil"/>
              <w:bottom w:val="single" w:sz="4" w:space="0" w:color="auto"/>
              <w:right w:val="nil"/>
            </w:tcBorders>
          </w:tcPr>
          <w:p w:rsidR="00EA06C3" w:rsidRDefault="00EA06C3" w:rsidP="00EA06C3">
            <w:pPr>
              <w:spacing w:after="80" w:line="340" w:lineRule="exact"/>
            </w:pPr>
          </w:p>
        </w:tc>
        <w:tc>
          <w:tcPr>
            <w:tcW w:w="2237" w:type="dxa"/>
            <w:tcBorders>
              <w:top w:val="nil"/>
              <w:left w:val="nil"/>
              <w:bottom w:val="single" w:sz="4" w:space="0" w:color="auto"/>
              <w:right w:val="nil"/>
            </w:tcBorders>
            <w:vAlign w:val="bottom"/>
            <w:hideMark/>
          </w:tcPr>
          <w:p w:rsidR="00EA06C3" w:rsidRDefault="00EA06C3" w:rsidP="00EA06C3">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rsidR="00EA06C3" w:rsidRDefault="00EA06C3" w:rsidP="00EA06C3">
            <w:pPr>
              <w:suppressAutoHyphens w:val="0"/>
              <w:spacing w:after="20"/>
              <w:jc w:val="right"/>
            </w:pPr>
            <w:r>
              <w:rPr>
                <w:sz w:val="40"/>
                <w:lang w:eastAsia="en-GB"/>
              </w:rPr>
              <w:t>ST</w:t>
            </w:r>
            <w:r>
              <w:rPr>
                <w:lang w:eastAsia="en-GB"/>
              </w:rPr>
              <w:t>/SG/AC.10/C.3/2018/</w:t>
            </w:r>
            <w:r w:rsidR="009043FC">
              <w:rPr>
                <w:lang w:eastAsia="en-GB"/>
              </w:rPr>
              <w:t>115</w:t>
            </w:r>
          </w:p>
        </w:tc>
      </w:tr>
      <w:tr w:rsidR="005E0F7B" w:rsidRPr="005E0F7B" w:rsidTr="00D76673">
        <w:trPr>
          <w:trHeight w:val="2835"/>
        </w:trPr>
        <w:tc>
          <w:tcPr>
            <w:tcW w:w="1260" w:type="dxa"/>
            <w:tcBorders>
              <w:top w:val="single" w:sz="4" w:space="0" w:color="auto"/>
              <w:left w:val="nil"/>
              <w:bottom w:val="single" w:sz="12" w:space="0" w:color="auto"/>
              <w:right w:val="nil"/>
            </w:tcBorders>
            <w:hideMark/>
          </w:tcPr>
          <w:p w:rsidR="005E0F7B" w:rsidRDefault="00FD21A9">
            <w:pPr>
              <w:spacing w:before="120"/>
              <w:jc w:val="center"/>
            </w:pPr>
            <w:r>
              <w:rPr>
                <w:noProof/>
                <w:lang w:val="en-US"/>
              </w:rPr>
              <w:drawing>
                <wp:inline distT="0" distB="0" distL="0" distR="0" wp14:anchorId="30E49450" wp14:editId="0777777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rsidR="005E0F7B" w:rsidRDefault="005E0F7B">
            <w:pPr>
              <w:suppressAutoHyphens w:val="0"/>
              <w:spacing w:before="240" w:line="240" w:lineRule="exact"/>
            </w:pPr>
            <w:r>
              <w:t>Distr.: General</w:t>
            </w:r>
          </w:p>
          <w:p w:rsidR="005E0F7B" w:rsidRPr="005C67A3" w:rsidRDefault="00463DBC">
            <w:pPr>
              <w:suppressAutoHyphens w:val="0"/>
            </w:pPr>
            <w:r>
              <w:t>7</w:t>
            </w:r>
            <w:bookmarkStart w:id="0" w:name="_GoBack"/>
            <w:bookmarkEnd w:id="0"/>
            <w:r w:rsidR="009043FC">
              <w:t xml:space="preserve"> September</w:t>
            </w:r>
            <w:r w:rsidR="00A065BA">
              <w:t xml:space="preserve"> 2018</w:t>
            </w:r>
          </w:p>
          <w:p w:rsidR="005E0F7B" w:rsidRDefault="005E0F7B">
            <w:pPr>
              <w:suppressAutoHyphens w:val="0"/>
            </w:pPr>
          </w:p>
          <w:p w:rsidR="005E0F7B" w:rsidRDefault="005E0F7B">
            <w:pPr>
              <w:suppressAutoHyphens w:val="0"/>
            </w:pPr>
            <w:r>
              <w:t>Original: English</w:t>
            </w:r>
          </w:p>
        </w:tc>
      </w:tr>
    </w:tbl>
    <w:p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rsidR="00D76673" w:rsidRPr="00D76673" w:rsidRDefault="00D76673" w:rsidP="00D76673">
      <w:pPr>
        <w:spacing w:before="120"/>
        <w:rPr>
          <w:b/>
        </w:rPr>
      </w:pPr>
      <w:r w:rsidRPr="00D76673">
        <w:rPr>
          <w:b/>
        </w:rPr>
        <w:t>Sub-Committee of Experts on the Transport of Dangerous Goods</w:t>
      </w:r>
    </w:p>
    <w:p w:rsidR="00AC47CB" w:rsidRPr="00432930" w:rsidRDefault="00AC47CB" w:rsidP="00AC47CB">
      <w:pPr>
        <w:spacing w:before="120"/>
        <w:rPr>
          <w:b/>
        </w:rPr>
      </w:pPr>
      <w:r>
        <w:rPr>
          <w:b/>
        </w:rPr>
        <w:t>Fifty-</w:t>
      </w:r>
      <w:r w:rsidR="00EF2383">
        <w:rPr>
          <w:b/>
        </w:rPr>
        <w:t>third</w:t>
      </w:r>
      <w:r>
        <w:rPr>
          <w:b/>
        </w:rPr>
        <w:t xml:space="preserve"> session</w:t>
      </w:r>
    </w:p>
    <w:p w:rsidR="00DE0613" w:rsidRPr="009043FC" w:rsidRDefault="00C1320F" w:rsidP="00AC47CB">
      <w:pPr>
        <w:rPr>
          <w:b/>
          <w:bCs/>
        </w:rPr>
      </w:pPr>
      <w:r w:rsidRPr="00C1320F">
        <w:t>Geneva, 26 November-4 December 2018</w:t>
      </w:r>
      <w:r w:rsidR="00AC47CB">
        <w:rPr>
          <w:color w:val="333333"/>
        </w:rPr>
        <w:br/>
      </w:r>
      <w:r w:rsidR="00A065BA" w:rsidRPr="00C1320F">
        <w:t xml:space="preserve">Item </w:t>
      </w:r>
      <w:r>
        <w:t>2</w:t>
      </w:r>
      <w:r w:rsidR="008164C0">
        <w:t xml:space="preserve"> </w:t>
      </w:r>
      <w:r w:rsidR="00A065BA" w:rsidRPr="00C1320F">
        <w:t>(</w:t>
      </w:r>
      <w:r w:rsidRPr="00C1320F">
        <w:t>d</w:t>
      </w:r>
      <w:r w:rsidR="00A065BA" w:rsidRPr="00C1320F">
        <w:t>)</w:t>
      </w:r>
      <w:r w:rsidR="00A065BA" w:rsidRPr="009D3AC0">
        <w:t xml:space="preserve"> of the provisional agenda</w:t>
      </w:r>
      <w:r w:rsidR="00D76673" w:rsidRPr="00301F46">
        <w:rPr>
          <w:b/>
        </w:rPr>
        <w:br/>
      </w:r>
      <w:r w:rsidR="009043FC" w:rsidRPr="009043FC">
        <w:rPr>
          <w:b/>
          <w:bCs/>
        </w:rPr>
        <w:t>Recommendations made by the Sub-Committee on its fifty-first, fifty-</w:t>
      </w:r>
      <w:r w:rsidR="009043FC" w:rsidRPr="009043FC">
        <w:rPr>
          <w:b/>
          <w:bCs/>
        </w:rPr>
        <w:br/>
        <w:t>second and fifty-third sessions and pending issues:</w:t>
      </w:r>
      <w:r w:rsidR="009043FC" w:rsidRPr="009043FC">
        <w:rPr>
          <w:b/>
          <w:bCs/>
        </w:rPr>
        <w:br/>
        <w:t>e</w:t>
      </w:r>
      <w:r w:rsidRPr="009043FC">
        <w:rPr>
          <w:b/>
          <w:bCs/>
        </w:rPr>
        <w:t>lectric storage systems</w:t>
      </w:r>
    </w:p>
    <w:p w:rsidR="001649AD" w:rsidRDefault="00363CCA" w:rsidP="001649AD">
      <w:pPr>
        <w:pStyle w:val="HChG"/>
      </w:pPr>
      <w:r>
        <w:tab/>
      </w:r>
      <w:r>
        <w:tab/>
      </w:r>
      <w:r w:rsidR="001649AD">
        <w:t>Dimensions of the lithium battery mark</w:t>
      </w:r>
    </w:p>
    <w:p w:rsidR="00E41283" w:rsidRDefault="001C21AD" w:rsidP="001C21AD">
      <w:pPr>
        <w:pStyle w:val="H1G"/>
      </w:pPr>
      <w:r>
        <w:tab/>
      </w:r>
      <w:r>
        <w:tab/>
        <w:t xml:space="preserve">Transmitted by </w:t>
      </w:r>
      <w:r w:rsidRPr="001C21AD">
        <w:t xml:space="preserve">The Rechargeable Battery Association </w:t>
      </w:r>
      <w:r>
        <w:t xml:space="preserve">(PRBA) </w:t>
      </w:r>
      <w:r w:rsidR="001649AD">
        <w:t xml:space="preserve">and the </w:t>
      </w:r>
      <w:r w:rsidR="001649AD" w:rsidRPr="001C21AD">
        <w:t>Advanced</w:t>
      </w:r>
      <w:r w:rsidR="001649AD">
        <w:t xml:space="preserve"> Rechargeable &amp; Lithium Batteries Association</w:t>
      </w:r>
      <w:r>
        <w:rPr>
          <w:rStyle w:val="FootnoteReference"/>
        </w:rPr>
        <w:footnoteReference w:customMarkFollows="1" w:id="2"/>
        <w:t>*</w:t>
      </w:r>
      <w:r w:rsidR="001649AD">
        <w:t xml:space="preserve"> </w:t>
      </w:r>
      <w:r>
        <w:t>(RECHARGE)</w:t>
      </w:r>
    </w:p>
    <w:p w:rsidR="001649AD" w:rsidRPr="001649AD" w:rsidRDefault="001649AD" w:rsidP="001C21AD">
      <w:pPr>
        <w:pStyle w:val="HChG"/>
      </w:pPr>
      <w:r>
        <w:tab/>
      </w:r>
      <w:r>
        <w:tab/>
      </w:r>
      <w:r w:rsidRPr="001649AD">
        <w:t>Introduction</w:t>
      </w:r>
    </w:p>
    <w:p w:rsidR="001472C9" w:rsidRPr="001C21AD" w:rsidRDefault="003E1CED" w:rsidP="001C21AD">
      <w:pPr>
        <w:pStyle w:val="SingleTxtG"/>
        <w:numPr>
          <w:ilvl w:val="0"/>
          <w:numId w:val="48"/>
        </w:numPr>
        <w:ind w:left="1134" w:firstLine="0"/>
      </w:pPr>
      <w:r w:rsidRPr="001C21AD">
        <w:t>During the fifty-third session</w:t>
      </w:r>
      <w:r w:rsidR="00BB3143" w:rsidRPr="001C21AD">
        <w:t xml:space="preserve"> of the Sub-Committee</w:t>
      </w:r>
      <w:r w:rsidRPr="001C21AD">
        <w:t xml:space="preserve">, PRBA and RECHARGE </w:t>
      </w:r>
      <w:r w:rsidR="006C54A0" w:rsidRPr="001C21AD">
        <w:t xml:space="preserve">explained in </w:t>
      </w:r>
      <w:r w:rsidR="001C21AD">
        <w:t>informal document I</w:t>
      </w:r>
      <w:r w:rsidRPr="001C21AD">
        <w:t xml:space="preserve">NF. </w:t>
      </w:r>
      <w:r w:rsidR="004230C6" w:rsidRPr="001C21AD">
        <w:t>41</w:t>
      </w:r>
      <w:r w:rsidRPr="001C21AD">
        <w:t xml:space="preserve"> the </w:t>
      </w:r>
      <w:r w:rsidR="00B57FBF" w:rsidRPr="001C21AD">
        <w:t xml:space="preserve">unique </w:t>
      </w:r>
      <w:r w:rsidR="004230C6" w:rsidRPr="001C21AD">
        <w:t xml:space="preserve">challenges the industry has incurred with </w:t>
      </w:r>
      <w:r w:rsidR="00FD02C1" w:rsidRPr="001C21AD">
        <w:t xml:space="preserve">complying with the </w:t>
      </w:r>
      <w:r w:rsidR="00940320" w:rsidRPr="001C21AD">
        <w:t>dimension</w:t>
      </w:r>
      <w:r w:rsidR="00BD58AB" w:rsidRPr="001C21AD">
        <w:t>s</w:t>
      </w:r>
      <w:r w:rsidR="00940320" w:rsidRPr="001C21AD">
        <w:t xml:space="preserve"> </w:t>
      </w:r>
      <w:r w:rsidR="00FD02C1" w:rsidRPr="001C21AD">
        <w:t xml:space="preserve">of the lithium battery mark found in </w:t>
      </w:r>
      <w:r w:rsidR="005C00DF" w:rsidRPr="001C21AD">
        <w:t>5.2.1.9.2</w:t>
      </w:r>
      <w:r w:rsidR="001C21AD">
        <w:t xml:space="preserve"> of the </w:t>
      </w:r>
      <w:r w:rsidR="00FD02C1" w:rsidRPr="001C21AD">
        <w:t>Model Regulations</w:t>
      </w:r>
      <w:r w:rsidR="00CA7279" w:rsidRPr="001C21AD">
        <w:t xml:space="preserve">.  </w:t>
      </w:r>
      <w:r w:rsidR="001472C9" w:rsidRPr="001C21AD">
        <w:t>These challenges can o</w:t>
      </w:r>
      <w:r w:rsidR="00D46E50" w:rsidRPr="001C21AD">
        <w:t xml:space="preserve">ften </w:t>
      </w:r>
      <w:r w:rsidR="006C54A0" w:rsidRPr="001C21AD">
        <w:t>rais</w:t>
      </w:r>
      <w:r w:rsidR="001472C9" w:rsidRPr="001C21AD">
        <w:t>e</w:t>
      </w:r>
      <w:r w:rsidR="00D46E50" w:rsidRPr="001C21AD">
        <w:t xml:space="preserve"> questions on </w:t>
      </w:r>
      <w:r w:rsidR="001472C9" w:rsidRPr="001C21AD">
        <w:t>whether</w:t>
      </w:r>
      <w:r w:rsidR="00D46E50" w:rsidRPr="001C21AD">
        <w:t xml:space="preserve"> companies are </w:t>
      </w:r>
      <w:r w:rsidR="001472C9" w:rsidRPr="001C21AD">
        <w:t>fully compliant</w:t>
      </w:r>
      <w:r w:rsidR="006C54A0" w:rsidRPr="001C21AD">
        <w:t xml:space="preserve"> with the marking requirement</w:t>
      </w:r>
      <w:r w:rsidR="001C21AD">
        <w:t xml:space="preserve">. </w:t>
      </w:r>
      <w:r w:rsidR="001472C9" w:rsidRPr="001C21AD">
        <w:t xml:space="preserve">To help mitigate these issues, PRBA and RECHARGE are proposing a change to the dimensions of the lithium battery mark that would make them consistent with the limited quantity </w:t>
      </w:r>
      <w:r w:rsidR="00B77F38" w:rsidRPr="001C21AD">
        <w:t xml:space="preserve">and </w:t>
      </w:r>
      <w:r w:rsidR="001472C9" w:rsidRPr="001C21AD">
        <w:t>excepted quantity mark</w:t>
      </w:r>
      <w:r w:rsidR="005C00DF" w:rsidRPr="001C21AD">
        <w:t>s</w:t>
      </w:r>
      <w:r w:rsidR="001472C9" w:rsidRPr="001C21AD">
        <w:t>.</w:t>
      </w:r>
    </w:p>
    <w:p w:rsidR="001472C9" w:rsidRPr="001C21AD" w:rsidRDefault="00FD02C1" w:rsidP="001C21AD">
      <w:pPr>
        <w:pStyle w:val="SingleTxtG"/>
        <w:numPr>
          <w:ilvl w:val="0"/>
          <w:numId w:val="48"/>
        </w:numPr>
        <w:ind w:left="1134" w:firstLine="0"/>
      </w:pPr>
      <w:r w:rsidRPr="001C21AD">
        <w:t xml:space="preserve">The packages used to ship lithium cells and batteries and products powered by them vary tremendously in size and shape.  </w:t>
      </w:r>
      <w:r w:rsidR="001472C9" w:rsidRPr="001C21AD">
        <w:t xml:space="preserve">In many cases, the size of the lithium battery mark drives </w:t>
      </w:r>
      <w:r w:rsidR="004F44DC" w:rsidRPr="001C21AD">
        <w:t xml:space="preserve">an increase in </w:t>
      </w:r>
      <w:r w:rsidR="001472C9" w:rsidRPr="001C21AD">
        <w:t xml:space="preserve">the size of the package used for </w:t>
      </w:r>
      <w:r w:rsidR="005C00DF" w:rsidRPr="001C21AD">
        <w:t xml:space="preserve">shipping </w:t>
      </w:r>
      <w:r w:rsidR="00BB3143" w:rsidRPr="001C21AD">
        <w:t xml:space="preserve">the </w:t>
      </w:r>
      <w:r w:rsidR="001472C9" w:rsidRPr="001C21AD">
        <w:t>lithium batteries</w:t>
      </w:r>
      <w:r w:rsidR="004A57CE" w:rsidRPr="001C21AD">
        <w:t xml:space="preserve">.  </w:t>
      </w:r>
      <w:r w:rsidR="005C00DF" w:rsidRPr="001C21AD">
        <w:t>This</w:t>
      </w:r>
      <w:r w:rsidR="00D95B5B" w:rsidRPr="001C21AD">
        <w:t xml:space="preserve"> shipping scenario occurs daily at thousands of battery, electronics, e-commerce, and distribution companies.  For example, one of PRBA’s members ships daily as many as 5,000 individual package consignments requi</w:t>
      </w:r>
      <w:r w:rsidR="001C21AD">
        <w:t xml:space="preserve">ring the lithium battery mark. </w:t>
      </w:r>
      <w:r w:rsidR="00D95B5B" w:rsidRPr="001C21AD">
        <w:t xml:space="preserve">This results in a large </w:t>
      </w:r>
      <w:r w:rsidR="00D95B5B" w:rsidRPr="001C21AD">
        <w:lastRenderedPageBreak/>
        <w:t xml:space="preserve">volume of packaging waste that could be significantly reduced if a smaller mark is authorized.  </w:t>
      </w:r>
    </w:p>
    <w:p w:rsidR="006F3E52" w:rsidRPr="002642BC" w:rsidRDefault="00BB3143" w:rsidP="001C21AD">
      <w:pPr>
        <w:pStyle w:val="SingleTxtG"/>
        <w:numPr>
          <w:ilvl w:val="0"/>
          <w:numId w:val="48"/>
        </w:numPr>
        <w:ind w:left="1134" w:firstLine="0"/>
      </w:pPr>
      <w:r w:rsidRPr="002642BC">
        <w:t xml:space="preserve">As we noted in </w:t>
      </w:r>
      <w:r w:rsidR="008164C0">
        <w:t>informal document INF.</w:t>
      </w:r>
      <w:r w:rsidRPr="002642BC">
        <w:t>41</w:t>
      </w:r>
      <w:r w:rsidR="008164C0">
        <w:t xml:space="preserve"> (fifty-third session)</w:t>
      </w:r>
      <w:r w:rsidRPr="002642BC">
        <w:t>, t</w:t>
      </w:r>
      <w:r w:rsidR="00FD02C1" w:rsidRPr="002642BC">
        <w:t xml:space="preserve">he marking and labelling requirements for a package of </w:t>
      </w:r>
      <w:r w:rsidRPr="002642BC">
        <w:t xml:space="preserve">lithium batteries </w:t>
      </w:r>
      <w:r w:rsidR="00FD02C1" w:rsidRPr="002642BC">
        <w:t xml:space="preserve">varies </w:t>
      </w:r>
      <w:r w:rsidR="006F3E52" w:rsidRPr="002642BC">
        <w:t xml:space="preserve">significantly </w:t>
      </w:r>
      <w:r w:rsidR="00FD02C1" w:rsidRPr="002642BC">
        <w:t xml:space="preserve">depending on the mode of transport used.  For example, a small package of four 50 Watt-hour lithium ion batteries shipped by road requires </w:t>
      </w:r>
      <w:r w:rsidR="00E76142" w:rsidRPr="002642BC">
        <w:t>a single</w:t>
      </w:r>
      <w:r w:rsidR="00FD02C1" w:rsidRPr="002642BC">
        <w:t xml:space="preserve"> lithium battery mark.  That same package shipped by air requires the lithium battery mark, Class 9 hazard label, Cargo Aircraft Only label, and proper shipping name and UN number.  </w:t>
      </w:r>
      <w:r w:rsidR="00E76142" w:rsidRPr="002642BC">
        <w:t xml:space="preserve">Two labels and the lithium battery mark on a small package often requires </w:t>
      </w:r>
      <w:r w:rsidR="00AC3EB6">
        <w:t>the shipper to place the lithium battery</w:t>
      </w:r>
      <w:r w:rsidR="00E76142" w:rsidRPr="002642BC">
        <w:t xml:space="preserve"> mark on an adjacent side of the package </w:t>
      </w:r>
      <w:r w:rsidR="00D95B5B" w:rsidRPr="002642BC">
        <w:t xml:space="preserve">from </w:t>
      </w:r>
      <w:r w:rsidR="00E76142" w:rsidRPr="002642BC">
        <w:t>the labels.  Reducing the size of the mark would enable the shipper to place both labels and the mark on the same side of the package thus improving the hazard communication</w:t>
      </w:r>
      <w:r w:rsidR="00AC3EB6">
        <w:t xml:space="preserve"> and safety</w:t>
      </w:r>
      <w:r w:rsidR="00E76142" w:rsidRPr="002642BC">
        <w:t>.</w:t>
      </w:r>
    </w:p>
    <w:p w:rsidR="00681744" w:rsidRPr="001C21AD" w:rsidRDefault="007E7937" w:rsidP="001C21AD">
      <w:pPr>
        <w:pStyle w:val="SingleTxtG"/>
        <w:numPr>
          <w:ilvl w:val="0"/>
          <w:numId w:val="48"/>
        </w:numPr>
        <w:ind w:left="1134" w:firstLine="0"/>
      </w:pPr>
      <w:r w:rsidRPr="001C21AD">
        <w:t>PRBA and REC</w:t>
      </w:r>
      <w:r w:rsidR="00CF05AF" w:rsidRPr="001C21AD">
        <w:t>HARGE initially proposed in INF.</w:t>
      </w:r>
      <w:r w:rsidRPr="001C21AD">
        <w:t>41 to elimi</w:t>
      </w:r>
      <w:r w:rsidR="00213254" w:rsidRPr="001C21AD">
        <w:t xml:space="preserve">nate the reference to </w:t>
      </w:r>
      <w:r w:rsidR="00CF05AF" w:rsidRPr="001C21AD">
        <w:t xml:space="preserve">the </w:t>
      </w:r>
      <w:r w:rsidR="00213254" w:rsidRPr="001C21AD">
        <w:t xml:space="preserve">larger 120 mm x 110 mm lithium battery mark and allow for the </w:t>
      </w:r>
      <w:r w:rsidR="00CF05AF" w:rsidRPr="001C21AD">
        <w:t xml:space="preserve">use of the </w:t>
      </w:r>
      <w:r w:rsidR="00213254" w:rsidRPr="001C21AD">
        <w:t xml:space="preserve">smaller mark of </w:t>
      </w:r>
      <w:r w:rsidR="00FD02C1" w:rsidRPr="001C21AD">
        <w:t>105 mm x 74 m</w:t>
      </w:r>
      <w:r w:rsidR="00213254" w:rsidRPr="001C21AD">
        <w:t>m</w:t>
      </w:r>
      <w:r w:rsidR="00CF05AF" w:rsidRPr="001C21AD">
        <w:t xml:space="preserve"> on all packages</w:t>
      </w:r>
      <w:r w:rsidR="001C21AD">
        <w:t xml:space="preserve">. </w:t>
      </w:r>
      <w:r w:rsidR="00FD02C1" w:rsidRPr="001C21AD">
        <w:t>This change would greatly simplify matters for the battery, electronics, and e-commerce industries and improve compliance for the large network of distributors who ship billions of lithium batteries and electronic devices each year.</w:t>
      </w:r>
      <w:r w:rsidR="00CF05AF" w:rsidRPr="001C21AD">
        <w:t xml:space="preserve">  However, based on the comments received from members of the Sub-Committee and after further consultation with the members of PRBA and RECHARGE, we are proposing changes to the dimensions of the lithium battery mark that would align them with other marking requirements in the Model Regulations.</w:t>
      </w:r>
    </w:p>
    <w:p w:rsidR="00F512F3" w:rsidRPr="001C21AD" w:rsidRDefault="00F512F3" w:rsidP="001C21AD">
      <w:pPr>
        <w:pStyle w:val="SingleTxtG"/>
        <w:numPr>
          <w:ilvl w:val="0"/>
          <w:numId w:val="48"/>
        </w:numPr>
        <w:ind w:left="1134" w:firstLine="0"/>
      </w:pPr>
      <w:r w:rsidRPr="001C21AD">
        <w:t xml:space="preserve">A new NOTE also would be required to provide for a four-year transitional period to use the new mark.  This would allow shippers to exhaust stocks of the existing mark and packages that have the mark pre-printed.  </w:t>
      </w:r>
    </w:p>
    <w:p w:rsidR="002E10DE" w:rsidRDefault="00A065BA" w:rsidP="002E10DE">
      <w:pPr>
        <w:pStyle w:val="HChG"/>
      </w:pPr>
      <w:r>
        <w:tab/>
      </w:r>
      <w:r>
        <w:tab/>
      </w:r>
      <w:r w:rsidR="002E10DE">
        <w:t>Proposal</w:t>
      </w:r>
    </w:p>
    <w:p w:rsidR="00681744" w:rsidRPr="002642BC" w:rsidRDefault="004F44DC" w:rsidP="001C21AD">
      <w:pPr>
        <w:pStyle w:val="SingleTxtG"/>
        <w:numPr>
          <w:ilvl w:val="0"/>
          <w:numId w:val="48"/>
        </w:numPr>
        <w:ind w:left="1134" w:firstLine="0"/>
      </w:pPr>
      <w:r w:rsidRPr="004F44DC">
        <w:t>In 5.2.1.9.2, it is proposed that the paragraph following Figure 5.2.5 be revised to read as follows</w:t>
      </w:r>
      <w:r>
        <w:t xml:space="preserve"> and include an additional “NOTE” for a transitional period</w:t>
      </w:r>
      <w:r w:rsidR="000E3BAD">
        <w:t xml:space="preserve">: </w:t>
      </w:r>
    </w:p>
    <w:p w:rsidR="002E10DE" w:rsidRPr="00F512F3" w:rsidRDefault="008164C0" w:rsidP="001C21AD">
      <w:pPr>
        <w:pStyle w:val="SingleTxtG"/>
        <w:ind w:left="1701"/>
      </w:pPr>
      <w:r>
        <w:t>“</w:t>
      </w:r>
      <w:r w:rsidR="002642BC" w:rsidRPr="002642BC">
        <w:t xml:space="preserve">The </w:t>
      </w:r>
      <w:r w:rsidR="002642BC" w:rsidRPr="00F512F3">
        <w:t xml:space="preserve">mark must be in the form of a </w:t>
      </w:r>
      <w:r w:rsidR="002642BC" w:rsidRPr="00F512F3">
        <w:rPr>
          <w:strike/>
        </w:rPr>
        <w:t xml:space="preserve">rectangle </w:t>
      </w:r>
      <w:r w:rsidR="00AA479F" w:rsidRPr="00F512F3">
        <w:rPr>
          <w:u w:val="single"/>
        </w:rPr>
        <w:t xml:space="preserve">square </w:t>
      </w:r>
      <w:r w:rsidR="002642BC" w:rsidRPr="00F512F3">
        <w:t xml:space="preserve">with hatched edging. </w:t>
      </w:r>
      <w:r w:rsidR="00AA479F" w:rsidRPr="00F512F3">
        <w:t xml:space="preserve"> </w:t>
      </w:r>
      <w:r w:rsidR="002642BC" w:rsidRPr="00F512F3">
        <w:t xml:space="preserve">The dimensions shall be a minimum of </w:t>
      </w:r>
      <w:r w:rsidR="002642BC" w:rsidRPr="00F512F3">
        <w:rPr>
          <w:strike/>
        </w:rPr>
        <w:t>120</w:t>
      </w:r>
      <w:r w:rsidR="002642BC" w:rsidRPr="00F512F3">
        <w:t xml:space="preserve"> </w:t>
      </w:r>
      <w:r w:rsidR="002642BC" w:rsidRPr="00F512F3">
        <w:rPr>
          <w:u w:val="single"/>
        </w:rPr>
        <w:t xml:space="preserve">100 </w:t>
      </w:r>
      <w:r w:rsidR="002642BC" w:rsidRPr="00F512F3">
        <w:t xml:space="preserve">mm wide x </w:t>
      </w:r>
      <w:r w:rsidR="002642BC" w:rsidRPr="00F512F3">
        <w:rPr>
          <w:strike/>
        </w:rPr>
        <w:t>110</w:t>
      </w:r>
      <w:r w:rsidR="002642BC" w:rsidRPr="00F512F3">
        <w:t xml:space="preserve"> </w:t>
      </w:r>
      <w:r w:rsidR="002642BC" w:rsidRPr="00F512F3">
        <w:rPr>
          <w:u w:val="single"/>
        </w:rPr>
        <w:t xml:space="preserve">100 </w:t>
      </w:r>
      <w:r w:rsidR="002642BC" w:rsidRPr="00F512F3">
        <w:t>mm high and the minimum widt</w:t>
      </w:r>
      <w:r w:rsidR="00AA479F" w:rsidRPr="00F512F3">
        <w:t xml:space="preserve">h of the hatching must be 5 mm. </w:t>
      </w:r>
      <w:r w:rsidR="002642BC" w:rsidRPr="00F512F3">
        <w:t xml:space="preserve"> The symbol (group of batteries, one damaged and emitting flame) above the UN number for lithium ion or lithium metal batteries or cells) shall be black on white or s</w:t>
      </w:r>
      <w:r w:rsidR="00AA479F" w:rsidRPr="00F512F3">
        <w:t xml:space="preserve">uitable contrasting background.  The hatching shall be red. </w:t>
      </w:r>
      <w:r w:rsidR="002642BC" w:rsidRPr="00F512F3">
        <w:t xml:space="preserve"> If the size of the package so requires, the dimensions/line thickness may be reduced to not less than </w:t>
      </w:r>
      <w:r w:rsidR="002642BC" w:rsidRPr="00F512F3">
        <w:rPr>
          <w:strike/>
        </w:rPr>
        <w:t>105</w:t>
      </w:r>
      <w:r w:rsidR="002642BC" w:rsidRPr="00F512F3">
        <w:t xml:space="preserve"> </w:t>
      </w:r>
      <w:r w:rsidR="002642BC" w:rsidRPr="00F512F3">
        <w:rPr>
          <w:u w:val="single"/>
        </w:rPr>
        <w:t xml:space="preserve">50 </w:t>
      </w:r>
      <w:r w:rsidR="002642BC" w:rsidRPr="00F512F3">
        <w:t xml:space="preserve">mm wide x </w:t>
      </w:r>
      <w:r w:rsidR="002642BC" w:rsidRPr="00F512F3">
        <w:rPr>
          <w:strike/>
        </w:rPr>
        <w:t>74</w:t>
      </w:r>
      <w:r w:rsidR="002642BC" w:rsidRPr="00F512F3">
        <w:t xml:space="preserve"> </w:t>
      </w:r>
      <w:r w:rsidR="002642BC" w:rsidRPr="00F512F3">
        <w:rPr>
          <w:u w:val="single"/>
        </w:rPr>
        <w:t xml:space="preserve">50 </w:t>
      </w:r>
      <w:r w:rsidR="002642BC" w:rsidRPr="00F512F3">
        <w:t xml:space="preserve">mm high </w:t>
      </w:r>
      <w:r w:rsidR="002642BC" w:rsidRPr="00F512F3">
        <w:rPr>
          <w:u w:val="single"/>
        </w:rPr>
        <w:t>provided the mark remains clearly visible</w:t>
      </w:r>
      <w:r w:rsidR="002642BC" w:rsidRPr="00F512F3">
        <w:t xml:space="preserve">. </w:t>
      </w:r>
      <w:r w:rsidR="00C1320F">
        <w:t xml:space="preserve"> </w:t>
      </w:r>
      <w:r w:rsidR="002642BC" w:rsidRPr="00F512F3">
        <w:t>Where dimensions are not specified, all features shall be approximate proportion to those shown.</w:t>
      </w:r>
    </w:p>
    <w:p w:rsidR="004F44DC" w:rsidRPr="001C21AD" w:rsidRDefault="004F44DC" w:rsidP="008164C0">
      <w:pPr>
        <w:pStyle w:val="SingleTxtG"/>
        <w:ind w:left="1701"/>
        <w:rPr>
          <w:u w:val="single"/>
        </w:rPr>
      </w:pPr>
      <w:r w:rsidRPr="001C21AD">
        <w:rPr>
          <w:b/>
          <w:bCs/>
          <w:i/>
          <w:iCs/>
          <w:u w:val="single"/>
        </w:rPr>
        <w:t>NOTE:</w:t>
      </w:r>
      <w:r w:rsidRPr="001C21AD">
        <w:rPr>
          <w:u w:val="single"/>
        </w:rPr>
        <w:t xml:space="preserve">  The provisions of 5.2.1.9.2 from the twenty-first revised edition of the Recommendations on the Transport of Dangerous Goods, Model Regulations may continue to be ap</w:t>
      </w:r>
      <w:r w:rsidR="008164C0">
        <w:rPr>
          <w:u w:val="single"/>
        </w:rPr>
        <w:t>plied until 31 December 2024.”.</w:t>
      </w:r>
    </w:p>
    <w:p w:rsidR="002E10DE" w:rsidRPr="002E10DE" w:rsidRDefault="002E10DE" w:rsidP="002E10DE">
      <w:pPr>
        <w:pStyle w:val="ListParagraph"/>
        <w:tabs>
          <w:tab w:val="left" w:pos="1855"/>
        </w:tabs>
        <w:suppressAutoHyphens/>
        <w:spacing w:before="240" w:line="240" w:lineRule="atLeast"/>
        <w:ind w:left="1134" w:right="1134"/>
        <w:jc w:val="center"/>
        <w:rPr>
          <w:sz w:val="20"/>
          <w:szCs w:val="20"/>
          <w:u w:val="single"/>
        </w:rPr>
      </w:pPr>
      <w:r>
        <w:rPr>
          <w:sz w:val="20"/>
          <w:szCs w:val="20"/>
          <w:u w:val="single"/>
        </w:rPr>
        <w:tab/>
      </w:r>
      <w:r>
        <w:rPr>
          <w:sz w:val="20"/>
          <w:szCs w:val="20"/>
          <w:u w:val="single"/>
        </w:rPr>
        <w:tab/>
      </w:r>
      <w:r>
        <w:rPr>
          <w:sz w:val="20"/>
          <w:szCs w:val="20"/>
          <w:u w:val="single"/>
        </w:rPr>
        <w:tab/>
      </w:r>
    </w:p>
    <w:p w:rsidR="002E10DE" w:rsidRDefault="002E10DE" w:rsidP="002E10DE">
      <w:pPr>
        <w:spacing w:before="3"/>
        <w:rPr>
          <w:sz w:val="24"/>
          <w:szCs w:val="24"/>
        </w:rPr>
      </w:pPr>
    </w:p>
    <w:p w:rsidR="0078270D" w:rsidRDefault="0078270D" w:rsidP="00E41283"/>
    <w:p w:rsidR="0078270D" w:rsidRDefault="0078270D" w:rsidP="00E41283"/>
    <w:p w:rsidR="0078270D" w:rsidRDefault="0078270D" w:rsidP="00E41283"/>
    <w:sectPr w:rsidR="0078270D" w:rsidSect="00D86516">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36F" w:rsidRDefault="00DF236F"/>
  </w:endnote>
  <w:endnote w:type="continuationSeparator" w:id="0">
    <w:p w:rsidR="00DF236F" w:rsidRDefault="00DF236F"/>
  </w:endnote>
  <w:endnote w:type="continuationNotice" w:id="1">
    <w:p w:rsidR="00DF236F" w:rsidRDefault="00DF2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9C67CC" w:rsidRDefault="00100242">
    <w:pPr>
      <w:pStyle w:val="Footer"/>
      <w:rPr>
        <w:b/>
      </w:rPr>
    </w:pPr>
    <w:r w:rsidRPr="009C67CC">
      <w:rPr>
        <w:b/>
      </w:rPr>
      <w:fldChar w:fldCharType="begin"/>
    </w:r>
    <w:r w:rsidRPr="009C67CC">
      <w:rPr>
        <w:b/>
      </w:rPr>
      <w:instrText xml:space="preserve"> PAGE   \* MERGEFORMAT </w:instrText>
    </w:r>
    <w:r w:rsidRPr="009C67CC">
      <w:rPr>
        <w:b/>
      </w:rPr>
      <w:fldChar w:fldCharType="separate"/>
    </w:r>
    <w:r w:rsidR="0027776D">
      <w:rPr>
        <w:b/>
        <w:noProof/>
      </w:rPr>
      <w:t>2</w:t>
    </w:r>
    <w:r w:rsidRPr="009C67CC">
      <w:rPr>
        <w:b/>
        <w:noProof/>
      </w:rPr>
      <w:fldChar w:fldCharType="end"/>
    </w:r>
  </w:p>
  <w:p w:rsidR="00100242" w:rsidRDefault="0010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9D58C1" w:rsidRDefault="00100242">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27776D">
      <w:rPr>
        <w:b/>
        <w:noProof/>
        <w:sz w:val="18"/>
        <w:szCs w:val="18"/>
      </w:rPr>
      <w:t>3</w:t>
    </w:r>
    <w:r w:rsidRPr="009D58C1">
      <w:rPr>
        <w:b/>
        <w:noProof/>
        <w:sz w:val="18"/>
        <w:szCs w:val="18"/>
      </w:rPr>
      <w:fldChar w:fldCharType="end"/>
    </w:r>
  </w:p>
  <w:p w:rsidR="00100242" w:rsidRPr="00432CFD" w:rsidRDefault="00100242" w:rsidP="009D5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36F" w:rsidRPr="000B175B" w:rsidRDefault="00DF236F" w:rsidP="000B175B">
      <w:pPr>
        <w:tabs>
          <w:tab w:val="right" w:pos="2155"/>
        </w:tabs>
        <w:spacing w:after="80"/>
        <w:ind w:left="680"/>
        <w:rPr>
          <w:u w:val="single"/>
        </w:rPr>
      </w:pPr>
      <w:r>
        <w:rPr>
          <w:u w:val="single"/>
        </w:rPr>
        <w:tab/>
      </w:r>
    </w:p>
  </w:footnote>
  <w:footnote w:type="continuationSeparator" w:id="0">
    <w:p w:rsidR="00DF236F" w:rsidRPr="00FC68B7" w:rsidRDefault="00DF236F" w:rsidP="00FC68B7">
      <w:pPr>
        <w:tabs>
          <w:tab w:val="left" w:pos="2155"/>
        </w:tabs>
        <w:spacing w:after="80"/>
        <w:ind w:left="680"/>
        <w:rPr>
          <w:u w:val="single"/>
        </w:rPr>
      </w:pPr>
      <w:r>
        <w:rPr>
          <w:u w:val="single"/>
        </w:rPr>
        <w:tab/>
      </w:r>
    </w:p>
  </w:footnote>
  <w:footnote w:type="continuationNotice" w:id="1">
    <w:p w:rsidR="00DF236F" w:rsidRDefault="00DF236F"/>
  </w:footnote>
  <w:footnote w:id="2">
    <w:p w:rsidR="001C21AD" w:rsidRPr="001C21AD" w:rsidRDefault="001C21AD" w:rsidP="001C21AD">
      <w:pPr>
        <w:pStyle w:val="FootnoteText"/>
        <w:tabs>
          <w:tab w:val="left" w:pos="1418"/>
        </w:tabs>
        <w:ind w:firstLine="0"/>
        <w:rPr>
          <w:lang w:val="fr-CH"/>
        </w:rPr>
      </w:pPr>
      <w:r>
        <w:rPr>
          <w:rStyle w:val="FootnoteReference"/>
        </w:rPr>
        <w:t>*</w:t>
      </w:r>
      <w:r>
        <w:t xml:space="preserve"> </w:t>
      </w:r>
      <w:r>
        <w:tab/>
      </w:r>
      <w:r w:rsidRPr="009B35D8">
        <w:rPr>
          <w:color w:val="000000"/>
          <w:szCs w:val="18"/>
          <w:lang w:eastAsia="en-GB"/>
        </w:rPr>
        <w:t>In accordance with the programme of work of the Sub-Committee for</w:t>
      </w:r>
      <w:r w:rsidRPr="009B35D8">
        <w:rPr>
          <w:szCs w:val="18"/>
        </w:rPr>
        <w:t xml:space="preserve"> 2017–2018 approved by the Committee at its </w:t>
      </w:r>
      <w:r w:rsidRPr="009B35D8">
        <w:rPr>
          <w:rStyle w:val="Hyperlink"/>
          <w:szCs w:val="18"/>
          <w:lang w:val="en-US"/>
        </w:rPr>
        <w:t>eighth session (see ST/SG/AC.10/C.3/100, paragraph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432CFD" w:rsidRDefault="001C21AD">
    <w:pPr>
      <w:pStyle w:val="Header"/>
      <w:rPr>
        <w:lang w:val="fr-CH"/>
      </w:rPr>
    </w:pPr>
    <w:r>
      <w:rPr>
        <w:lang w:val="fr-CH"/>
      </w:rPr>
      <w:t>ST/SG/AC.10/C.3/2018/115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9D58C1" w:rsidRDefault="00100242" w:rsidP="009D58C1">
    <w:pPr>
      <w:pStyle w:val="Header"/>
      <w:pBdr>
        <w:bottom w:val="single" w:sz="4" w:space="1" w:color="auto"/>
      </w:pBdr>
      <w:jc w:val="right"/>
      <w:rPr>
        <w:lang w:val="fr-CH"/>
      </w:rPr>
    </w:pPr>
    <w:r>
      <w:rPr>
        <w:lang w:val="fr-CH"/>
      </w:rPr>
      <w:t>ST/SG/AC.10/C.3/201</w:t>
    </w:r>
    <w:r w:rsidR="008129F0">
      <w:rPr>
        <w:lang w:val="fr-CH"/>
      </w:rPr>
      <w:t>8</w:t>
    </w:r>
    <w:r>
      <w:rPr>
        <w:lang w:val="fr-CH"/>
      </w:rPr>
      <w:t>/</w:t>
    </w:r>
    <w:r w:rsidR="00A065BA">
      <w:rPr>
        <w:lang w:val="fr-CH"/>
      </w:rPr>
      <w:t>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2E10DE" w:rsidRDefault="00100242" w:rsidP="001C21A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6426A6"/>
    <w:multiLevelType w:val="hybridMultilevel"/>
    <w:tmpl w:val="4A0C0424"/>
    <w:lvl w:ilvl="0" w:tplc="2DFC7C98">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499791C"/>
    <w:multiLevelType w:val="hybridMultilevel"/>
    <w:tmpl w:val="02502E46"/>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25526916"/>
    <w:multiLevelType w:val="hybridMultilevel"/>
    <w:tmpl w:val="32507890"/>
    <w:lvl w:ilvl="0" w:tplc="0464AD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A766E"/>
    <w:multiLevelType w:val="hybridMultilevel"/>
    <w:tmpl w:val="93CA590C"/>
    <w:lvl w:ilvl="0" w:tplc="779C2722">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CD2CC9"/>
    <w:multiLevelType w:val="hybridMultilevel"/>
    <w:tmpl w:val="038687F8"/>
    <w:lvl w:ilvl="0" w:tplc="371A32E0">
      <w:start w:val="10"/>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6"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C092866"/>
    <w:multiLevelType w:val="hybridMultilevel"/>
    <w:tmpl w:val="1A50EEF4"/>
    <w:lvl w:ilvl="0" w:tplc="6D4A0AEA">
      <w:start w:val="10"/>
      <w:numFmt w:val="decimal"/>
      <w:lvlText w:val="%1."/>
      <w:lvlJc w:val="left"/>
      <w:pPr>
        <w:ind w:left="180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1845D74"/>
    <w:multiLevelType w:val="hybridMultilevel"/>
    <w:tmpl w:val="171A844C"/>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8"/>
  </w:num>
  <w:num w:numId="13">
    <w:abstractNumId w:val="12"/>
  </w:num>
  <w:num w:numId="14">
    <w:abstractNumId w:val="42"/>
  </w:num>
  <w:num w:numId="15">
    <w:abstractNumId w:val="46"/>
  </w:num>
  <w:num w:numId="16">
    <w:abstractNumId w:val="28"/>
  </w:num>
  <w:num w:numId="17">
    <w:abstractNumId w:val="26"/>
  </w:num>
  <w:num w:numId="18">
    <w:abstractNumId w:val="45"/>
  </w:num>
  <w:num w:numId="19">
    <w:abstractNumId w:val="19"/>
  </w:num>
  <w:num w:numId="20">
    <w:abstractNumId w:val="15"/>
  </w:num>
  <w:num w:numId="21">
    <w:abstractNumId w:val="27"/>
  </w:num>
  <w:num w:numId="22">
    <w:abstractNumId w:val="11"/>
  </w:num>
  <w:num w:numId="23">
    <w:abstractNumId w:val="32"/>
  </w:num>
  <w:num w:numId="24">
    <w:abstractNumId w:val="16"/>
  </w:num>
  <w:num w:numId="25">
    <w:abstractNumId w:val="21"/>
  </w:num>
  <w:num w:numId="26">
    <w:abstractNumId w:val="36"/>
  </w:num>
  <w:num w:numId="27">
    <w:abstractNumId w:val="43"/>
  </w:num>
  <w:num w:numId="28">
    <w:abstractNumId w:val="22"/>
  </w:num>
  <w:num w:numId="29">
    <w:abstractNumId w:val="25"/>
  </w:num>
  <w:num w:numId="30">
    <w:abstractNumId w:val="38"/>
  </w:num>
  <w:num w:numId="31">
    <w:abstractNumId w:val="20"/>
  </w:num>
  <w:num w:numId="32">
    <w:abstractNumId w:val="24"/>
  </w:num>
  <w:num w:numId="33">
    <w:abstractNumId w:val="35"/>
  </w:num>
  <w:num w:numId="34">
    <w:abstractNumId w:val="47"/>
  </w:num>
  <w:num w:numId="35">
    <w:abstractNumId w:val="44"/>
  </w:num>
  <w:num w:numId="36">
    <w:abstractNumId w:val="39"/>
  </w:num>
  <w:num w:numId="37">
    <w:abstractNumId w:val="14"/>
  </w:num>
  <w:num w:numId="38">
    <w:abstractNumId w:val="29"/>
  </w:num>
  <w:num w:numId="39">
    <w:abstractNumId w:val="33"/>
  </w:num>
  <w:num w:numId="40">
    <w:abstractNumId w:val="31"/>
  </w:num>
  <w:num w:numId="41">
    <w:abstractNumId w:val="10"/>
  </w:num>
  <w:num w:numId="42">
    <w:abstractNumId w:val="17"/>
  </w:num>
  <w:num w:numId="43">
    <w:abstractNumId w:val="41"/>
  </w:num>
  <w:num w:numId="44">
    <w:abstractNumId w:val="34"/>
  </w:num>
  <w:num w:numId="45">
    <w:abstractNumId w:val="37"/>
  </w:num>
  <w:num w:numId="46">
    <w:abstractNumId w:val="30"/>
  </w:num>
  <w:num w:numId="47">
    <w:abstractNumId w:val="13"/>
  </w:num>
  <w:num w:numId="4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34CF"/>
    <w:rsid w:val="00014BA7"/>
    <w:rsid w:val="00021A34"/>
    <w:rsid w:val="000230A1"/>
    <w:rsid w:val="00025E4D"/>
    <w:rsid w:val="00026046"/>
    <w:rsid w:val="0002626C"/>
    <w:rsid w:val="00027FBE"/>
    <w:rsid w:val="00031FF3"/>
    <w:rsid w:val="00034B57"/>
    <w:rsid w:val="00037FD8"/>
    <w:rsid w:val="00044B65"/>
    <w:rsid w:val="00044DE9"/>
    <w:rsid w:val="00050F6B"/>
    <w:rsid w:val="00051062"/>
    <w:rsid w:val="000540AC"/>
    <w:rsid w:val="00056542"/>
    <w:rsid w:val="00060E74"/>
    <w:rsid w:val="00062F47"/>
    <w:rsid w:val="00064A74"/>
    <w:rsid w:val="000675CC"/>
    <w:rsid w:val="00071BCB"/>
    <w:rsid w:val="00072C8C"/>
    <w:rsid w:val="0007360D"/>
    <w:rsid w:val="00074065"/>
    <w:rsid w:val="00086FBE"/>
    <w:rsid w:val="000900D2"/>
    <w:rsid w:val="00091419"/>
    <w:rsid w:val="000931C0"/>
    <w:rsid w:val="000A25EF"/>
    <w:rsid w:val="000A47C9"/>
    <w:rsid w:val="000A57F2"/>
    <w:rsid w:val="000B0A3E"/>
    <w:rsid w:val="000B175B"/>
    <w:rsid w:val="000B3A0F"/>
    <w:rsid w:val="000C0BD8"/>
    <w:rsid w:val="000C52A3"/>
    <w:rsid w:val="000D21CE"/>
    <w:rsid w:val="000D2DB2"/>
    <w:rsid w:val="000E0415"/>
    <w:rsid w:val="000E2643"/>
    <w:rsid w:val="000E3BAD"/>
    <w:rsid w:val="000F2380"/>
    <w:rsid w:val="000F5031"/>
    <w:rsid w:val="00100242"/>
    <w:rsid w:val="00105D5C"/>
    <w:rsid w:val="0010735D"/>
    <w:rsid w:val="00115198"/>
    <w:rsid w:val="00117787"/>
    <w:rsid w:val="00130B2B"/>
    <w:rsid w:val="00131714"/>
    <w:rsid w:val="00131767"/>
    <w:rsid w:val="00131D42"/>
    <w:rsid w:val="001329B7"/>
    <w:rsid w:val="001359E2"/>
    <w:rsid w:val="001415AC"/>
    <w:rsid w:val="00141AC5"/>
    <w:rsid w:val="0014274C"/>
    <w:rsid w:val="001472C9"/>
    <w:rsid w:val="0014749F"/>
    <w:rsid w:val="00147BFD"/>
    <w:rsid w:val="00150A37"/>
    <w:rsid w:val="0015390C"/>
    <w:rsid w:val="001559C5"/>
    <w:rsid w:val="00155A9F"/>
    <w:rsid w:val="0016239A"/>
    <w:rsid w:val="001633FB"/>
    <w:rsid w:val="001649AD"/>
    <w:rsid w:val="001832E7"/>
    <w:rsid w:val="00186AE8"/>
    <w:rsid w:val="0018709C"/>
    <w:rsid w:val="00191FC2"/>
    <w:rsid w:val="001A0D51"/>
    <w:rsid w:val="001B1A57"/>
    <w:rsid w:val="001B4B04"/>
    <w:rsid w:val="001C08BC"/>
    <w:rsid w:val="001C21AD"/>
    <w:rsid w:val="001C3F03"/>
    <w:rsid w:val="001C4992"/>
    <w:rsid w:val="001C6663"/>
    <w:rsid w:val="001C70FB"/>
    <w:rsid w:val="001C7895"/>
    <w:rsid w:val="001D26DF"/>
    <w:rsid w:val="001D2FDC"/>
    <w:rsid w:val="001D510E"/>
    <w:rsid w:val="001E5B82"/>
    <w:rsid w:val="001F7DAC"/>
    <w:rsid w:val="00204D75"/>
    <w:rsid w:val="002054BE"/>
    <w:rsid w:val="0020640F"/>
    <w:rsid w:val="00211BD8"/>
    <w:rsid w:val="00211E0B"/>
    <w:rsid w:val="00212046"/>
    <w:rsid w:val="00213254"/>
    <w:rsid w:val="002213FA"/>
    <w:rsid w:val="0022446F"/>
    <w:rsid w:val="002262D3"/>
    <w:rsid w:val="002309A7"/>
    <w:rsid w:val="00230CED"/>
    <w:rsid w:val="00230F2E"/>
    <w:rsid w:val="00235937"/>
    <w:rsid w:val="002370FA"/>
    <w:rsid w:val="00237785"/>
    <w:rsid w:val="00241466"/>
    <w:rsid w:val="00244BA0"/>
    <w:rsid w:val="00253374"/>
    <w:rsid w:val="002642BC"/>
    <w:rsid w:val="00265251"/>
    <w:rsid w:val="00265A8C"/>
    <w:rsid w:val="00271844"/>
    <w:rsid w:val="00271FD4"/>
    <w:rsid w:val="002725CA"/>
    <w:rsid w:val="00273765"/>
    <w:rsid w:val="00276796"/>
    <w:rsid w:val="0027776D"/>
    <w:rsid w:val="002807B9"/>
    <w:rsid w:val="00280EB7"/>
    <w:rsid w:val="00283B0C"/>
    <w:rsid w:val="002845E7"/>
    <w:rsid w:val="00285581"/>
    <w:rsid w:val="00287C9D"/>
    <w:rsid w:val="00291742"/>
    <w:rsid w:val="00297FDB"/>
    <w:rsid w:val="002A2457"/>
    <w:rsid w:val="002A3034"/>
    <w:rsid w:val="002A60F8"/>
    <w:rsid w:val="002A6E0B"/>
    <w:rsid w:val="002A7BC0"/>
    <w:rsid w:val="002B1A41"/>
    <w:rsid w:val="002B1CDA"/>
    <w:rsid w:val="002B26CF"/>
    <w:rsid w:val="002C56EC"/>
    <w:rsid w:val="002C638D"/>
    <w:rsid w:val="002D30CC"/>
    <w:rsid w:val="002D767C"/>
    <w:rsid w:val="002E0A46"/>
    <w:rsid w:val="002E10DE"/>
    <w:rsid w:val="002F0ACF"/>
    <w:rsid w:val="002F7AAF"/>
    <w:rsid w:val="002F7F51"/>
    <w:rsid w:val="00301F46"/>
    <w:rsid w:val="003107FA"/>
    <w:rsid w:val="00316CDE"/>
    <w:rsid w:val="003229D8"/>
    <w:rsid w:val="00323B8F"/>
    <w:rsid w:val="00350C40"/>
    <w:rsid w:val="00363CCA"/>
    <w:rsid w:val="00364DED"/>
    <w:rsid w:val="00376216"/>
    <w:rsid w:val="0037785D"/>
    <w:rsid w:val="00381151"/>
    <w:rsid w:val="00383CC3"/>
    <w:rsid w:val="0039277A"/>
    <w:rsid w:val="003972E0"/>
    <w:rsid w:val="003A2736"/>
    <w:rsid w:val="003A4A7A"/>
    <w:rsid w:val="003B5E83"/>
    <w:rsid w:val="003C247C"/>
    <w:rsid w:val="003C2CC4"/>
    <w:rsid w:val="003D4B23"/>
    <w:rsid w:val="003E1CED"/>
    <w:rsid w:val="003E5E81"/>
    <w:rsid w:val="003F347E"/>
    <w:rsid w:val="003F66B7"/>
    <w:rsid w:val="004028F0"/>
    <w:rsid w:val="00412C82"/>
    <w:rsid w:val="0041748B"/>
    <w:rsid w:val="004230C6"/>
    <w:rsid w:val="004325CB"/>
    <w:rsid w:val="00432CFD"/>
    <w:rsid w:val="00434D54"/>
    <w:rsid w:val="00436E22"/>
    <w:rsid w:val="00437F3F"/>
    <w:rsid w:val="00443E7D"/>
    <w:rsid w:val="004444D3"/>
    <w:rsid w:val="00445784"/>
    <w:rsid w:val="00446DE4"/>
    <w:rsid w:val="00447A01"/>
    <w:rsid w:val="00454036"/>
    <w:rsid w:val="00457ED8"/>
    <w:rsid w:val="00462EB7"/>
    <w:rsid w:val="00463344"/>
    <w:rsid w:val="00463DBC"/>
    <w:rsid w:val="00471D64"/>
    <w:rsid w:val="00474B1C"/>
    <w:rsid w:val="0048040E"/>
    <w:rsid w:val="004815BC"/>
    <w:rsid w:val="00486F0C"/>
    <w:rsid w:val="004906B4"/>
    <w:rsid w:val="00495374"/>
    <w:rsid w:val="004A411D"/>
    <w:rsid w:val="004A57CE"/>
    <w:rsid w:val="004A72B1"/>
    <w:rsid w:val="004B2C9D"/>
    <w:rsid w:val="004B4C10"/>
    <w:rsid w:val="004C008C"/>
    <w:rsid w:val="004C3287"/>
    <w:rsid w:val="004C5AF0"/>
    <w:rsid w:val="004C6CF4"/>
    <w:rsid w:val="004D0FBF"/>
    <w:rsid w:val="004E2C23"/>
    <w:rsid w:val="004E795A"/>
    <w:rsid w:val="004F44DC"/>
    <w:rsid w:val="00503B9C"/>
    <w:rsid w:val="005123DA"/>
    <w:rsid w:val="00515F83"/>
    <w:rsid w:val="00516993"/>
    <w:rsid w:val="00517A3F"/>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74827"/>
    <w:rsid w:val="005872A8"/>
    <w:rsid w:val="00590144"/>
    <w:rsid w:val="005962B5"/>
    <w:rsid w:val="00596AFB"/>
    <w:rsid w:val="005A4D8F"/>
    <w:rsid w:val="005A585F"/>
    <w:rsid w:val="005A58DB"/>
    <w:rsid w:val="005B3DB3"/>
    <w:rsid w:val="005C00DF"/>
    <w:rsid w:val="005C5058"/>
    <w:rsid w:val="005C67A3"/>
    <w:rsid w:val="005D1CA6"/>
    <w:rsid w:val="005D476B"/>
    <w:rsid w:val="005D5296"/>
    <w:rsid w:val="005D5E45"/>
    <w:rsid w:val="005E0F7B"/>
    <w:rsid w:val="005E482E"/>
    <w:rsid w:val="005E5BFE"/>
    <w:rsid w:val="00601025"/>
    <w:rsid w:val="006014D2"/>
    <w:rsid w:val="00606BD8"/>
    <w:rsid w:val="006119AE"/>
    <w:rsid w:val="00611FC4"/>
    <w:rsid w:val="0061691B"/>
    <w:rsid w:val="006176FB"/>
    <w:rsid w:val="0063419C"/>
    <w:rsid w:val="00640B26"/>
    <w:rsid w:val="006420B1"/>
    <w:rsid w:val="006500BA"/>
    <w:rsid w:val="00650DBA"/>
    <w:rsid w:val="006612FE"/>
    <w:rsid w:val="00663B47"/>
    <w:rsid w:val="006804E7"/>
    <w:rsid w:val="00680EC5"/>
    <w:rsid w:val="00681546"/>
    <w:rsid w:val="00681628"/>
    <w:rsid w:val="00681744"/>
    <w:rsid w:val="0068403D"/>
    <w:rsid w:val="00684E8C"/>
    <w:rsid w:val="0069492F"/>
    <w:rsid w:val="00696595"/>
    <w:rsid w:val="00697525"/>
    <w:rsid w:val="006A7392"/>
    <w:rsid w:val="006B7933"/>
    <w:rsid w:val="006C0D34"/>
    <w:rsid w:val="006C1CA0"/>
    <w:rsid w:val="006C54A0"/>
    <w:rsid w:val="006C7E11"/>
    <w:rsid w:val="006D0AF8"/>
    <w:rsid w:val="006D247B"/>
    <w:rsid w:val="006D5191"/>
    <w:rsid w:val="006E564B"/>
    <w:rsid w:val="006E6FBD"/>
    <w:rsid w:val="006F3E52"/>
    <w:rsid w:val="006F4D74"/>
    <w:rsid w:val="007012C4"/>
    <w:rsid w:val="0070311F"/>
    <w:rsid w:val="00704A7F"/>
    <w:rsid w:val="007102D9"/>
    <w:rsid w:val="007227B6"/>
    <w:rsid w:val="00725848"/>
    <w:rsid w:val="0072632A"/>
    <w:rsid w:val="0073039D"/>
    <w:rsid w:val="007319D5"/>
    <w:rsid w:val="00731BEA"/>
    <w:rsid w:val="00741915"/>
    <w:rsid w:val="00745352"/>
    <w:rsid w:val="0075116C"/>
    <w:rsid w:val="00753201"/>
    <w:rsid w:val="007548D5"/>
    <w:rsid w:val="007553DC"/>
    <w:rsid w:val="007612E0"/>
    <w:rsid w:val="00761389"/>
    <w:rsid w:val="00762706"/>
    <w:rsid w:val="007665DE"/>
    <w:rsid w:val="00771113"/>
    <w:rsid w:val="007713F2"/>
    <w:rsid w:val="00776CA4"/>
    <w:rsid w:val="00777356"/>
    <w:rsid w:val="00780921"/>
    <w:rsid w:val="0078270D"/>
    <w:rsid w:val="007857CD"/>
    <w:rsid w:val="00790791"/>
    <w:rsid w:val="00791404"/>
    <w:rsid w:val="007A23EF"/>
    <w:rsid w:val="007A66B2"/>
    <w:rsid w:val="007B6BA5"/>
    <w:rsid w:val="007B6FE6"/>
    <w:rsid w:val="007C3390"/>
    <w:rsid w:val="007C4F4B"/>
    <w:rsid w:val="007E3A92"/>
    <w:rsid w:val="007E51DE"/>
    <w:rsid w:val="007E7937"/>
    <w:rsid w:val="007F25B3"/>
    <w:rsid w:val="007F28CB"/>
    <w:rsid w:val="007F6611"/>
    <w:rsid w:val="00800138"/>
    <w:rsid w:val="0080387F"/>
    <w:rsid w:val="008041BA"/>
    <w:rsid w:val="008124A5"/>
    <w:rsid w:val="008129F0"/>
    <w:rsid w:val="008164C0"/>
    <w:rsid w:val="008175E9"/>
    <w:rsid w:val="008213BB"/>
    <w:rsid w:val="00822225"/>
    <w:rsid w:val="008242D7"/>
    <w:rsid w:val="0083337A"/>
    <w:rsid w:val="00841AB4"/>
    <w:rsid w:val="00846136"/>
    <w:rsid w:val="00853FAE"/>
    <w:rsid w:val="008548B3"/>
    <w:rsid w:val="008554E7"/>
    <w:rsid w:val="00855967"/>
    <w:rsid w:val="00861ACC"/>
    <w:rsid w:val="00866523"/>
    <w:rsid w:val="00871FD5"/>
    <w:rsid w:val="00874782"/>
    <w:rsid w:val="00874C3C"/>
    <w:rsid w:val="00880DE7"/>
    <w:rsid w:val="008828E0"/>
    <w:rsid w:val="00884B25"/>
    <w:rsid w:val="00885E87"/>
    <w:rsid w:val="00893828"/>
    <w:rsid w:val="008947E2"/>
    <w:rsid w:val="00894C13"/>
    <w:rsid w:val="008979B1"/>
    <w:rsid w:val="008A1350"/>
    <w:rsid w:val="008A29F7"/>
    <w:rsid w:val="008A5C06"/>
    <w:rsid w:val="008A6B25"/>
    <w:rsid w:val="008A6B52"/>
    <w:rsid w:val="008A6C4F"/>
    <w:rsid w:val="008B174F"/>
    <w:rsid w:val="008C0C4E"/>
    <w:rsid w:val="008C3133"/>
    <w:rsid w:val="008C4A16"/>
    <w:rsid w:val="008C518D"/>
    <w:rsid w:val="008C7398"/>
    <w:rsid w:val="008D16E8"/>
    <w:rsid w:val="008D16EF"/>
    <w:rsid w:val="008D5AB6"/>
    <w:rsid w:val="008D6FE1"/>
    <w:rsid w:val="008D7973"/>
    <w:rsid w:val="008D7AB3"/>
    <w:rsid w:val="008E0E46"/>
    <w:rsid w:val="008E3B3C"/>
    <w:rsid w:val="008F596C"/>
    <w:rsid w:val="008F671F"/>
    <w:rsid w:val="009019F7"/>
    <w:rsid w:val="009043FC"/>
    <w:rsid w:val="00904592"/>
    <w:rsid w:val="00910F3B"/>
    <w:rsid w:val="009128F8"/>
    <w:rsid w:val="00915A89"/>
    <w:rsid w:val="00916F49"/>
    <w:rsid w:val="009213A3"/>
    <w:rsid w:val="0092169C"/>
    <w:rsid w:val="00921A36"/>
    <w:rsid w:val="00921FDE"/>
    <w:rsid w:val="00924C9C"/>
    <w:rsid w:val="0093272D"/>
    <w:rsid w:val="009338EE"/>
    <w:rsid w:val="009346DE"/>
    <w:rsid w:val="00940320"/>
    <w:rsid w:val="00940479"/>
    <w:rsid w:val="0094213D"/>
    <w:rsid w:val="00943B65"/>
    <w:rsid w:val="00945553"/>
    <w:rsid w:val="00945A5D"/>
    <w:rsid w:val="009502B6"/>
    <w:rsid w:val="00953FD3"/>
    <w:rsid w:val="00956CAD"/>
    <w:rsid w:val="00957C6D"/>
    <w:rsid w:val="00963CBA"/>
    <w:rsid w:val="00964B10"/>
    <w:rsid w:val="00967AC9"/>
    <w:rsid w:val="00971136"/>
    <w:rsid w:val="00973555"/>
    <w:rsid w:val="009815DF"/>
    <w:rsid w:val="009848AB"/>
    <w:rsid w:val="00987E8A"/>
    <w:rsid w:val="00987EBF"/>
    <w:rsid w:val="0099124E"/>
    <w:rsid w:val="00991261"/>
    <w:rsid w:val="00992985"/>
    <w:rsid w:val="0099483C"/>
    <w:rsid w:val="009967A1"/>
    <w:rsid w:val="009A3CB7"/>
    <w:rsid w:val="009A681A"/>
    <w:rsid w:val="009B007F"/>
    <w:rsid w:val="009B0ED1"/>
    <w:rsid w:val="009C25D5"/>
    <w:rsid w:val="009C2953"/>
    <w:rsid w:val="009C3671"/>
    <w:rsid w:val="009C46C7"/>
    <w:rsid w:val="009C67CC"/>
    <w:rsid w:val="009D58C1"/>
    <w:rsid w:val="009E140E"/>
    <w:rsid w:val="009F0F06"/>
    <w:rsid w:val="00A04323"/>
    <w:rsid w:val="00A065BA"/>
    <w:rsid w:val="00A120B4"/>
    <w:rsid w:val="00A1427D"/>
    <w:rsid w:val="00A176C2"/>
    <w:rsid w:val="00A23A0D"/>
    <w:rsid w:val="00A250A4"/>
    <w:rsid w:val="00A27434"/>
    <w:rsid w:val="00A27707"/>
    <w:rsid w:val="00A328AA"/>
    <w:rsid w:val="00A40024"/>
    <w:rsid w:val="00A47B65"/>
    <w:rsid w:val="00A60EB5"/>
    <w:rsid w:val="00A67BA6"/>
    <w:rsid w:val="00A72F22"/>
    <w:rsid w:val="00A7341F"/>
    <w:rsid w:val="00A748A6"/>
    <w:rsid w:val="00A74F3D"/>
    <w:rsid w:val="00A75EC9"/>
    <w:rsid w:val="00A879A4"/>
    <w:rsid w:val="00AA479F"/>
    <w:rsid w:val="00AA7910"/>
    <w:rsid w:val="00AB48E3"/>
    <w:rsid w:val="00AB521F"/>
    <w:rsid w:val="00AB79D3"/>
    <w:rsid w:val="00AC1947"/>
    <w:rsid w:val="00AC3EB6"/>
    <w:rsid w:val="00AC47CB"/>
    <w:rsid w:val="00AC71C1"/>
    <w:rsid w:val="00AD29A4"/>
    <w:rsid w:val="00AD6445"/>
    <w:rsid w:val="00AE5607"/>
    <w:rsid w:val="00AE71B9"/>
    <w:rsid w:val="00AF2A45"/>
    <w:rsid w:val="00AF2B6B"/>
    <w:rsid w:val="00AF3B55"/>
    <w:rsid w:val="00B045D1"/>
    <w:rsid w:val="00B062A6"/>
    <w:rsid w:val="00B07928"/>
    <w:rsid w:val="00B27DFF"/>
    <w:rsid w:val="00B30179"/>
    <w:rsid w:val="00B32C5C"/>
    <w:rsid w:val="00B3317B"/>
    <w:rsid w:val="00B355CF"/>
    <w:rsid w:val="00B3750B"/>
    <w:rsid w:val="00B41EB4"/>
    <w:rsid w:val="00B43E15"/>
    <w:rsid w:val="00B44874"/>
    <w:rsid w:val="00B44D1E"/>
    <w:rsid w:val="00B501B7"/>
    <w:rsid w:val="00B50F43"/>
    <w:rsid w:val="00B57FBF"/>
    <w:rsid w:val="00B6429F"/>
    <w:rsid w:val="00B656F0"/>
    <w:rsid w:val="00B725B8"/>
    <w:rsid w:val="00B73FEA"/>
    <w:rsid w:val="00B74841"/>
    <w:rsid w:val="00B77F38"/>
    <w:rsid w:val="00B81E12"/>
    <w:rsid w:val="00B83CFE"/>
    <w:rsid w:val="00B85580"/>
    <w:rsid w:val="00B91DEF"/>
    <w:rsid w:val="00B920A4"/>
    <w:rsid w:val="00B93068"/>
    <w:rsid w:val="00B95070"/>
    <w:rsid w:val="00BB0818"/>
    <w:rsid w:val="00BB3143"/>
    <w:rsid w:val="00BB418D"/>
    <w:rsid w:val="00BC193A"/>
    <w:rsid w:val="00BC1C5D"/>
    <w:rsid w:val="00BC46ED"/>
    <w:rsid w:val="00BC498D"/>
    <w:rsid w:val="00BC5429"/>
    <w:rsid w:val="00BC6F35"/>
    <w:rsid w:val="00BC74E9"/>
    <w:rsid w:val="00BC7EFB"/>
    <w:rsid w:val="00BD011C"/>
    <w:rsid w:val="00BD58AB"/>
    <w:rsid w:val="00BE3C13"/>
    <w:rsid w:val="00BE447C"/>
    <w:rsid w:val="00BE5B7F"/>
    <w:rsid w:val="00BE618E"/>
    <w:rsid w:val="00BF5F47"/>
    <w:rsid w:val="00BF6D59"/>
    <w:rsid w:val="00BF7A1A"/>
    <w:rsid w:val="00C02B2A"/>
    <w:rsid w:val="00C1320F"/>
    <w:rsid w:val="00C13534"/>
    <w:rsid w:val="00C13800"/>
    <w:rsid w:val="00C15D9D"/>
    <w:rsid w:val="00C16149"/>
    <w:rsid w:val="00C20967"/>
    <w:rsid w:val="00C223FD"/>
    <w:rsid w:val="00C26657"/>
    <w:rsid w:val="00C302B4"/>
    <w:rsid w:val="00C35AE7"/>
    <w:rsid w:val="00C44685"/>
    <w:rsid w:val="00C463DD"/>
    <w:rsid w:val="00C4716A"/>
    <w:rsid w:val="00C53C82"/>
    <w:rsid w:val="00C622ED"/>
    <w:rsid w:val="00C62F76"/>
    <w:rsid w:val="00C65026"/>
    <w:rsid w:val="00C662AA"/>
    <w:rsid w:val="00C70858"/>
    <w:rsid w:val="00C72005"/>
    <w:rsid w:val="00C72E02"/>
    <w:rsid w:val="00C740DA"/>
    <w:rsid w:val="00C745C3"/>
    <w:rsid w:val="00C74A11"/>
    <w:rsid w:val="00C8384C"/>
    <w:rsid w:val="00C85F8B"/>
    <w:rsid w:val="00C927AC"/>
    <w:rsid w:val="00CA1183"/>
    <w:rsid w:val="00CA1F88"/>
    <w:rsid w:val="00CA516D"/>
    <w:rsid w:val="00CA7279"/>
    <w:rsid w:val="00CB03EB"/>
    <w:rsid w:val="00CB26B3"/>
    <w:rsid w:val="00CB51FE"/>
    <w:rsid w:val="00CC2702"/>
    <w:rsid w:val="00CC78A6"/>
    <w:rsid w:val="00CD20A1"/>
    <w:rsid w:val="00CD3225"/>
    <w:rsid w:val="00CD64B5"/>
    <w:rsid w:val="00CD747F"/>
    <w:rsid w:val="00CE1382"/>
    <w:rsid w:val="00CE4A8F"/>
    <w:rsid w:val="00CF03F4"/>
    <w:rsid w:val="00CF05AF"/>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62A7"/>
    <w:rsid w:val="00D46E50"/>
    <w:rsid w:val="00D4764D"/>
    <w:rsid w:val="00D50452"/>
    <w:rsid w:val="00D72DC1"/>
    <w:rsid w:val="00D753D8"/>
    <w:rsid w:val="00D76673"/>
    <w:rsid w:val="00D80431"/>
    <w:rsid w:val="00D80A99"/>
    <w:rsid w:val="00D8153A"/>
    <w:rsid w:val="00D86516"/>
    <w:rsid w:val="00D87F4C"/>
    <w:rsid w:val="00D94B0C"/>
    <w:rsid w:val="00D95B5B"/>
    <w:rsid w:val="00D96CC5"/>
    <w:rsid w:val="00D978C6"/>
    <w:rsid w:val="00DA67AD"/>
    <w:rsid w:val="00DB0CD3"/>
    <w:rsid w:val="00DB0CF8"/>
    <w:rsid w:val="00DB1F53"/>
    <w:rsid w:val="00DC1AA4"/>
    <w:rsid w:val="00DC5166"/>
    <w:rsid w:val="00DC5FBA"/>
    <w:rsid w:val="00DD5C8B"/>
    <w:rsid w:val="00DE0613"/>
    <w:rsid w:val="00DE112D"/>
    <w:rsid w:val="00DF236F"/>
    <w:rsid w:val="00DF2772"/>
    <w:rsid w:val="00DF3CF2"/>
    <w:rsid w:val="00DF453A"/>
    <w:rsid w:val="00DF498E"/>
    <w:rsid w:val="00DF662C"/>
    <w:rsid w:val="00E000AD"/>
    <w:rsid w:val="00E07564"/>
    <w:rsid w:val="00E1169F"/>
    <w:rsid w:val="00E130AB"/>
    <w:rsid w:val="00E147D5"/>
    <w:rsid w:val="00E14CFE"/>
    <w:rsid w:val="00E23AA7"/>
    <w:rsid w:val="00E241E1"/>
    <w:rsid w:val="00E26278"/>
    <w:rsid w:val="00E328FE"/>
    <w:rsid w:val="00E335A4"/>
    <w:rsid w:val="00E35C1C"/>
    <w:rsid w:val="00E41283"/>
    <w:rsid w:val="00E43CE3"/>
    <w:rsid w:val="00E549B7"/>
    <w:rsid w:val="00E5644E"/>
    <w:rsid w:val="00E60AC0"/>
    <w:rsid w:val="00E62EA5"/>
    <w:rsid w:val="00E62F12"/>
    <w:rsid w:val="00E631DD"/>
    <w:rsid w:val="00E63654"/>
    <w:rsid w:val="00E6387D"/>
    <w:rsid w:val="00E65EF4"/>
    <w:rsid w:val="00E70AD0"/>
    <w:rsid w:val="00E7260F"/>
    <w:rsid w:val="00E747A5"/>
    <w:rsid w:val="00E7485D"/>
    <w:rsid w:val="00E76142"/>
    <w:rsid w:val="00E8535A"/>
    <w:rsid w:val="00E856CE"/>
    <w:rsid w:val="00E9059F"/>
    <w:rsid w:val="00E90F23"/>
    <w:rsid w:val="00E94E64"/>
    <w:rsid w:val="00E96630"/>
    <w:rsid w:val="00EA06C3"/>
    <w:rsid w:val="00EA392B"/>
    <w:rsid w:val="00EA772F"/>
    <w:rsid w:val="00EB18D7"/>
    <w:rsid w:val="00EB30C3"/>
    <w:rsid w:val="00EB5EFC"/>
    <w:rsid w:val="00EB6832"/>
    <w:rsid w:val="00EB70E2"/>
    <w:rsid w:val="00EC5505"/>
    <w:rsid w:val="00EC5BC7"/>
    <w:rsid w:val="00EC7146"/>
    <w:rsid w:val="00ED6D82"/>
    <w:rsid w:val="00ED7A2A"/>
    <w:rsid w:val="00EE5771"/>
    <w:rsid w:val="00EE639C"/>
    <w:rsid w:val="00EF0B5A"/>
    <w:rsid w:val="00EF1D7F"/>
    <w:rsid w:val="00EF2383"/>
    <w:rsid w:val="00EF497D"/>
    <w:rsid w:val="00EF6834"/>
    <w:rsid w:val="00F14AAA"/>
    <w:rsid w:val="00F16818"/>
    <w:rsid w:val="00F179DE"/>
    <w:rsid w:val="00F20E52"/>
    <w:rsid w:val="00F236CE"/>
    <w:rsid w:val="00F30427"/>
    <w:rsid w:val="00F345D5"/>
    <w:rsid w:val="00F36C76"/>
    <w:rsid w:val="00F3711E"/>
    <w:rsid w:val="00F40E75"/>
    <w:rsid w:val="00F41498"/>
    <w:rsid w:val="00F42066"/>
    <w:rsid w:val="00F512F3"/>
    <w:rsid w:val="00F51379"/>
    <w:rsid w:val="00F518F7"/>
    <w:rsid w:val="00F532F9"/>
    <w:rsid w:val="00F54674"/>
    <w:rsid w:val="00F55A1F"/>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954BA"/>
    <w:rsid w:val="00FB016C"/>
    <w:rsid w:val="00FB09F1"/>
    <w:rsid w:val="00FB2719"/>
    <w:rsid w:val="00FC2B0A"/>
    <w:rsid w:val="00FC5E08"/>
    <w:rsid w:val="00FC68B7"/>
    <w:rsid w:val="00FD02C1"/>
    <w:rsid w:val="00FD199B"/>
    <w:rsid w:val="00FD21A9"/>
    <w:rsid w:val="00FD59E3"/>
    <w:rsid w:val="00FD6B2B"/>
    <w:rsid w:val="00FE26FA"/>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9ED69"/>
  <w15:docId w15:val="{57AB88A4-0734-4727-ACF8-68B62CD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3228">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DA02-1515-4133-89BC-685D283E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767</Words>
  <Characters>4025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5</cp:revision>
  <cp:lastPrinted>2018-09-07T07:36:00Z</cp:lastPrinted>
  <dcterms:created xsi:type="dcterms:W3CDTF">2018-09-03T08:51:00Z</dcterms:created>
  <dcterms:modified xsi:type="dcterms:W3CDTF">2018-09-07T07:37:00Z</dcterms:modified>
</cp:coreProperties>
</file>